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3A" w:rsidRPr="00FF4C2E" w:rsidRDefault="00C2313A" w:rsidP="00C2313A">
      <w:pPr>
        <w:spacing w:after="0" w:line="240" w:lineRule="auto"/>
        <w:jc w:val="center"/>
        <w:rPr>
          <w:rFonts w:ascii="Arial" w:eastAsia="Times New Roman" w:hAnsi="Arial" w:cs="Arial"/>
          <w:b/>
          <w:lang/>
        </w:rPr>
      </w:pPr>
      <w:r w:rsidRPr="00FF4C2E">
        <w:rPr>
          <w:rFonts w:ascii="Arial" w:eastAsia="Times New Roman" w:hAnsi="Arial" w:cs="Arial"/>
          <w:b/>
          <w:color w:val="000000"/>
        </w:rPr>
        <w:t>ISHR Subm</w:t>
      </w:r>
      <w:r w:rsidRPr="00FF4C2E">
        <w:rPr>
          <w:rFonts w:ascii="Arial" w:eastAsia="Times New Roman" w:hAnsi="Arial" w:cs="Arial"/>
          <w:b/>
        </w:rPr>
        <w:t>ission to SR HRDs annual thematic report</w:t>
      </w:r>
      <w:r w:rsidR="00FF4C2E">
        <w:rPr>
          <w:rFonts w:ascii="Arial" w:eastAsia="Times New Roman" w:hAnsi="Arial" w:cs="Arial"/>
          <w:b/>
          <w:lang/>
        </w:rPr>
        <w:t xml:space="preserve"> for </w:t>
      </w:r>
      <w:r w:rsidR="007B402A" w:rsidRPr="007B402A">
        <w:rPr>
          <w:rFonts w:ascii="Arial" w:eastAsia="Times New Roman" w:hAnsi="Arial" w:cs="Arial"/>
          <w:b/>
        </w:rPr>
        <w:t>March</w:t>
      </w:r>
      <w:r w:rsidR="00FF4C2E">
        <w:rPr>
          <w:rFonts w:ascii="Arial" w:eastAsia="Times New Roman" w:hAnsi="Arial" w:cs="Arial"/>
          <w:b/>
          <w:lang/>
        </w:rPr>
        <w:t xml:space="preserve"> 2021</w:t>
      </w:r>
    </w:p>
    <w:p w:rsidR="00C2313A" w:rsidRPr="00A27E79" w:rsidRDefault="00C2313A" w:rsidP="00C2313A">
      <w:pPr>
        <w:spacing w:after="0" w:line="240" w:lineRule="auto"/>
        <w:rPr>
          <w:rFonts w:ascii="Arial" w:eastAsia="Times New Roman" w:hAnsi="Arial" w:cs="Arial"/>
        </w:rPr>
      </w:pPr>
    </w:p>
    <w:p w:rsidR="00C2313A" w:rsidRDefault="00C2313A" w:rsidP="00C2313A">
      <w:pPr>
        <w:spacing w:after="0" w:line="240" w:lineRule="auto"/>
        <w:rPr>
          <w:rFonts w:ascii="Arial" w:eastAsia="Times New Roman" w:hAnsi="Arial" w:cs="Arial"/>
        </w:rPr>
      </w:pPr>
    </w:p>
    <w:p w:rsidR="003465AC" w:rsidRDefault="003465AC" w:rsidP="00C2313A">
      <w:pPr>
        <w:spacing w:after="0" w:line="240" w:lineRule="auto"/>
        <w:rPr>
          <w:rFonts w:ascii="Arial" w:eastAsia="Times New Roman" w:hAnsi="Arial" w:cs="Arial"/>
        </w:rPr>
      </w:pPr>
    </w:p>
    <w:p w:rsidR="003465AC" w:rsidRPr="00A27E79" w:rsidRDefault="003465AC" w:rsidP="00C2313A">
      <w:pPr>
        <w:spacing w:after="0" w:line="240" w:lineRule="auto"/>
        <w:rPr>
          <w:rFonts w:ascii="Arial" w:eastAsia="Times New Roman" w:hAnsi="Arial" w:cs="Arial"/>
        </w:rPr>
      </w:pP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b/>
          <w:bCs/>
        </w:rPr>
        <w:t>Introduction</w:t>
      </w:r>
    </w:p>
    <w:p w:rsidR="00C2313A" w:rsidRPr="00A27E79" w:rsidRDefault="00C2313A" w:rsidP="00C2313A">
      <w:pPr>
        <w:spacing w:after="0" w:line="240" w:lineRule="auto"/>
        <w:rPr>
          <w:rFonts w:ascii="Arial" w:eastAsia="Times New Roman" w:hAnsi="Arial" w:cs="Arial"/>
        </w:rPr>
      </w:pP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rPr>
        <w:t xml:space="preserve">ISHR welcomes the chance to provide inputs to the annual thematic report of the UN Special rapporteur on the situation of human rights defenders, to be </w:t>
      </w:r>
      <w:r w:rsidR="007B402A">
        <w:rPr>
          <w:rFonts w:ascii="Arial" w:eastAsia="Times New Roman" w:hAnsi="Arial" w:cs="Arial"/>
        </w:rPr>
        <w:t>presented to the Human Rights Council</w:t>
      </w:r>
      <w:r w:rsidRPr="00A27E79">
        <w:rPr>
          <w:rFonts w:ascii="Arial" w:eastAsia="Times New Roman" w:hAnsi="Arial" w:cs="Arial"/>
        </w:rPr>
        <w:t xml:space="preserve"> in </w:t>
      </w:r>
      <w:r w:rsidR="007B402A">
        <w:rPr>
          <w:rFonts w:ascii="Arial" w:eastAsia="Times New Roman" w:hAnsi="Arial" w:cs="Arial"/>
        </w:rPr>
        <w:t>March</w:t>
      </w:r>
      <w:r w:rsidRPr="00A27E79">
        <w:rPr>
          <w:rFonts w:ascii="Arial" w:eastAsia="Times New Roman" w:hAnsi="Arial" w:cs="Arial"/>
        </w:rPr>
        <w:t xml:space="preserve"> 2021, focused on the issue of killings of human rights defenders (HRDs). The process launched by the mandate is essential to ensure that the voices of defenders can inform the Special Rapporteur’s work, and we appreciate the comparatively-generous timeline for response; clear and concise series of questions; and efforts to engage a range of stakeholders - which is to say, not simply governments and civil society, but also national human rights institutions (NHRIs), development finance institutions and private sector actors. </w:t>
      </w:r>
    </w:p>
    <w:p w:rsidR="00C2313A" w:rsidRPr="00A27E79" w:rsidRDefault="00C2313A" w:rsidP="00C2313A">
      <w:pPr>
        <w:spacing w:after="0" w:line="240" w:lineRule="auto"/>
        <w:rPr>
          <w:rFonts w:ascii="Arial" w:eastAsia="Times New Roman" w:hAnsi="Arial" w:cs="Arial"/>
        </w:rPr>
      </w:pP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rPr>
        <w:t>We have sought to respond specifically to a handful of questions, namely by discussing: </w:t>
      </w:r>
    </w:p>
    <w:p w:rsidR="00C2313A" w:rsidRPr="00A27E79" w:rsidRDefault="00C2313A" w:rsidP="00C2313A">
      <w:pPr>
        <w:numPr>
          <w:ilvl w:val="0"/>
          <w:numId w:val="1"/>
        </w:numPr>
        <w:spacing w:after="0" w:line="240" w:lineRule="auto"/>
        <w:textAlignment w:val="baseline"/>
        <w:rPr>
          <w:rFonts w:ascii="Arial" w:eastAsia="Times New Roman" w:hAnsi="Arial" w:cs="Arial"/>
        </w:rPr>
      </w:pPr>
      <w:r w:rsidRPr="00A27E79">
        <w:rPr>
          <w:rFonts w:ascii="Arial" w:eastAsia="Times New Roman" w:hAnsi="Arial" w:cs="Arial"/>
        </w:rPr>
        <w:t>the role of online and offline threats against defenders</w:t>
      </w:r>
    </w:p>
    <w:p w:rsidR="00C2313A" w:rsidRPr="00A27E79" w:rsidRDefault="00C2313A" w:rsidP="00C2313A">
      <w:pPr>
        <w:numPr>
          <w:ilvl w:val="0"/>
          <w:numId w:val="1"/>
        </w:numPr>
        <w:spacing w:after="0" w:line="240" w:lineRule="auto"/>
        <w:textAlignment w:val="baseline"/>
        <w:rPr>
          <w:rFonts w:ascii="Arial" w:eastAsia="Times New Roman" w:hAnsi="Arial" w:cs="Arial"/>
        </w:rPr>
      </w:pPr>
      <w:r w:rsidRPr="00A27E79">
        <w:rPr>
          <w:rFonts w:ascii="Arial" w:eastAsia="Times New Roman" w:hAnsi="Arial" w:cs="Arial"/>
        </w:rPr>
        <w:t>pathways of escalation toward violence and killings, and the context in which this happens</w:t>
      </w:r>
    </w:p>
    <w:p w:rsidR="00C2313A" w:rsidRPr="00A27E79" w:rsidRDefault="00C2313A" w:rsidP="00C2313A">
      <w:pPr>
        <w:numPr>
          <w:ilvl w:val="0"/>
          <w:numId w:val="1"/>
        </w:numPr>
        <w:spacing w:after="0" w:line="240" w:lineRule="auto"/>
        <w:textAlignment w:val="baseline"/>
        <w:rPr>
          <w:rFonts w:ascii="Arial" w:eastAsia="Times New Roman" w:hAnsi="Arial" w:cs="Arial"/>
        </w:rPr>
      </w:pPr>
      <w:r w:rsidRPr="00A27E79">
        <w:rPr>
          <w:rFonts w:ascii="Arial" w:eastAsia="Times New Roman" w:hAnsi="Arial" w:cs="Arial"/>
        </w:rPr>
        <w:t>effective measures to prevent and protect against violence of killing of defenders, and lessons learnt   </w:t>
      </w:r>
    </w:p>
    <w:p w:rsidR="00C2313A" w:rsidRPr="00A27E79" w:rsidRDefault="00C2313A" w:rsidP="00C2313A">
      <w:pPr>
        <w:spacing w:after="0" w:line="240" w:lineRule="auto"/>
        <w:ind w:left="720"/>
        <w:textAlignment w:val="baseline"/>
        <w:rPr>
          <w:rFonts w:ascii="Arial" w:eastAsia="Times New Roman" w:hAnsi="Arial" w:cs="Arial"/>
        </w:rPr>
      </w:pP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rPr>
        <w:t>It is important to begin by understanding killings of human rights defenders as the extreme manifestation of intolerance by</w:t>
      </w:r>
      <w:r w:rsidR="00A5006F" w:rsidRPr="00A27E79">
        <w:rPr>
          <w:rFonts w:ascii="Arial" w:eastAsia="Times New Roman" w:hAnsi="Arial" w:cs="Arial"/>
        </w:rPr>
        <w:t>,</w:t>
      </w:r>
      <w:r w:rsidRPr="00A27E79">
        <w:rPr>
          <w:rFonts w:ascii="Arial" w:eastAsia="Times New Roman" w:hAnsi="Arial" w:cs="Arial"/>
        </w:rPr>
        <w:t xml:space="preserve"> and impunity for, individuals</w:t>
      </w:r>
      <w:r w:rsidR="00A5006F" w:rsidRPr="00A27E79">
        <w:rPr>
          <w:rFonts w:ascii="Arial" w:eastAsia="Times New Roman" w:hAnsi="Arial" w:cs="Arial"/>
        </w:rPr>
        <w:t xml:space="preserve"> or entities</w:t>
      </w:r>
      <w:r w:rsidRPr="00A27E79">
        <w:rPr>
          <w:rFonts w:ascii="Arial" w:eastAsia="Times New Roman" w:hAnsi="Arial" w:cs="Arial"/>
        </w:rPr>
        <w:t xml:space="preserve"> with vested </w:t>
      </w:r>
      <w:r w:rsidR="004C2A11" w:rsidRPr="00A27E79">
        <w:rPr>
          <w:rFonts w:ascii="Arial" w:eastAsia="Times New Roman" w:hAnsi="Arial" w:cs="Arial"/>
        </w:rPr>
        <w:t xml:space="preserve">social, political and economic </w:t>
      </w:r>
      <w:r w:rsidRPr="00A27E79">
        <w:rPr>
          <w:rFonts w:ascii="Arial" w:eastAsia="Times New Roman" w:hAnsi="Arial" w:cs="Arial"/>
        </w:rPr>
        <w:t>interest</w:t>
      </w:r>
      <w:r w:rsidR="004C2A11" w:rsidRPr="00A27E79">
        <w:rPr>
          <w:rFonts w:ascii="Arial" w:eastAsia="Times New Roman" w:hAnsi="Arial" w:cs="Arial"/>
        </w:rPr>
        <w:t>s</w:t>
      </w:r>
      <w:r w:rsidRPr="00A27E79">
        <w:rPr>
          <w:rFonts w:ascii="Arial" w:eastAsia="Times New Roman" w:hAnsi="Arial" w:cs="Arial"/>
        </w:rPr>
        <w:t xml:space="preserve"> - with little or any consideration for the need to protect or respect human rights. This, in turn, is a symptom of and contributor to the deterioration in safe and enabling environments for human rights defenders - a principle that all UN member state</w:t>
      </w:r>
      <w:r w:rsidR="004C2A11" w:rsidRPr="00A27E79">
        <w:rPr>
          <w:rFonts w:ascii="Arial" w:eastAsia="Times New Roman" w:hAnsi="Arial" w:cs="Arial"/>
        </w:rPr>
        <w:t xml:space="preserve">s </w:t>
      </w:r>
      <w:r w:rsidRPr="00A27E79">
        <w:rPr>
          <w:rFonts w:ascii="Arial" w:eastAsia="Times New Roman" w:hAnsi="Arial" w:cs="Arial"/>
        </w:rPr>
        <w:t xml:space="preserve">have committed </w:t>
      </w:r>
      <w:r w:rsidRPr="00FF4C2E">
        <w:rPr>
          <w:rFonts w:ascii="Arial" w:eastAsia="Times New Roman" w:hAnsi="Arial" w:cs="Arial"/>
        </w:rPr>
        <w:t xml:space="preserve">to </w:t>
      </w:r>
      <w:hyperlink r:id="rId8" w:history="1">
        <w:r w:rsidRPr="00FF4C2E">
          <w:rPr>
            <w:rFonts w:ascii="Arial" w:eastAsia="Times New Roman" w:hAnsi="Arial" w:cs="Arial"/>
          </w:rPr>
          <w:t>upholding and ensuring</w:t>
        </w:r>
      </w:hyperlink>
      <w:r w:rsidRPr="00FF4C2E">
        <w:rPr>
          <w:rFonts w:ascii="Arial" w:eastAsia="Times New Roman" w:hAnsi="Arial" w:cs="Arial"/>
        </w:rPr>
        <w:t>.</w:t>
      </w:r>
      <w:r w:rsidRPr="00A27E79">
        <w:rPr>
          <w:rFonts w:ascii="Arial" w:eastAsia="Times New Roman" w:hAnsi="Arial" w:cs="Arial"/>
        </w:rPr>
        <w:t xml:space="preserve"> Killings of HRDs will only end when the ecosystem in which they thrive has changed so radically as to prevent them from taking root.</w:t>
      </w:r>
    </w:p>
    <w:p w:rsidR="00C2313A" w:rsidRPr="00A27E79" w:rsidRDefault="00C2313A" w:rsidP="00C2313A">
      <w:pPr>
        <w:spacing w:after="0" w:line="240" w:lineRule="auto"/>
        <w:rPr>
          <w:rFonts w:ascii="Arial" w:eastAsia="Times New Roman" w:hAnsi="Arial" w:cs="Arial"/>
        </w:rPr>
      </w:pP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b/>
          <w:bCs/>
        </w:rPr>
        <w:t>Trends and ‘red flags’ on the pathway to killings</w:t>
      </w:r>
    </w:p>
    <w:p w:rsidR="00C2313A" w:rsidRPr="00A27E79" w:rsidRDefault="00C2313A" w:rsidP="00C2313A">
      <w:pPr>
        <w:spacing w:after="0" w:line="240" w:lineRule="auto"/>
        <w:rPr>
          <w:rFonts w:ascii="Arial" w:eastAsia="Times New Roman" w:hAnsi="Arial" w:cs="Arial"/>
        </w:rPr>
      </w:pP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rPr>
        <w:t xml:space="preserve">This report topic is timely, as many of ISHR’s partners have experienced an escalation of attacks that may reach up to and include death threats, but whose overall intention is to prevent that </w:t>
      </w:r>
      <w:r w:rsidR="004C2A11" w:rsidRPr="00A27E79">
        <w:rPr>
          <w:rFonts w:ascii="Arial" w:eastAsia="Times New Roman" w:hAnsi="Arial" w:cs="Arial"/>
        </w:rPr>
        <w:t xml:space="preserve">defender </w:t>
      </w:r>
      <w:r w:rsidRPr="00A27E79">
        <w:rPr>
          <w:rFonts w:ascii="Arial" w:eastAsia="Times New Roman" w:hAnsi="Arial" w:cs="Arial"/>
        </w:rPr>
        <w:t xml:space="preserve">from carrying out their human rights work - and to send a chilling message to others. This often occurs far earlier on the pathway, and - having sadly had its intended </w:t>
      </w:r>
      <w:r w:rsidR="004C2A11" w:rsidRPr="00A27E79">
        <w:rPr>
          <w:rFonts w:ascii="Arial" w:eastAsia="Times New Roman" w:hAnsi="Arial" w:cs="Arial"/>
        </w:rPr>
        <w:t xml:space="preserve">censorious </w:t>
      </w:r>
      <w:r w:rsidRPr="00A27E79">
        <w:rPr>
          <w:rFonts w:ascii="Arial" w:eastAsia="Times New Roman" w:hAnsi="Arial" w:cs="Arial"/>
        </w:rPr>
        <w:t xml:space="preserve">effect - precludes the need </w:t>
      </w:r>
      <w:r w:rsidR="005E5ECC" w:rsidRPr="00A27E79">
        <w:rPr>
          <w:rFonts w:ascii="Arial" w:eastAsia="Times New Roman" w:hAnsi="Arial" w:cs="Arial"/>
        </w:rPr>
        <w:t xml:space="preserve">for perpetrators </w:t>
      </w:r>
      <w:r w:rsidRPr="00A27E79">
        <w:rPr>
          <w:rFonts w:ascii="Arial" w:eastAsia="Times New Roman" w:hAnsi="Arial" w:cs="Arial"/>
        </w:rPr>
        <w:t xml:space="preserve">to escalate </w:t>
      </w:r>
      <w:r w:rsidR="005E5ECC" w:rsidRPr="00A27E79">
        <w:rPr>
          <w:rFonts w:ascii="Arial" w:eastAsia="Times New Roman" w:hAnsi="Arial" w:cs="Arial"/>
        </w:rPr>
        <w:t xml:space="preserve">threats and attacks </w:t>
      </w:r>
      <w:r w:rsidRPr="00A27E79">
        <w:rPr>
          <w:rFonts w:ascii="Arial" w:eastAsia="Times New Roman" w:hAnsi="Arial" w:cs="Arial"/>
        </w:rPr>
        <w:t>further. </w:t>
      </w:r>
    </w:p>
    <w:p w:rsidR="00C2313A" w:rsidRPr="00A27E79" w:rsidRDefault="00C2313A" w:rsidP="00C2313A">
      <w:pPr>
        <w:spacing w:after="0" w:line="240" w:lineRule="auto"/>
        <w:rPr>
          <w:rFonts w:ascii="Arial" w:eastAsia="Times New Roman" w:hAnsi="Arial" w:cs="Arial"/>
        </w:rPr>
      </w:pP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rPr>
        <w:t>These points on the trend arcing toward killing include, among others, ad hominem attacks, judicial harassment, and physical violence. </w:t>
      </w:r>
      <w:r w:rsidR="005E5ECC" w:rsidRPr="00A27E79">
        <w:rPr>
          <w:rFonts w:ascii="Arial" w:eastAsia="Times New Roman" w:hAnsi="Arial" w:cs="Arial"/>
        </w:rPr>
        <w:t xml:space="preserve">Each should be seen as early warning signs requiring action and accountability in order to prevent killings. </w:t>
      </w:r>
    </w:p>
    <w:p w:rsidR="00C2313A" w:rsidRPr="00A27E79" w:rsidRDefault="00C2313A" w:rsidP="00C2313A">
      <w:pPr>
        <w:spacing w:after="0" w:line="240" w:lineRule="auto"/>
        <w:rPr>
          <w:rFonts w:ascii="Arial" w:eastAsia="Times New Roman" w:hAnsi="Arial" w:cs="Arial"/>
        </w:rPr>
      </w:pPr>
    </w:p>
    <w:p w:rsidR="00C2313A" w:rsidRPr="00A27E79" w:rsidRDefault="00C2313A" w:rsidP="00C2313A">
      <w:pPr>
        <w:pStyle w:val="ListParagraph"/>
        <w:numPr>
          <w:ilvl w:val="0"/>
          <w:numId w:val="13"/>
        </w:numPr>
        <w:spacing w:after="0" w:line="240" w:lineRule="auto"/>
        <w:textAlignment w:val="baseline"/>
        <w:rPr>
          <w:rFonts w:ascii="Arial" w:eastAsia="Times New Roman" w:hAnsi="Arial" w:cs="Arial"/>
        </w:rPr>
      </w:pPr>
      <w:r w:rsidRPr="00A27E79">
        <w:rPr>
          <w:rFonts w:ascii="Arial" w:eastAsia="Times New Roman" w:hAnsi="Arial" w:cs="Arial"/>
        </w:rPr>
        <w:t>Ad hominem attacks, whether in person, over media, or online, have the effect of singling out an individual and stigmati</w:t>
      </w:r>
      <w:r w:rsidR="004C2A11" w:rsidRPr="00A27E79">
        <w:rPr>
          <w:rFonts w:ascii="Arial" w:eastAsia="Times New Roman" w:hAnsi="Arial" w:cs="Arial"/>
        </w:rPr>
        <w:t>s</w:t>
      </w:r>
      <w:r w:rsidRPr="00A27E79">
        <w:rPr>
          <w:rFonts w:ascii="Arial" w:eastAsia="Times New Roman" w:hAnsi="Arial" w:cs="Arial"/>
        </w:rPr>
        <w:t>ing their person, as well as their professional activities. Such statements, by increasing the visibility of the defender, can further constitute a violation of their right to a private and family life. </w:t>
      </w:r>
    </w:p>
    <w:p w:rsidR="00C2313A" w:rsidRPr="00A27E79" w:rsidRDefault="00C2313A" w:rsidP="00C2313A">
      <w:pPr>
        <w:pStyle w:val="ListParagraph"/>
        <w:numPr>
          <w:ilvl w:val="0"/>
          <w:numId w:val="13"/>
        </w:numPr>
        <w:spacing w:after="0" w:line="240" w:lineRule="auto"/>
        <w:textAlignment w:val="baseline"/>
        <w:rPr>
          <w:rFonts w:ascii="Arial" w:eastAsia="Times New Roman" w:hAnsi="Arial" w:cs="Arial"/>
        </w:rPr>
      </w:pPr>
      <w:r w:rsidRPr="00A27E79">
        <w:rPr>
          <w:rFonts w:ascii="Arial" w:eastAsia="Times New Roman" w:hAnsi="Arial" w:cs="Arial"/>
        </w:rPr>
        <w:t>Judicial harassment comes in many forms.</w:t>
      </w:r>
    </w:p>
    <w:p w:rsidR="00C2313A" w:rsidRPr="00A27E79" w:rsidRDefault="00C2313A" w:rsidP="00C2313A">
      <w:pPr>
        <w:pStyle w:val="ListParagraph"/>
        <w:numPr>
          <w:ilvl w:val="1"/>
          <w:numId w:val="9"/>
        </w:numPr>
        <w:spacing w:after="0" w:line="240" w:lineRule="auto"/>
        <w:textAlignment w:val="baseline"/>
        <w:rPr>
          <w:rFonts w:ascii="Arial" w:eastAsia="Times New Roman" w:hAnsi="Arial" w:cs="Arial"/>
        </w:rPr>
      </w:pPr>
      <w:r w:rsidRPr="00A27E79">
        <w:rPr>
          <w:rFonts w:ascii="Arial" w:eastAsia="Times New Roman" w:hAnsi="Arial" w:cs="Arial"/>
        </w:rPr>
        <w:t>In some cases, charges brought by public prosecutors may be focused on a wilful distortion of the actions of an individual - for example, migrant rights defenders in Europe who are charged with smuggling- or human trafficking-related crimes for humanitarian assistance and search-and-rescue activities. </w:t>
      </w:r>
    </w:p>
    <w:p w:rsidR="00C2313A" w:rsidRPr="00A27E79" w:rsidRDefault="00C2313A" w:rsidP="00C2313A">
      <w:pPr>
        <w:pStyle w:val="ListParagraph"/>
        <w:numPr>
          <w:ilvl w:val="1"/>
          <w:numId w:val="9"/>
        </w:numPr>
        <w:spacing w:after="0" w:line="240" w:lineRule="auto"/>
        <w:textAlignment w:val="baseline"/>
        <w:rPr>
          <w:rFonts w:ascii="Arial" w:eastAsia="Times New Roman" w:hAnsi="Arial" w:cs="Arial"/>
        </w:rPr>
      </w:pPr>
      <w:r w:rsidRPr="00A27E79">
        <w:rPr>
          <w:rFonts w:ascii="Arial" w:eastAsia="Times New Roman" w:hAnsi="Arial" w:cs="Arial"/>
        </w:rPr>
        <w:t>In many cases, the charges may have nothing at all to do with the substantive work, but instead are based on procedural issues - such as when organisations and activists in mainland China are charged with ‘illegal business activity’. </w:t>
      </w:r>
    </w:p>
    <w:p w:rsidR="00C2313A" w:rsidRPr="00A27E79" w:rsidRDefault="00C2313A" w:rsidP="00C2313A">
      <w:pPr>
        <w:pStyle w:val="ListParagraph"/>
        <w:numPr>
          <w:ilvl w:val="1"/>
          <w:numId w:val="9"/>
        </w:numPr>
        <w:spacing w:after="0" w:line="240" w:lineRule="auto"/>
        <w:textAlignment w:val="baseline"/>
        <w:rPr>
          <w:rFonts w:ascii="Arial" w:eastAsia="Times New Roman" w:hAnsi="Arial" w:cs="Arial"/>
        </w:rPr>
      </w:pPr>
      <w:r w:rsidRPr="00A27E79">
        <w:rPr>
          <w:rFonts w:ascii="Arial" w:eastAsia="Times New Roman" w:hAnsi="Arial" w:cs="Arial"/>
        </w:rPr>
        <w:t>SLAPP suits (strategic litigation against public participation) have been used in the U.S. and Thailand, among other jurisdictions, by private sector actors seeking to eliminate criticism of their business activities. They often claim to be victims of slander or defamation for the exposure or reporting of human rights-related information by defenders. </w:t>
      </w:r>
    </w:p>
    <w:p w:rsidR="00C2313A" w:rsidRPr="00A27E79" w:rsidRDefault="00C2313A" w:rsidP="00C2313A">
      <w:pPr>
        <w:pStyle w:val="ListParagraph"/>
        <w:spacing w:after="0" w:line="240" w:lineRule="auto"/>
        <w:ind w:left="1440"/>
        <w:textAlignment w:val="baseline"/>
        <w:rPr>
          <w:rFonts w:ascii="Arial" w:eastAsia="Times New Roman" w:hAnsi="Arial" w:cs="Arial"/>
        </w:rPr>
      </w:pPr>
    </w:p>
    <w:p w:rsidR="00C2313A" w:rsidRPr="00A27E79" w:rsidRDefault="00C2313A" w:rsidP="00C2313A">
      <w:pPr>
        <w:spacing w:after="0" w:line="240" w:lineRule="auto"/>
        <w:ind w:left="720"/>
        <w:rPr>
          <w:rFonts w:ascii="Arial" w:eastAsia="Times New Roman" w:hAnsi="Arial" w:cs="Arial"/>
        </w:rPr>
      </w:pPr>
      <w:r w:rsidRPr="00A27E79">
        <w:rPr>
          <w:rFonts w:ascii="Arial" w:eastAsia="Times New Roman" w:hAnsi="Arial" w:cs="Arial"/>
        </w:rPr>
        <w:t>A key element of judicial harassment is that while the charges may carry criminal, civil or administrative penalties, the aim and intent of the process is to place constraints - administrative, financial or personal - on those targeted. Defenders who are victims of judicial harassment may face years of legal procedures that hinder them from engaging fully in their work; that proscribe their livelihoods; and that impose high legal fees. Even without being found guilty, there are negative impacts on the defender’s professional and personal life.</w:t>
      </w:r>
    </w:p>
    <w:p w:rsidR="00C2313A" w:rsidRPr="00A27E79" w:rsidRDefault="00C2313A" w:rsidP="00C2313A">
      <w:pPr>
        <w:spacing w:after="0" w:line="240" w:lineRule="auto"/>
        <w:rPr>
          <w:rFonts w:ascii="Arial" w:eastAsia="Times New Roman" w:hAnsi="Arial" w:cs="Arial"/>
        </w:rPr>
      </w:pPr>
    </w:p>
    <w:p w:rsidR="00C2313A" w:rsidRPr="00A7111B" w:rsidRDefault="00C2313A" w:rsidP="00C2313A">
      <w:pPr>
        <w:pStyle w:val="ListParagraph"/>
        <w:numPr>
          <w:ilvl w:val="0"/>
          <w:numId w:val="9"/>
        </w:numPr>
        <w:spacing w:after="0" w:line="240" w:lineRule="auto"/>
        <w:textAlignment w:val="baseline"/>
        <w:rPr>
          <w:rFonts w:ascii="Arial" w:eastAsia="Times New Roman" w:hAnsi="Arial" w:cs="Arial"/>
        </w:rPr>
      </w:pPr>
      <w:r w:rsidRPr="00A27E79">
        <w:rPr>
          <w:rFonts w:ascii="Arial" w:eastAsia="Times New Roman" w:hAnsi="Arial" w:cs="Arial"/>
        </w:rPr>
        <w:t xml:space="preserve">Finally, physical violence plays an indisputable role in transitioning rhetorical attacks and legal attacks to personal attacks. </w:t>
      </w:r>
    </w:p>
    <w:p w:rsidR="00A7111B" w:rsidRDefault="00A7111B" w:rsidP="00A7111B">
      <w:pPr>
        <w:spacing w:after="0" w:line="240" w:lineRule="auto"/>
        <w:textAlignment w:val="baseline"/>
        <w:rPr>
          <w:rFonts w:ascii="Arial" w:eastAsia="Times New Roman" w:hAnsi="Arial" w:cs="Arial"/>
        </w:rPr>
      </w:pPr>
    </w:p>
    <w:p w:rsidR="00A7111B" w:rsidRDefault="00A7111B" w:rsidP="00A7111B">
      <w:pPr>
        <w:spacing w:after="0" w:line="240" w:lineRule="auto"/>
        <w:textAlignment w:val="baseline"/>
        <w:rPr>
          <w:rFonts w:ascii="Arial" w:eastAsia="Times New Roman" w:hAnsi="Arial" w:cs="Arial"/>
          <w:lang/>
        </w:rPr>
      </w:pPr>
      <w:r>
        <w:rPr>
          <w:rFonts w:ascii="Arial" w:eastAsia="Times New Roman" w:hAnsi="Arial" w:cs="Arial"/>
          <w:lang/>
        </w:rPr>
        <w:t xml:space="preserve">At the same time that we must recognize the specificity of attacks on defenders, and seek to identify ways to document and response to them, we must also recognize the deep linkage between violations against HRDs and the context in which they operate – namely, the lack of an independent judiciary and the deterioration of democratic institutions. Increasing the effectiveness of protection of HRDs and prevention of killings and attacks requires a deeper engagement with root causes, and a commitment to a context in which State institutions who have responsibility to ensure the respective of human rights are willing and able to carry out their work. </w:t>
      </w:r>
    </w:p>
    <w:p w:rsidR="00A7111B" w:rsidRDefault="00A7111B" w:rsidP="00A7111B">
      <w:pPr>
        <w:spacing w:after="0" w:line="240" w:lineRule="auto"/>
        <w:textAlignment w:val="baseline"/>
        <w:rPr>
          <w:rFonts w:ascii="Arial" w:eastAsia="Times New Roman" w:hAnsi="Arial" w:cs="Arial"/>
          <w:lang/>
        </w:rPr>
      </w:pPr>
    </w:p>
    <w:p w:rsidR="003465AC" w:rsidRPr="003465AC" w:rsidRDefault="00A7111B" w:rsidP="003465AC">
      <w:pPr>
        <w:spacing w:after="0" w:line="240" w:lineRule="auto"/>
        <w:textAlignment w:val="baseline"/>
        <w:rPr>
          <w:rFonts w:ascii="Arial" w:eastAsia="Times New Roman" w:hAnsi="Arial" w:cs="Arial"/>
          <w:lang/>
        </w:rPr>
      </w:pPr>
      <w:r>
        <w:rPr>
          <w:rFonts w:ascii="Arial" w:eastAsia="Times New Roman" w:hAnsi="Arial" w:cs="Arial"/>
          <w:lang/>
        </w:rPr>
        <w:t xml:space="preserve">This has been documented in particular in Latin America, by different UN expert mechanisms. The </w:t>
      </w:r>
      <w:hyperlink r:id="rId9" w:history="1">
        <w:r w:rsidRPr="00A7111B">
          <w:rPr>
            <w:rStyle w:val="Hyperlink"/>
            <w:rFonts w:ascii="Arial" w:eastAsia="Times New Roman" w:hAnsi="Arial" w:cs="Arial"/>
            <w:lang/>
          </w:rPr>
          <w:t>Fact-finding Mission to Venezuela</w:t>
        </w:r>
      </w:hyperlink>
      <w:r>
        <w:rPr>
          <w:rFonts w:ascii="Arial" w:eastAsia="Times New Roman" w:hAnsi="Arial" w:cs="Arial"/>
          <w:lang/>
        </w:rPr>
        <w:t xml:space="preserve"> found that ‘compromised judicial independence’, including fear of retaliation from the executive, ‘contributed to arbitrary detentions of protestors’. In </w:t>
      </w:r>
      <w:hyperlink r:id="rId10" w:history="1">
        <w:r w:rsidRPr="00A7111B">
          <w:rPr>
            <w:rStyle w:val="Hyperlink"/>
            <w:rFonts w:ascii="Arial" w:eastAsia="Times New Roman" w:hAnsi="Arial" w:cs="Arial"/>
            <w:lang/>
          </w:rPr>
          <w:t>Guatemala</w:t>
        </w:r>
      </w:hyperlink>
      <w:r>
        <w:rPr>
          <w:rFonts w:ascii="Arial" w:eastAsia="Times New Roman" w:hAnsi="Arial" w:cs="Arial"/>
          <w:lang/>
        </w:rPr>
        <w:t xml:space="preserve">, the Office of the High Commissioner for Human Rights drew links between politically- or interest-motivated attacks on judges and judicial officials and, in the first instance, ‘weakened institutions, corruption and lack of accountability’, and in the second, generalized lack of security.  Finally, in </w:t>
      </w:r>
      <w:hyperlink r:id="rId11" w:history="1">
        <w:r w:rsidRPr="003465AC">
          <w:rPr>
            <w:rStyle w:val="Hyperlink"/>
            <w:rFonts w:ascii="Arial" w:eastAsia="Times New Roman" w:hAnsi="Arial" w:cs="Arial"/>
            <w:lang/>
          </w:rPr>
          <w:t>his country visit report on Honduras</w:t>
        </w:r>
      </w:hyperlink>
      <w:r>
        <w:rPr>
          <w:rFonts w:ascii="Arial" w:eastAsia="Times New Roman" w:hAnsi="Arial" w:cs="Arial"/>
          <w:lang/>
        </w:rPr>
        <w:t xml:space="preserve"> in 2019, the Special Rapporteur on the independence of judges and lawyers, noted that widespread impunity and a ‘selective justice system’ led to a situation where ‘more than 97 per cent of crimes against human rights </w:t>
      </w:r>
      <w:r w:rsidRPr="003465AC">
        <w:rPr>
          <w:rFonts w:ascii="Arial" w:eastAsia="Times New Roman" w:hAnsi="Arial" w:cs="Arial"/>
          <w:lang/>
        </w:rPr>
        <w:t xml:space="preserve">defenders go unpunished’. </w:t>
      </w:r>
    </w:p>
    <w:p w:rsidR="003465AC" w:rsidRPr="003465AC" w:rsidRDefault="003465AC" w:rsidP="003465AC">
      <w:pPr>
        <w:spacing w:after="0" w:line="240" w:lineRule="auto"/>
        <w:textAlignment w:val="baseline"/>
        <w:rPr>
          <w:rFonts w:ascii="Arial" w:hAnsi="Arial" w:cs="Arial"/>
          <w:lang/>
        </w:rPr>
      </w:pPr>
    </w:p>
    <w:p w:rsidR="00341D0B" w:rsidRDefault="003465AC" w:rsidP="003465AC">
      <w:pPr>
        <w:spacing w:after="0" w:line="240" w:lineRule="auto"/>
        <w:textAlignment w:val="baseline"/>
        <w:rPr>
          <w:rFonts w:ascii="Arial" w:hAnsi="Arial" w:cs="Arial"/>
          <w:lang/>
        </w:rPr>
      </w:pPr>
      <w:r>
        <w:rPr>
          <w:rFonts w:ascii="Arial" w:hAnsi="Arial" w:cs="Arial"/>
          <w:lang/>
        </w:rPr>
        <w:lastRenderedPageBreak/>
        <w:t xml:space="preserve">In short, with a focus on preventing threats and escalation of attacks against human rights defenders, the context in which they and their aggressors operate is just as important as the specific characteristics of the case itself. </w:t>
      </w:r>
      <w:r w:rsidRPr="003465AC">
        <w:rPr>
          <w:rFonts w:ascii="Arial" w:hAnsi="Arial" w:cs="Arial"/>
          <w:lang/>
        </w:rPr>
        <w:t>Where</w:t>
      </w:r>
      <w:r>
        <w:rPr>
          <w:rFonts w:ascii="Arial" w:hAnsi="Arial" w:cs="Arial"/>
          <w:lang/>
        </w:rPr>
        <w:t xml:space="preserve"> judges and magistrates</w:t>
      </w:r>
      <w:r w:rsidR="00341D0B" w:rsidRPr="003465AC">
        <w:rPr>
          <w:rFonts w:ascii="Arial" w:hAnsi="Arial" w:cs="Arial"/>
        </w:rPr>
        <w:t xml:space="preserve"> </w:t>
      </w:r>
      <w:r>
        <w:rPr>
          <w:rFonts w:ascii="Arial" w:hAnsi="Arial" w:cs="Arial"/>
          <w:lang/>
        </w:rPr>
        <w:t>are unable to</w:t>
      </w:r>
      <w:r w:rsidR="00341D0B" w:rsidRPr="003465AC">
        <w:rPr>
          <w:rFonts w:ascii="Arial" w:hAnsi="Arial" w:cs="Arial"/>
        </w:rPr>
        <w:t xml:space="preserve"> carry out their duties with independence and impartialit</w:t>
      </w:r>
      <w:r>
        <w:rPr>
          <w:rFonts w:ascii="Arial" w:hAnsi="Arial" w:cs="Arial"/>
          <w:lang/>
        </w:rPr>
        <w:t xml:space="preserve">y, effective state responses for defender protection are a practical impossibility. Yet, without the work of human rights defenders, the corruption, bribery and political interest that creates pressures on the judicial system will continue unchecked. We see this as a vicious cycle, and one that requires careful thought about the interaction of discrete and structural challenges to defenders. </w:t>
      </w:r>
    </w:p>
    <w:p w:rsidR="003465AC" w:rsidRDefault="003465AC" w:rsidP="003465AC">
      <w:pPr>
        <w:spacing w:after="0" w:line="240" w:lineRule="auto"/>
        <w:textAlignment w:val="baseline"/>
        <w:rPr>
          <w:rFonts w:ascii="Arial" w:eastAsia="Times New Roman" w:hAnsi="Arial" w:cs="Arial"/>
          <w:lang/>
        </w:rPr>
      </w:pPr>
    </w:p>
    <w:p w:rsidR="00C2313A" w:rsidRPr="00A27E79" w:rsidRDefault="00C2313A" w:rsidP="00C2313A">
      <w:pPr>
        <w:spacing w:after="0" w:line="240" w:lineRule="auto"/>
        <w:rPr>
          <w:rFonts w:ascii="Arial" w:eastAsia="Times New Roman" w:hAnsi="Arial" w:cs="Arial"/>
          <w:b/>
          <w:bCs/>
          <w:u w:val="single"/>
        </w:rPr>
      </w:pPr>
      <w:r w:rsidRPr="00A27E79">
        <w:rPr>
          <w:rFonts w:ascii="Arial" w:eastAsia="Times New Roman" w:hAnsi="Arial" w:cs="Arial"/>
          <w:b/>
          <w:bCs/>
          <w:u w:val="single"/>
        </w:rPr>
        <w:t>What can help prevent escalation of threats?</w:t>
      </w:r>
    </w:p>
    <w:p w:rsidR="00C2313A" w:rsidRPr="00A27E79" w:rsidRDefault="00C2313A" w:rsidP="00C2313A">
      <w:pPr>
        <w:spacing w:after="0" w:line="240" w:lineRule="auto"/>
        <w:rPr>
          <w:rFonts w:ascii="Arial" w:eastAsia="Times New Roman" w:hAnsi="Arial" w:cs="Arial"/>
        </w:rPr>
      </w:pP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rPr>
        <w:t>Despite this complex background, there are a number of steps ISHR has seen that can provide barriers to escalation, slowing or even reversing the trends of threats that lead toward killings as a strategy to suppress and constrain HRDs’ work. </w:t>
      </w:r>
    </w:p>
    <w:p w:rsidR="00C2313A" w:rsidRPr="00A27E79" w:rsidRDefault="00C2313A" w:rsidP="00C2313A">
      <w:pPr>
        <w:spacing w:after="0" w:line="240" w:lineRule="auto"/>
        <w:rPr>
          <w:rFonts w:ascii="Arial" w:eastAsia="Times New Roman" w:hAnsi="Arial" w:cs="Arial"/>
        </w:rPr>
      </w:pPr>
    </w:p>
    <w:p w:rsidR="00C2313A" w:rsidRDefault="00C2313A" w:rsidP="00C2313A">
      <w:pPr>
        <w:spacing w:after="0" w:line="240" w:lineRule="auto"/>
        <w:rPr>
          <w:rFonts w:ascii="Arial" w:eastAsia="Times New Roman" w:hAnsi="Arial" w:cs="Arial"/>
        </w:rPr>
      </w:pPr>
      <w:r w:rsidRPr="00A27E79">
        <w:rPr>
          <w:rFonts w:ascii="Arial" w:eastAsia="Times New Roman" w:hAnsi="Arial" w:cs="Arial"/>
          <w:b/>
          <w:bCs/>
        </w:rPr>
        <w:t>First</w:t>
      </w:r>
      <w:r w:rsidRPr="00A27E79">
        <w:rPr>
          <w:rFonts w:ascii="Arial" w:eastAsia="Times New Roman" w:hAnsi="Arial" w:cs="Arial"/>
        </w:rPr>
        <w:t xml:space="preserve">, public recognition of the work and value of human rights defenders can provide a direct counter-narrative to those that cast defenders in general - or individual defenders by name - as ‘criminal’, ‘terrorist’, or engaged in ‘subversion of the state’ or ‘endangering national security’. Positive stories about the contributions human rights defenders make - about what they stand </w:t>
      </w:r>
      <w:r w:rsidRPr="00A27E79">
        <w:rPr>
          <w:rFonts w:ascii="Arial" w:eastAsia="Times New Roman" w:hAnsi="Arial" w:cs="Arial"/>
          <w:i/>
          <w:iCs/>
        </w:rPr>
        <w:t xml:space="preserve">for </w:t>
      </w:r>
      <w:r w:rsidRPr="00A27E79">
        <w:rPr>
          <w:rFonts w:ascii="Arial" w:eastAsia="Times New Roman" w:hAnsi="Arial" w:cs="Arial"/>
        </w:rPr>
        <w:t>- help to underline what those individuals share with their fellow members of society.</w:t>
      </w:r>
      <w:r w:rsidR="00865B9D" w:rsidRPr="00A27E79">
        <w:rPr>
          <w:rFonts w:ascii="Arial" w:eastAsia="Times New Roman" w:hAnsi="Arial" w:cs="Arial"/>
        </w:rPr>
        <w:t xml:space="preserve"> Conversely, there is some evidence that focusing overwhelmingly on the violations and abuses that defenders face can have the effect of </w:t>
      </w:r>
      <w:hyperlink r:id="rId12" w:history="1">
        <w:r w:rsidR="00865B9D" w:rsidRPr="00A27E79">
          <w:rPr>
            <w:rStyle w:val="Hyperlink"/>
            <w:rFonts w:ascii="Arial" w:eastAsia="Times New Roman" w:hAnsi="Arial" w:cs="Arial"/>
          </w:rPr>
          <w:t>normalising such violations and desensitizing people to them</w:t>
        </w:r>
      </w:hyperlink>
      <w:r w:rsidR="00865B9D" w:rsidRPr="00A27E79">
        <w:rPr>
          <w:rFonts w:ascii="Arial" w:eastAsia="Times New Roman" w:hAnsi="Arial" w:cs="Arial"/>
        </w:rPr>
        <w:t xml:space="preserve">. </w:t>
      </w:r>
    </w:p>
    <w:p w:rsidR="00FF4C2E" w:rsidRDefault="00FF4C2E" w:rsidP="00C2313A">
      <w:pPr>
        <w:spacing w:after="0" w:line="240" w:lineRule="auto"/>
        <w:rPr>
          <w:rFonts w:ascii="Arial" w:eastAsia="Times New Roman" w:hAnsi="Arial" w:cs="Arial"/>
        </w:rPr>
      </w:pPr>
    </w:p>
    <w:p w:rsidR="00FF4C2E" w:rsidRPr="00FF4C2E" w:rsidRDefault="00FF4C2E" w:rsidP="00C2313A">
      <w:pPr>
        <w:spacing w:after="0" w:line="240" w:lineRule="auto"/>
        <w:rPr>
          <w:rFonts w:ascii="Arial" w:eastAsia="Times New Roman" w:hAnsi="Arial" w:cs="Arial"/>
          <w:lang/>
        </w:rPr>
      </w:pPr>
      <w:r>
        <w:rPr>
          <w:rFonts w:ascii="Arial" w:eastAsia="Times New Roman" w:hAnsi="Arial" w:cs="Arial"/>
          <w:lang/>
        </w:rPr>
        <w:t xml:space="preserve">A growing amount of theoretical and applied work has shown the effectiveness of such narratives at changing ‘hearts and minds’. </w:t>
      </w:r>
      <w:hyperlink r:id="rId13" w:history="1">
        <w:r w:rsidRPr="00FF4C2E">
          <w:rPr>
            <w:rStyle w:val="Hyperlink"/>
            <w:rFonts w:ascii="Arial" w:eastAsia="Times New Roman" w:hAnsi="Arial" w:cs="Arial"/>
            <w:lang/>
          </w:rPr>
          <w:t>For example, in the U.S.</w:t>
        </w:r>
      </w:hyperlink>
      <w:r>
        <w:rPr>
          <w:rFonts w:ascii="Arial" w:eastAsia="Times New Roman" w:hAnsi="Arial" w:cs="Arial"/>
          <w:lang/>
        </w:rPr>
        <w:t xml:space="preserve">, campaigns reframing issues around </w:t>
      </w:r>
      <w:hyperlink r:id="rId14" w:history="1">
        <w:r w:rsidRPr="00FF4C2E">
          <w:rPr>
            <w:rStyle w:val="Hyperlink"/>
            <w:rFonts w:ascii="Arial" w:eastAsia="Times New Roman" w:hAnsi="Arial" w:cs="Arial"/>
            <w:lang/>
          </w:rPr>
          <w:t>what they are ‘for’</w:t>
        </w:r>
      </w:hyperlink>
      <w:r>
        <w:rPr>
          <w:rFonts w:ascii="Arial" w:eastAsia="Times New Roman" w:hAnsi="Arial" w:cs="Arial"/>
          <w:lang/>
        </w:rPr>
        <w:t xml:space="preserve"> – such as the #Fightfor15, for decent wages for fast-food workers – have grown exponentially. Campaigns that appropriated the language of equality and freedom, as opposed to ‘protection’ or special status, were critical in the advancement of marriage equality. </w:t>
      </w: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rPr>
        <w:t> </w:t>
      </w: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rPr>
        <w:lastRenderedPageBreak/>
        <w:t>While it is important that such narratives be promoted by people in positions of power - such as elected officials and government representatives - it is equally important that these narratives be shaped, used and amplified by defenders themselves. ISHR has been developing tools to support HRDs to craft these narratives based on their own, local and national experiences and to reframe their work as providing solutions to the problems they expose, and generating value for the benefit of the common good. </w:t>
      </w:r>
    </w:p>
    <w:p w:rsidR="00C2313A" w:rsidRPr="00A27E79" w:rsidRDefault="00C2313A" w:rsidP="00C2313A">
      <w:pPr>
        <w:spacing w:after="0" w:line="240" w:lineRule="auto"/>
        <w:rPr>
          <w:rFonts w:ascii="Arial" w:eastAsia="Times New Roman" w:hAnsi="Arial" w:cs="Arial"/>
        </w:rPr>
      </w:pP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rPr>
        <w:t xml:space="preserve">It is undeniable that some private actors are at the root of the threats and killings, especially of defenders working on the areas of land, labour and the environment, and of leaders of indigenous communities. But it would be a lost opportunity to paint all private sector actors with the same brush. Therefore, as a </w:t>
      </w:r>
      <w:r w:rsidRPr="00A27E79">
        <w:rPr>
          <w:rFonts w:ascii="Arial" w:eastAsia="Times New Roman" w:hAnsi="Arial" w:cs="Arial"/>
          <w:b/>
          <w:bCs/>
        </w:rPr>
        <w:t xml:space="preserve">second </w:t>
      </w:r>
      <w:r w:rsidRPr="00A27E79">
        <w:rPr>
          <w:rFonts w:ascii="Arial" w:eastAsia="Times New Roman" w:hAnsi="Arial" w:cs="Arial"/>
        </w:rPr>
        <w:t>element, the role of constructive engagement by the private sector should be further recogni</w:t>
      </w:r>
      <w:r w:rsidR="004C2A11" w:rsidRPr="00A27E79">
        <w:rPr>
          <w:rFonts w:ascii="Arial" w:eastAsia="Times New Roman" w:hAnsi="Arial" w:cs="Arial"/>
        </w:rPr>
        <w:t>s</w:t>
      </w:r>
      <w:r w:rsidRPr="00A27E79">
        <w:rPr>
          <w:rFonts w:ascii="Arial" w:eastAsia="Times New Roman" w:hAnsi="Arial" w:cs="Arial"/>
        </w:rPr>
        <w:t>ed and analysed. This could include: </w:t>
      </w:r>
    </w:p>
    <w:p w:rsidR="00C2313A" w:rsidRPr="00A27E79" w:rsidRDefault="00C2313A" w:rsidP="00C2313A">
      <w:pPr>
        <w:spacing w:after="0" w:line="240" w:lineRule="auto"/>
        <w:rPr>
          <w:rFonts w:ascii="Arial" w:eastAsia="Times New Roman" w:hAnsi="Arial" w:cs="Arial"/>
        </w:rPr>
      </w:pPr>
    </w:p>
    <w:p w:rsidR="00C2313A" w:rsidRPr="00A27E79" w:rsidRDefault="00C2313A" w:rsidP="00C2313A">
      <w:pPr>
        <w:numPr>
          <w:ilvl w:val="0"/>
          <w:numId w:val="4"/>
        </w:numPr>
        <w:spacing w:after="0" w:line="240" w:lineRule="auto"/>
        <w:textAlignment w:val="baseline"/>
        <w:rPr>
          <w:rFonts w:ascii="Arial" w:eastAsia="Times New Roman" w:hAnsi="Arial" w:cs="Arial"/>
        </w:rPr>
      </w:pPr>
      <w:r w:rsidRPr="00A27E79">
        <w:rPr>
          <w:rFonts w:ascii="Arial" w:eastAsia="Times New Roman" w:hAnsi="Arial" w:cs="Arial"/>
        </w:rPr>
        <w:t>Public and private support to the aims of civil society and HRDs which are shared by business: In Cambodia, for example, private sector actors, multi</w:t>
      </w:r>
      <w:r w:rsidR="004C2A11" w:rsidRPr="00A27E79">
        <w:rPr>
          <w:rFonts w:ascii="Arial" w:eastAsia="Times New Roman" w:hAnsi="Arial" w:cs="Arial"/>
        </w:rPr>
        <w:t>-</w:t>
      </w:r>
      <w:r w:rsidRPr="00A27E79">
        <w:rPr>
          <w:rFonts w:ascii="Arial" w:eastAsia="Times New Roman" w:hAnsi="Arial" w:cs="Arial"/>
        </w:rPr>
        <w:t>stakeholder initiatives and civil society have collaborated to use the leverage of EU trade policy to improve the environment for the exercise of fundamental freedoms. It is notable that land rights violations and attacks on land rights activists - in the context of massive land grabs for sugar cane production - have been specifically cited. </w:t>
      </w:r>
    </w:p>
    <w:p w:rsidR="00C2313A" w:rsidRPr="00A27E79" w:rsidRDefault="00C2313A" w:rsidP="00C2313A">
      <w:pPr>
        <w:numPr>
          <w:ilvl w:val="0"/>
          <w:numId w:val="4"/>
        </w:numPr>
        <w:spacing w:after="0" w:line="240" w:lineRule="auto"/>
        <w:textAlignment w:val="baseline"/>
        <w:rPr>
          <w:rFonts w:ascii="Arial" w:eastAsia="Times New Roman" w:hAnsi="Arial" w:cs="Arial"/>
        </w:rPr>
      </w:pPr>
      <w:r w:rsidRPr="00A27E79">
        <w:rPr>
          <w:rFonts w:ascii="Arial" w:eastAsia="Times New Roman" w:hAnsi="Arial" w:cs="Arial"/>
        </w:rPr>
        <w:t>Active consideration of HRDs’ views in the development (and content) of human rights policies and due diligence guidelines: Recently-adopted policies by the World Bank that seek to prevent and respond to reprisals and retaliatory acts could - potentially, and if effectively implemented - put a brake on some of the most dangerous practices that have been documented in the context of these projects. </w:t>
      </w:r>
    </w:p>
    <w:p w:rsidR="00C2313A" w:rsidRPr="00A27E79" w:rsidRDefault="00C2313A" w:rsidP="003D5B12">
      <w:pPr>
        <w:numPr>
          <w:ilvl w:val="0"/>
          <w:numId w:val="4"/>
        </w:numPr>
        <w:spacing w:after="0" w:line="240" w:lineRule="auto"/>
        <w:textAlignment w:val="baseline"/>
        <w:rPr>
          <w:rFonts w:ascii="Arial" w:eastAsia="Times New Roman" w:hAnsi="Arial" w:cs="Arial"/>
        </w:rPr>
      </w:pPr>
      <w:r w:rsidRPr="00A27E79">
        <w:rPr>
          <w:rFonts w:ascii="Arial" w:eastAsia="Times New Roman" w:hAnsi="Arial" w:cs="Arial"/>
        </w:rPr>
        <w:t xml:space="preserve">The protection of defenders in the online space is also crucial. Social media platforms should put mechanisms in place that ensure that risks associated with serious cases of hate speech that incite hostility and violence against human rights defenders are properly mitigated. The strategy and its implementation, both by States and private actors, need to be in line with the right to freedom of opinion and expression. </w:t>
      </w:r>
    </w:p>
    <w:p w:rsidR="00865B9D" w:rsidRPr="00A27E79" w:rsidRDefault="00865B9D" w:rsidP="00C2313A">
      <w:pPr>
        <w:spacing w:after="0" w:line="240" w:lineRule="auto"/>
        <w:rPr>
          <w:rFonts w:ascii="Arial" w:eastAsia="Times New Roman" w:hAnsi="Arial" w:cs="Arial"/>
          <w:bCs/>
        </w:rPr>
      </w:pPr>
      <w:r w:rsidRPr="00A27E79">
        <w:rPr>
          <w:rFonts w:ascii="Arial" w:eastAsia="Times New Roman" w:hAnsi="Arial" w:cs="Arial"/>
          <w:b/>
          <w:bCs/>
        </w:rPr>
        <w:lastRenderedPageBreak/>
        <w:t xml:space="preserve">Third, </w:t>
      </w:r>
      <w:r w:rsidRPr="00A27E79">
        <w:rPr>
          <w:rFonts w:ascii="Arial" w:eastAsia="Times New Roman" w:hAnsi="Arial" w:cs="Arial"/>
          <w:bCs/>
        </w:rPr>
        <w:t>impunity for the killing of human rights defenders has the effect of licensing further attacks and contributing to a deteriorating environment for the recognition and protection. Threats, attacks and killings of human rights defenders should be promptly, independently and effectively investigated and perpetrators prosecuted and held accountable, both as an aspect of the right to life and the right to an effective remedy, as well as a vital aspect of prevention. Investigations and prosecutions should focus on not only individual but systemic factors contributing to threats, attacks and killing.</w:t>
      </w:r>
    </w:p>
    <w:p w:rsidR="00865B9D" w:rsidRPr="00A27E79" w:rsidRDefault="00865B9D" w:rsidP="00C2313A">
      <w:pPr>
        <w:spacing w:after="0" w:line="240" w:lineRule="auto"/>
        <w:rPr>
          <w:rFonts w:ascii="Arial" w:eastAsia="Times New Roman" w:hAnsi="Arial" w:cs="Arial"/>
          <w:b/>
          <w:bCs/>
        </w:rPr>
      </w:pPr>
    </w:p>
    <w:p w:rsidR="00C2313A" w:rsidRPr="00A27E79" w:rsidRDefault="00865B9D" w:rsidP="00C2313A">
      <w:pPr>
        <w:spacing w:after="0" w:line="240" w:lineRule="auto"/>
        <w:rPr>
          <w:rFonts w:ascii="Arial" w:eastAsia="Times New Roman" w:hAnsi="Arial" w:cs="Arial"/>
        </w:rPr>
      </w:pPr>
      <w:r w:rsidRPr="00A27E79">
        <w:rPr>
          <w:rFonts w:ascii="Arial" w:eastAsia="Times New Roman" w:hAnsi="Arial" w:cs="Arial"/>
          <w:b/>
          <w:bCs/>
        </w:rPr>
        <w:t>Fourth</w:t>
      </w:r>
      <w:r w:rsidR="00C2313A" w:rsidRPr="00A27E79">
        <w:rPr>
          <w:rFonts w:ascii="Arial" w:eastAsia="Times New Roman" w:hAnsi="Arial" w:cs="Arial"/>
          <w:b/>
          <w:bCs/>
        </w:rPr>
        <w:t xml:space="preserve">, </w:t>
      </w:r>
      <w:r w:rsidR="00C2313A" w:rsidRPr="00A27E79">
        <w:rPr>
          <w:rFonts w:ascii="Arial" w:eastAsia="Times New Roman" w:hAnsi="Arial" w:cs="Arial"/>
        </w:rPr>
        <w:t xml:space="preserve">the legal recognition </w:t>
      </w:r>
      <w:r w:rsidR="004C2A11" w:rsidRPr="00A27E79">
        <w:rPr>
          <w:rFonts w:ascii="Arial" w:eastAsia="Times New Roman" w:hAnsi="Arial" w:cs="Arial"/>
        </w:rPr>
        <w:t xml:space="preserve">and protection </w:t>
      </w:r>
      <w:r w:rsidR="00C2313A" w:rsidRPr="00A27E79">
        <w:rPr>
          <w:rFonts w:ascii="Arial" w:eastAsia="Times New Roman" w:hAnsi="Arial" w:cs="Arial"/>
        </w:rPr>
        <w:t>of defenders is crucial to ensuring they can work in a safe environment free from attacks and restrictions. A legal and policy framework which recogni</w:t>
      </w:r>
      <w:r w:rsidR="004C2A11" w:rsidRPr="00A27E79">
        <w:rPr>
          <w:rFonts w:ascii="Arial" w:eastAsia="Times New Roman" w:hAnsi="Arial" w:cs="Arial"/>
        </w:rPr>
        <w:t>s</w:t>
      </w:r>
      <w:r w:rsidR="00C2313A" w:rsidRPr="00A27E79">
        <w:rPr>
          <w:rFonts w:ascii="Arial" w:eastAsia="Times New Roman" w:hAnsi="Arial" w:cs="Arial"/>
        </w:rPr>
        <w:t xml:space="preserve">es human rights defenders and which reflects international and regional standards can </w:t>
      </w:r>
      <w:r w:rsidR="004C2A11" w:rsidRPr="00A27E79">
        <w:rPr>
          <w:rFonts w:ascii="Arial" w:eastAsia="Times New Roman" w:hAnsi="Arial" w:cs="Arial"/>
        </w:rPr>
        <w:t xml:space="preserve">have important normative, educative, preventative and punitive effects – legislatively recognising the value of defenders’ work, establishing mechanisms for their protection, </w:t>
      </w:r>
      <w:r w:rsidR="00C2313A" w:rsidRPr="00A27E79">
        <w:rPr>
          <w:rFonts w:ascii="Arial" w:eastAsia="Times New Roman" w:hAnsi="Arial" w:cs="Arial"/>
        </w:rPr>
        <w:t>and provid</w:t>
      </w:r>
      <w:r w:rsidR="004C2A11" w:rsidRPr="00A27E79">
        <w:rPr>
          <w:rFonts w:ascii="Arial" w:eastAsia="Times New Roman" w:hAnsi="Arial" w:cs="Arial"/>
        </w:rPr>
        <w:t>ing</w:t>
      </w:r>
      <w:r w:rsidR="00C2313A" w:rsidRPr="00A27E79">
        <w:rPr>
          <w:rFonts w:ascii="Arial" w:eastAsia="Times New Roman" w:hAnsi="Arial" w:cs="Arial"/>
        </w:rPr>
        <w:t xml:space="preserve"> legal remedies for victims and accountability for perpetrators. More broadly, it also contributes to overall goals of upholding human rights and promoting democracy, sustainable development and respect for the rule of law. </w:t>
      </w:r>
    </w:p>
    <w:p w:rsidR="00C2313A" w:rsidRPr="00A27E79" w:rsidRDefault="00C2313A" w:rsidP="00C2313A">
      <w:pPr>
        <w:spacing w:after="0" w:line="240" w:lineRule="auto"/>
        <w:rPr>
          <w:rFonts w:ascii="Arial" w:eastAsia="Times New Roman" w:hAnsi="Arial" w:cs="Arial"/>
        </w:rPr>
      </w:pPr>
    </w:p>
    <w:p w:rsidR="00C2313A" w:rsidRPr="00A27E79" w:rsidRDefault="00C2313A" w:rsidP="00C2313A">
      <w:pPr>
        <w:spacing w:after="0" w:line="240" w:lineRule="auto"/>
        <w:rPr>
          <w:rFonts w:ascii="Arial" w:eastAsia="Times New Roman" w:hAnsi="Arial" w:cs="Arial"/>
        </w:rPr>
      </w:pPr>
      <w:r w:rsidRPr="00A27E79">
        <w:rPr>
          <w:rFonts w:ascii="Arial" w:eastAsia="Times New Roman" w:hAnsi="Arial" w:cs="Arial"/>
        </w:rPr>
        <w:t>This is particularly true as measures taken in the context of COVID-19 exacerbate the proliferation of laws restricting and criminali</w:t>
      </w:r>
      <w:r w:rsidR="004C2A11" w:rsidRPr="00A27E79">
        <w:rPr>
          <w:rFonts w:ascii="Arial" w:eastAsia="Times New Roman" w:hAnsi="Arial" w:cs="Arial"/>
        </w:rPr>
        <w:t>s</w:t>
      </w:r>
      <w:r w:rsidRPr="00A27E79">
        <w:rPr>
          <w:rFonts w:ascii="Arial" w:eastAsia="Times New Roman" w:hAnsi="Arial" w:cs="Arial"/>
        </w:rPr>
        <w:t>ing defenders' work.</w:t>
      </w:r>
    </w:p>
    <w:p w:rsidR="00C2313A" w:rsidRPr="00A27E79" w:rsidRDefault="00C2313A" w:rsidP="00C2313A">
      <w:pPr>
        <w:shd w:val="clear" w:color="auto" w:fill="FFFFFF"/>
        <w:spacing w:before="360" w:after="0" w:line="240" w:lineRule="auto"/>
        <w:ind w:right="20"/>
        <w:jc w:val="both"/>
        <w:rPr>
          <w:rFonts w:ascii="Arial" w:eastAsia="Times New Roman" w:hAnsi="Arial" w:cs="Arial"/>
        </w:rPr>
      </w:pPr>
      <w:r w:rsidRPr="00A27E79">
        <w:rPr>
          <w:rFonts w:ascii="Arial" w:eastAsia="Times New Roman" w:hAnsi="Arial" w:cs="Arial"/>
        </w:rPr>
        <w:t xml:space="preserve">Historically, defender protection mechanisms are not new - the first were established in Colombia and Brazil in the 1990s. More recently, Côte d’Ivoire, Burkina Faso and Mali in West Africa, as well as Honduras, Mexico and Peru in Latin America, have adopted such laws. In recent years - in more than a dozen countries - civil society has been working towards the development and enactment of specific national laws on human rights defenders, including Niger, Sierra Leone, Togo and Zambia in Africa; Mongolia, Nepal and the Philippines in Asia, and El Salvador in the Americas. In at least five of these countries, draft laws are based on the </w:t>
      </w:r>
      <w:hyperlink r:id="rId15" w:history="1">
        <w:r w:rsidRPr="00A27E79">
          <w:rPr>
            <w:rFonts w:ascii="Arial" w:eastAsia="Times New Roman" w:hAnsi="Arial" w:cs="Arial"/>
            <w:u w:val="single"/>
          </w:rPr>
          <w:t>Model National Law on the recognition and protection of human rights defenders</w:t>
        </w:r>
      </w:hyperlink>
      <w:r w:rsidRPr="00A27E79">
        <w:rPr>
          <w:rFonts w:ascii="Arial" w:eastAsia="Times New Roman" w:hAnsi="Arial" w:cs="Arial"/>
        </w:rPr>
        <w:t>. </w:t>
      </w:r>
    </w:p>
    <w:p w:rsidR="00C2313A" w:rsidRPr="00A27E79" w:rsidRDefault="00C2313A" w:rsidP="00C2313A">
      <w:pPr>
        <w:shd w:val="clear" w:color="auto" w:fill="FFFFFF"/>
        <w:spacing w:after="0" w:line="240" w:lineRule="auto"/>
        <w:ind w:right="20"/>
        <w:jc w:val="both"/>
        <w:rPr>
          <w:rFonts w:ascii="Arial" w:eastAsia="Times New Roman" w:hAnsi="Arial" w:cs="Arial"/>
        </w:rPr>
      </w:pPr>
      <w:r w:rsidRPr="00A27E79">
        <w:rPr>
          <w:rFonts w:ascii="Arial" w:eastAsia="Times New Roman" w:hAnsi="Arial" w:cs="Arial"/>
        </w:rPr>
        <w:t> </w:t>
      </w:r>
    </w:p>
    <w:p w:rsidR="00C2313A" w:rsidRPr="00A27E79" w:rsidRDefault="00C2313A" w:rsidP="00C2313A">
      <w:pPr>
        <w:shd w:val="clear" w:color="auto" w:fill="FFFFFF"/>
        <w:spacing w:after="0" w:line="240" w:lineRule="auto"/>
        <w:jc w:val="both"/>
        <w:rPr>
          <w:rFonts w:ascii="Arial" w:eastAsia="Times New Roman" w:hAnsi="Arial" w:cs="Arial"/>
        </w:rPr>
      </w:pPr>
      <w:r w:rsidRPr="00A27E79">
        <w:rPr>
          <w:rFonts w:ascii="Arial" w:eastAsia="Times New Roman" w:hAnsi="Arial" w:cs="Arial"/>
        </w:rPr>
        <w:t xml:space="preserve">Any national law for the protection of defenders must be substantively in line with the UN Declaration on human rights defenders and create a legal environment supportive of their </w:t>
      </w:r>
      <w:r w:rsidRPr="00A27E79">
        <w:rPr>
          <w:rFonts w:ascii="Arial" w:eastAsia="Times New Roman" w:hAnsi="Arial" w:cs="Arial"/>
        </w:rPr>
        <w:lastRenderedPageBreak/>
        <w:t>work. Procedurally, as well, a number of elements should be in place in order for this to be an effective preventive measure. These include ensuring that the law:</w:t>
      </w:r>
    </w:p>
    <w:p w:rsidR="00C2313A" w:rsidRPr="00A27E79" w:rsidRDefault="00C2313A" w:rsidP="00C2313A">
      <w:pPr>
        <w:shd w:val="clear" w:color="auto" w:fill="FFFFFF"/>
        <w:spacing w:after="0" w:line="240" w:lineRule="auto"/>
        <w:jc w:val="both"/>
        <w:rPr>
          <w:rFonts w:ascii="Arial" w:eastAsia="Times New Roman" w:hAnsi="Arial" w:cs="Arial"/>
        </w:rPr>
      </w:pPr>
    </w:p>
    <w:p w:rsidR="00C2313A" w:rsidRPr="00A27E79" w:rsidRDefault="00C2313A" w:rsidP="00C2313A">
      <w:pPr>
        <w:numPr>
          <w:ilvl w:val="0"/>
          <w:numId w:val="5"/>
        </w:numPr>
        <w:shd w:val="clear" w:color="auto" w:fill="FFFFFF"/>
        <w:spacing w:after="0" w:line="240" w:lineRule="auto"/>
        <w:jc w:val="both"/>
        <w:textAlignment w:val="baseline"/>
        <w:rPr>
          <w:rFonts w:ascii="Arial" w:eastAsia="Times New Roman" w:hAnsi="Arial" w:cs="Arial"/>
        </w:rPr>
      </w:pPr>
      <w:r w:rsidRPr="00A27E79">
        <w:rPr>
          <w:rFonts w:ascii="Arial" w:eastAsia="Times New Roman" w:hAnsi="Arial" w:cs="Arial"/>
        </w:rPr>
        <w:t>Is developed in close consultation with all sectors of civil society;</w:t>
      </w:r>
    </w:p>
    <w:p w:rsidR="00C2313A" w:rsidRPr="00A27E79" w:rsidRDefault="00C2313A" w:rsidP="00C2313A">
      <w:pPr>
        <w:numPr>
          <w:ilvl w:val="0"/>
          <w:numId w:val="5"/>
        </w:numPr>
        <w:shd w:val="clear" w:color="auto" w:fill="FFFFFF"/>
        <w:spacing w:after="0" w:line="240" w:lineRule="auto"/>
        <w:ind w:right="20"/>
        <w:jc w:val="both"/>
        <w:textAlignment w:val="baseline"/>
        <w:rPr>
          <w:rFonts w:ascii="Arial" w:eastAsia="Times New Roman" w:hAnsi="Arial" w:cs="Arial"/>
        </w:rPr>
      </w:pPr>
      <w:r w:rsidRPr="00A27E79">
        <w:rPr>
          <w:rFonts w:ascii="Arial" w:eastAsia="Times New Roman" w:hAnsi="Arial" w:cs="Arial"/>
        </w:rPr>
        <w:t>Has implementation that is adequately resourced and enjoys high-level political support;</w:t>
      </w:r>
    </w:p>
    <w:p w:rsidR="00C2313A" w:rsidRPr="00A27E79" w:rsidRDefault="00C2313A" w:rsidP="00C2313A">
      <w:pPr>
        <w:numPr>
          <w:ilvl w:val="0"/>
          <w:numId w:val="5"/>
        </w:numPr>
        <w:shd w:val="clear" w:color="auto" w:fill="FFFFFF"/>
        <w:spacing w:after="0" w:line="240" w:lineRule="auto"/>
        <w:ind w:right="20"/>
        <w:jc w:val="both"/>
        <w:textAlignment w:val="baseline"/>
        <w:rPr>
          <w:rFonts w:ascii="Arial" w:eastAsia="Times New Roman" w:hAnsi="Arial" w:cs="Arial"/>
        </w:rPr>
      </w:pPr>
      <w:r w:rsidRPr="00A27E79">
        <w:rPr>
          <w:rFonts w:ascii="Arial" w:eastAsia="Times New Roman" w:hAnsi="Arial" w:cs="Arial"/>
        </w:rPr>
        <w:t>Does not seek to impose ‘responsibilities’ on defenders that impair their rights;</w:t>
      </w:r>
    </w:p>
    <w:p w:rsidR="00C2313A" w:rsidRPr="00A27E79" w:rsidRDefault="00C2313A" w:rsidP="00C2313A">
      <w:pPr>
        <w:numPr>
          <w:ilvl w:val="0"/>
          <w:numId w:val="5"/>
        </w:numPr>
        <w:shd w:val="clear" w:color="auto" w:fill="FFFFFF"/>
        <w:spacing w:after="0" w:line="240" w:lineRule="auto"/>
        <w:ind w:right="20"/>
        <w:jc w:val="both"/>
        <w:textAlignment w:val="baseline"/>
        <w:rPr>
          <w:rFonts w:ascii="Arial" w:eastAsia="Times New Roman" w:hAnsi="Arial" w:cs="Arial"/>
        </w:rPr>
      </w:pPr>
      <w:r w:rsidRPr="00A27E79">
        <w:rPr>
          <w:rFonts w:ascii="Arial" w:eastAsia="Times New Roman" w:hAnsi="Arial" w:cs="Arial"/>
        </w:rPr>
        <w:t>Provides for the inclusion and participation of defenders in the governance and decision-making structures of any protection mechanism;</w:t>
      </w:r>
    </w:p>
    <w:p w:rsidR="00C2313A" w:rsidRPr="00A27E79" w:rsidRDefault="00C2313A" w:rsidP="00C2313A">
      <w:pPr>
        <w:numPr>
          <w:ilvl w:val="0"/>
          <w:numId w:val="5"/>
        </w:numPr>
        <w:shd w:val="clear" w:color="auto" w:fill="FFFFFF"/>
        <w:spacing w:after="0" w:line="240" w:lineRule="auto"/>
        <w:ind w:right="20"/>
        <w:jc w:val="both"/>
        <w:textAlignment w:val="baseline"/>
        <w:rPr>
          <w:rFonts w:ascii="Arial" w:eastAsia="Times New Roman" w:hAnsi="Arial" w:cs="Arial"/>
        </w:rPr>
      </w:pPr>
      <w:r w:rsidRPr="00A27E79">
        <w:rPr>
          <w:rFonts w:ascii="Arial" w:eastAsia="Times New Roman" w:hAnsi="Arial" w:cs="Arial"/>
        </w:rPr>
        <w:t>Contains provisions which recognise and respond to the particular risks and / or vulnerabilities and protection needs of specific groups of defenders;</w:t>
      </w:r>
    </w:p>
    <w:p w:rsidR="00C2313A" w:rsidRPr="00A27E79" w:rsidRDefault="00C2313A" w:rsidP="00C2313A">
      <w:pPr>
        <w:numPr>
          <w:ilvl w:val="0"/>
          <w:numId w:val="5"/>
        </w:numPr>
        <w:shd w:val="clear" w:color="auto" w:fill="FFFFFF"/>
        <w:spacing w:after="0" w:line="240" w:lineRule="auto"/>
        <w:ind w:right="20"/>
        <w:jc w:val="both"/>
        <w:textAlignment w:val="baseline"/>
        <w:rPr>
          <w:rFonts w:ascii="Arial" w:eastAsia="Times New Roman" w:hAnsi="Arial" w:cs="Arial"/>
        </w:rPr>
      </w:pPr>
      <w:r w:rsidRPr="00A27E79">
        <w:rPr>
          <w:rFonts w:ascii="Arial" w:eastAsia="Times New Roman" w:hAnsi="Arial" w:cs="Arial"/>
        </w:rPr>
        <w:t>Articulates the obligations of both State and non-State actors, and contains provisions for the enforcement of obligations, as well as penalties and remedies.</w:t>
      </w:r>
    </w:p>
    <w:p w:rsidR="00C2313A" w:rsidRPr="00A27E79" w:rsidRDefault="00C2313A" w:rsidP="00C2313A">
      <w:pPr>
        <w:shd w:val="clear" w:color="auto" w:fill="FFFFFF"/>
        <w:spacing w:before="360" w:after="0" w:line="240" w:lineRule="auto"/>
        <w:ind w:right="20"/>
        <w:jc w:val="both"/>
        <w:rPr>
          <w:rFonts w:ascii="Arial" w:eastAsia="Times New Roman" w:hAnsi="Arial" w:cs="Arial"/>
        </w:rPr>
      </w:pPr>
      <w:r w:rsidRPr="00A27E79">
        <w:rPr>
          <w:rFonts w:ascii="Arial" w:eastAsia="Times New Roman" w:hAnsi="Arial" w:cs="Arial"/>
          <w:b/>
          <w:bCs/>
        </w:rPr>
        <w:t>Innovative monitoring and responses</w:t>
      </w:r>
    </w:p>
    <w:p w:rsidR="00C2313A" w:rsidRPr="00A27E79" w:rsidRDefault="00C2313A" w:rsidP="00C2313A">
      <w:pPr>
        <w:shd w:val="clear" w:color="auto" w:fill="FFFFFF"/>
        <w:spacing w:after="0" w:line="240" w:lineRule="auto"/>
        <w:ind w:right="20"/>
        <w:jc w:val="both"/>
        <w:rPr>
          <w:rFonts w:ascii="Arial" w:eastAsia="Times New Roman" w:hAnsi="Arial" w:cs="Arial"/>
        </w:rPr>
      </w:pPr>
      <w:r w:rsidRPr="00A27E79">
        <w:rPr>
          <w:rFonts w:ascii="Arial" w:eastAsia="Times New Roman" w:hAnsi="Arial" w:cs="Arial"/>
        </w:rPr>
        <w:t> </w:t>
      </w:r>
    </w:p>
    <w:p w:rsidR="00C2313A" w:rsidRPr="00A27E79" w:rsidRDefault="00C2313A" w:rsidP="00C2313A">
      <w:pPr>
        <w:shd w:val="clear" w:color="auto" w:fill="FFFFFF"/>
        <w:spacing w:after="0" w:line="240" w:lineRule="auto"/>
        <w:jc w:val="both"/>
        <w:rPr>
          <w:rFonts w:ascii="Arial" w:eastAsia="Times New Roman" w:hAnsi="Arial" w:cs="Arial"/>
        </w:rPr>
      </w:pPr>
      <w:r w:rsidRPr="00A27E79">
        <w:rPr>
          <w:rFonts w:ascii="Arial" w:eastAsia="Times New Roman" w:hAnsi="Arial" w:cs="Arial"/>
        </w:rPr>
        <w:t xml:space="preserve">ISHR encourages the Special Rapporteur to investigate renewed efforts and innovative </w:t>
      </w:r>
      <w:bookmarkStart w:id="0" w:name="_GoBack"/>
      <w:bookmarkEnd w:id="0"/>
      <w:r w:rsidRPr="00A27E79">
        <w:rPr>
          <w:rFonts w:ascii="Arial" w:eastAsia="Times New Roman" w:hAnsi="Arial" w:cs="Arial"/>
        </w:rPr>
        <w:t>responses that seek to demonstrate the value of these ‘barriers to escalation’, and to address the accountability gaps. </w:t>
      </w:r>
    </w:p>
    <w:p w:rsidR="00C2313A" w:rsidRPr="00A27E79" w:rsidRDefault="00C2313A" w:rsidP="00C2313A">
      <w:pPr>
        <w:shd w:val="clear" w:color="auto" w:fill="FFFFFF"/>
        <w:spacing w:after="0" w:line="240" w:lineRule="auto"/>
        <w:jc w:val="both"/>
        <w:rPr>
          <w:rFonts w:ascii="Arial" w:eastAsia="Times New Roman" w:hAnsi="Arial" w:cs="Arial"/>
        </w:rPr>
      </w:pPr>
    </w:p>
    <w:p w:rsidR="00C2313A" w:rsidRPr="00A27E79" w:rsidRDefault="00C2313A" w:rsidP="00C2313A">
      <w:pPr>
        <w:shd w:val="clear" w:color="auto" w:fill="FFFFFF"/>
        <w:spacing w:after="0" w:line="240" w:lineRule="auto"/>
        <w:jc w:val="both"/>
        <w:rPr>
          <w:rFonts w:ascii="Arial" w:eastAsia="Times New Roman" w:hAnsi="Arial" w:cs="Arial"/>
        </w:rPr>
      </w:pPr>
      <w:r w:rsidRPr="00A27E79">
        <w:rPr>
          <w:rFonts w:ascii="Arial" w:eastAsia="Times New Roman" w:hAnsi="Arial" w:cs="Arial"/>
        </w:rPr>
        <w:t xml:space="preserve">Assessing the effectiveness of HRD protection laws and mechanisms can be challenging, as the existing examples have been plagued with challenges in resources, implementation and political will. Nonetheless, we have seen an increasing global demand by national-level civil society actors to enhance legislative protection of defenders, as one tool in their toolbox - complementary to other efforts to increase visibility, develop urgent protection measures, and seek international assistance. This is supported by new findings: in Côte d’Ivoire, </w:t>
      </w:r>
      <w:r w:rsidR="00865B9D" w:rsidRPr="00A27E79">
        <w:rPr>
          <w:rFonts w:ascii="Arial" w:eastAsia="Times New Roman" w:hAnsi="Arial" w:cs="Arial"/>
        </w:rPr>
        <w:t>the Swiss Government has identified</w:t>
      </w:r>
      <w:r w:rsidRPr="00A27E79">
        <w:rPr>
          <w:rFonts w:ascii="Arial" w:eastAsia="Times New Roman" w:hAnsi="Arial" w:cs="Arial"/>
        </w:rPr>
        <w:t xml:space="preserve"> an empirical association between the enactment of the law and a decline in threats and attacks against defenders</w:t>
      </w:r>
      <w:r w:rsidR="00865B9D" w:rsidRPr="00A27E79">
        <w:rPr>
          <w:rFonts w:ascii="Arial" w:eastAsia="Times New Roman" w:hAnsi="Arial" w:cs="Arial"/>
        </w:rPr>
        <w:t>, an association also identified by national-level partners of ISHR</w:t>
      </w:r>
      <w:r w:rsidRPr="00A27E79">
        <w:rPr>
          <w:rFonts w:ascii="Arial" w:eastAsia="Times New Roman" w:hAnsi="Arial" w:cs="Arial"/>
        </w:rPr>
        <w:t>.</w:t>
      </w:r>
    </w:p>
    <w:p w:rsidR="00C2313A" w:rsidRPr="00A27E79" w:rsidRDefault="00C2313A" w:rsidP="00C2313A">
      <w:pPr>
        <w:shd w:val="clear" w:color="auto" w:fill="FFFFFF"/>
        <w:spacing w:after="0" w:line="240" w:lineRule="auto"/>
        <w:jc w:val="both"/>
        <w:rPr>
          <w:rFonts w:ascii="Arial" w:eastAsia="Times New Roman" w:hAnsi="Arial" w:cs="Arial"/>
        </w:rPr>
      </w:pPr>
    </w:p>
    <w:p w:rsidR="00C2313A" w:rsidRPr="00A27E79" w:rsidRDefault="00C2313A" w:rsidP="00C2313A">
      <w:pPr>
        <w:shd w:val="clear" w:color="auto" w:fill="FFFFFF"/>
        <w:spacing w:after="0" w:line="240" w:lineRule="auto"/>
        <w:jc w:val="both"/>
        <w:rPr>
          <w:rFonts w:ascii="Arial" w:eastAsia="Times New Roman" w:hAnsi="Arial" w:cs="Arial"/>
          <w:shd w:val="clear" w:color="auto" w:fill="FFFFFF"/>
        </w:rPr>
      </w:pPr>
      <w:r w:rsidRPr="00A27E79">
        <w:rPr>
          <w:rFonts w:ascii="Arial" w:eastAsia="Times New Roman" w:hAnsi="Arial" w:cs="Arial"/>
        </w:rPr>
        <w:t xml:space="preserve">In Central American, the Esperanza Protocol, an initiative of the </w:t>
      </w:r>
      <w:r w:rsidRPr="00A27E79">
        <w:rPr>
          <w:rFonts w:ascii="Arial" w:eastAsia="Times New Roman" w:hAnsi="Arial" w:cs="Arial"/>
          <w:shd w:val="clear" w:color="auto" w:fill="FFFFFF"/>
        </w:rPr>
        <w:t xml:space="preserve">Center for Justice and International Law (CEJIL), focuses on the investigation of threats against human rights defenders.  Due to be published in early 2021, the guidelines aim to raise awareness </w:t>
      </w:r>
      <w:r w:rsidRPr="00A27E79">
        <w:rPr>
          <w:rFonts w:ascii="Arial" w:eastAsia="Times New Roman" w:hAnsi="Arial" w:cs="Arial"/>
          <w:shd w:val="clear" w:color="auto" w:fill="FFFFFF"/>
        </w:rPr>
        <w:lastRenderedPageBreak/>
        <w:t>about the severity of threats, their impact, as well as provide an outline of essential elements of an effective criminal investigation. ISHR has been part of a group working on the preparation of the Protocol.  </w:t>
      </w:r>
    </w:p>
    <w:p w:rsidR="00C2313A" w:rsidRPr="00A27E79" w:rsidRDefault="00C2313A" w:rsidP="00C2313A">
      <w:pPr>
        <w:shd w:val="clear" w:color="auto" w:fill="FFFFFF"/>
        <w:spacing w:after="0" w:line="240" w:lineRule="auto"/>
        <w:jc w:val="both"/>
        <w:rPr>
          <w:rFonts w:ascii="Arial" w:eastAsia="Times New Roman" w:hAnsi="Arial" w:cs="Arial"/>
        </w:rPr>
      </w:pPr>
    </w:p>
    <w:p w:rsidR="00AF25D3" w:rsidRDefault="00A27E79" w:rsidP="00AF25D3">
      <w:pPr>
        <w:rPr>
          <w:iCs/>
          <w:lang/>
        </w:rPr>
      </w:pPr>
      <w:r>
        <w:rPr>
          <w:rFonts w:ascii="Arial" w:hAnsi="Arial" w:cs="Arial"/>
          <w:lang/>
        </w:rPr>
        <w:t xml:space="preserve">The persistent nature of the killings of HRDs, often with ample warning and with rampant impunity, is grave enough to warrant a full report exposing the breadth and human impact of the </w:t>
      </w:r>
      <w:r w:rsidRPr="00B34FFF">
        <w:rPr>
          <w:rFonts w:ascii="Arial" w:hAnsi="Arial" w:cs="Arial"/>
          <w:lang/>
        </w:rPr>
        <w:t xml:space="preserve">problem. Indeed, </w:t>
      </w:r>
      <w:r w:rsidR="00B34FFF">
        <w:rPr>
          <w:rFonts w:ascii="Arial" w:hAnsi="Arial" w:cs="Arial"/>
          <w:lang/>
        </w:rPr>
        <w:t>they have</w:t>
      </w:r>
      <w:r w:rsidRPr="00B34FFF">
        <w:rPr>
          <w:rFonts w:ascii="Arial" w:hAnsi="Arial" w:cs="Arial"/>
          <w:lang/>
        </w:rPr>
        <w:t xml:space="preserve"> been taken so seriously as to </w:t>
      </w:r>
      <w:r w:rsidR="00B34FFF">
        <w:rPr>
          <w:rFonts w:ascii="Arial" w:hAnsi="Arial" w:cs="Arial"/>
          <w:lang/>
        </w:rPr>
        <w:t>be considered</w:t>
      </w:r>
      <w:r w:rsidRPr="00B34FFF">
        <w:rPr>
          <w:rFonts w:ascii="Arial" w:hAnsi="Arial" w:cs="Arial"/>
          <w:lang/>
        </w:rPr>
        <w:t xml:space="preserve"> a</w:t>
      </w:r>
      <w:r w:rsidR="00B34FFF">
        <w:rPr>
          <w:rFonts w:ascii="Arial" w:hAnsi="Arial" w:cs="Arial"/>
          <w:lang/>
        </w:rPr>
        <w:t xml:space="preserve">n </w:t>
      </w:r>
      <w:r w:rsidRPr="00B34FFF">
        <w:rPr>
          <w:rFonts w:ascii="Arial" w:hAnsi="Arial" w:cs="Arial"/>
          <w:lang/>
        </w:rPr>
        <w:t xml:space="preserve">indicator in progress toward the Sustainable Development Goals, and namely Goal 16, for Peace, Justice and Strong Institutions. </w:t>
      </w:r>
      <w:r w:rsidR="00AF25D3" w:rsidRPr="00B34FFF">
        <w:rPr>
          <w:rFonts w:ascii="Arial" w:hAnsi="Arial" w:cs="Arial"/>
          <w:lang/>
        </w:rPr>
        <w:t xml:space="preserve">We recall that </w:t>
      </w:r>
      <w:r w:rsidR="00B34FFF" w:rsidRPr="00B34FFF">
        <w:rPr>
          <w:rFonts w:ascii="Arial" w:hAnsi="Arial" w:cs="Arial"/>
          <w:lang/>
        </w:rPr>
        <w:t xml:space="preserve">the </w:t>
      </w:r>
      <w:hyperlink r:id="rId16" w:history="1">
        <w:r w:rsidR="00B34FFF" w:rsidRPr="00B34FFF">
          <w:rPr>
            <w:rStyle w:val="Hyperlink"/>
            <w:rFonts w:ascii="Arial" w:hAnsi="Arial" w:cs="Arial"/>
            <w:lang/>
          </w:rPr>
          <w:t xml:space="preserve">2019 </w:t>
        </w:r>
        <w:r w:rsidR="00AF25D3" w:rsidRPr="00B34FFF">
          <w:rPr>
            <w:rStyle w:val="Hyperlink"/>
            <w:rFonts w:ascii="Arial" w:hAnsi="Arial" w:cs="Arial"/>
          </w:rPr>
          <w:t>UN</w:t>
        </w:r>
        <w:r w:rsidR="00B34FFF" w:rsidRPr="00B34FFF">
          <w:rPr>
            <w:rStyle w:val="Hyperlink"/>
            <w:rFonts w:ascii="Arial" w:hAnsi="Arial" w:cs="Arial"/>
            <w:lang/>
          </w:rPr>
          <w:t xml:space="preserve"> </w:t>
        </w:r>
        <w:r w:rsidR="00AF25D3" w:rsidRPr="00B34FFF">
          <w:rPr>
            <w:rStyle w:val="Hyperlink"/>
            <w:rFonts w:ascii="Arial" w:hAnsi="Arial" w:cs="Arial"/>
          </w:rPr>
          <w:t>G</w:t>
        </w:r>
        <w:r w:rsidR="00B34FFF" w:rsidRPr="00B34FFF">
          <w:rPr>
            <w:rStyle w:val="Hyperlink"/>
            <w:rFonts w:ascii="Arial" w:hAnsi="Arial" w:cs="Arial"/>
            <w:lang/>
          </w:rPr>
          <w:t xml:space="preserve">eneral </w:t>
        </w:r>
        <w:r w:rsidR="00AF25D3" w:rsidRPr="00B34FFF">
          <w:rPr>
            <w:rStyle w:val="Hyperlink"/>
            <w:rFonts w:ascii="Arial" w:hAnsi="Arial" w:cs="Arial"/>
          </w:rPr>
          <w:t>A</w:t>
        </w:r>
        <w:r w:rsidR="00B34FFF" w:rsidRPr="00B34FFF">
          <w:rPr>
            <w:rStyle w:val="Hyperlink"/>
            <w:rFonts w:ascii="Arial" w:hAnsi="Arial" w:cs="Arial"/>
            <w:lang/>
          </w:rPr>
          <w:t>ssembly</w:t>
        </w:r>
        <w:r w:rsidR="00AF25D3" w:rsidRPr="00B34FFF">
          <w:rPr>
            <w:rStyle w:val="Hyperlink"/>
            <w:rFonts w:ascii="Arial" w:hAnsi="Arial" w:cs="Arial"/>
          </w:rPr>
          <w:t xml:space="preserve"> resol</w:t>
        </w:r>
        <w:r w:rsidR="00B34FFF" w:rsidRPr="00B34FFF">
          <w:rPr>
            <w:rStyle w:val="Hyperlink"/>
            <w:rFonts w:ascii="Arial" w:hAnsi="Arial" w:cs="Arial"/>
            <w:lang/>
          </w:rPr>
          <w:t>ution</w:t>
        </w:r>
        <w:r w:rsidR="00AF25D3" w:rsidRPr="00B34FFF">
          <w:rPr>
            <w:rStyle w:val="Hyperlink"/>
            <w:rFonts w:ascii="Arial" w:hAnsi="Arial" w:cs="Arial"/>
          </w:rPr>
          <w:t xml:space="preserve"> on HRDs</w:t>
        </w:r>
      </w:hyperlink>
      <w:r w:rsidR="00B34FFF" w:rsidRPr="00B34FFF">
        <w:rPr>
          <w:rStyle w:val="FootnoteReference"/>
          <w:rFonts w:ascii="Arial" w:hAnsi="Arial" w:cs="Arial"/>
          <w:lang/>
        </w:rPr>
        <w:footnoteReference w:id="1"/>
      </w:r>
      <w:r w:rsidR="00B34FFF" w:rsidRPr="00B34FFF">
        <w:rPr>
          <w:rFonts w:ascii="Arial" w:hAnsi="Arial" w:cs="Arial"/>
          <w:lang/>
        </w:rPr>
        <w:t xml:space="preserve"> </w:t>
      </w:r>
      <w:r w:rsidR="00AF25D3" w:rsidRPr="00B34FFF">
        <w:rPr>
          <w:rFonts w:ascii="Arial" w:hAnsi="Arial" w:cs="Arial"/>
          <w:i/>
          <w:iCs/>
        </w:rPr>
        <w:t xml:space="preserve"> </w:t>
      </w:r>
      <w:r w:rsidR="00B34FFF" w:rsidRPr="00B34FFF">
        <w:rPr>
          <w:rFonts w:ascii="Arial" w:hAnsi="Arial" w:cs="Arial"/>
          <w:iCs/>
          <w:lang/>
        </w:rPr>
        <w:t>articulated the link between HRDs’ safety and the achievement of the Goals, and further called on states to strengthen data analysis, collection and transparency on cases of killings, as well as ‘other harmful acts’.</w:t>
      </w:r>
      <w:r w:rsidR="00B34FFF">
        <w:rPr>
          <w:iCs/>
          <w:lang/>
        </w:rPr>
        <w:t xml:space="preserve"> </w:t>
      </w:r>
    </w:p>
    <w:p w:rsidR="00821087" w:rsidRDefault="00821087" w:rsidP="003465AC">
      <w:pPr>
        <w:spacing w:after="0"/>
        <w:rPr>
          <w:rFonts w:ascii="Arial" w:hAnsi="Arial" w:cs="Arial"/>
          <w:lang/>
        </w:rPr>
      </w:pPr>
      <w:r>
        <w:rPr>
          <w:rFonts w:ascii="Arial" w:hAnsi="Arial" w:cs="Arial"/>
          <w:lang/>
        </w:rPr>
        <w:t xml:space="preserve">While it is </w:t>
      </w:r>
      <w:r w:rsidR="003D5B12">
        <w:rPr>
          <w:rFonts w:ascii="Arial" w:hAnsi="Arial" w:cs="Arial"/>
          <w:lang/>
        </w:rPr>
        <w:t>evident</w:t>
      </w:r>
      <w:r>
        <w:rPr>
          <w:rFonts w:ascii="Arial" w:hAnsi="Arial" w:cs="Arial"/>
          <w:lang/>
        </w:rPr>
        <w:t xml:space="preserve"> that killings must be identified, quantified and understood in the context of the indicator, the discussion in this document makes clear that this would be insufficient on its own; it would fail to capture the range of preliminary, interim or ‘warning’ signs that constitute violence against human rights defenders. As Resolution 74/176 makes clear, there is a need to capture and document these ‘other harmful acts’ – among which, kidnapping, enforced disappearance, arbitrary detention, and torture. </w:t>
      </w:r>
    </w:p>
    <w:p w:rsidR="003465AC" w:rsidRDefault="003465AC" w:rsidP="003465AC">
      <w:pPr>
        <w:spacing w:after="0"/>
        <w:rPr>
          <w:rFonts w:ascii="Arial" w:hAnsi="Arial" w:cs="Arial"/>
          <w:lang/>
        </w:rPr>
      </w:pPr>
    </w:p>
    <w:p w:rsidR="00821087" w:rsidRDefault="00821087" w:rsidP="003465AC">
      <w:pPr>
        <w:spacing w:after="0" w:line="240" w:lineRule="auto"/>
        <w:rPr>
          <w:rFonts w:ascii="Arial" w:hAnsi="Arial" w:cs="Arial"/>
          <w:b/>
          <w:lang/>
        </w:rPr>
      </w:pPr>
      <w:r w:rsidRPr="00A27E79">
        <w:rPr>
          <w:rFonts w:ascii="Arial" w:hAnsi="Arial" w:cs="Arial"/>
          <w:b/>
          <w:lang/>
        </w:rPr>
        <w:t>Conclusion</w:t>
      </w:r>
    </w:p>
    <w:p w:rsidR="00821087" w:rsidRDefault="00821087" w:rsidP="003465AC">
      <w:pPr>
        <w:spacing w:after="0"/>
        <w:rPr>
          <w:rFonts w:ascii="Arial" w:hAnsi="Arial" w:cs="Arial"/>
          <w:lang/>
        </w:rPr>
      </w:pPr>
    </w:p>
    <w:p w:rsidR="00821087" w:rsidRDefault="00821087" w:rsidP="003465AC">
      <w:pPr>
        <w:spacing w:after="0"/>
        <w:rPr>
          <w:rFonts w:ascii="Arial" w:hAnsi="Arial" w:cs="Arial"/>
          <w:lang/>
        </w:rPr>
      </w:pPr>
      <w:r>
        <w:rPr>
          <w:rFonts w:ascii="Arial" w:hAnsi="Arial" w:cs="Arial"/>
          <w:lang/>
        </w:rPr>
        <w:t xml:space="preserve">We appreciate the opportunity to share ISHR’s experience and views in the context of preparation for this report. We wish to conclude by encouraging the Special Rapporteur </w:t>
      </w:r>
      <w:r>
        <w:rPr>
          <w:rFonts w:ascii="Arial" w:hAnsi="Arial" w:cs="Arial"/>
          <w:lang/>
        </w:rPr>
        <w:lastRenderedPageBreak/>
        <w:t xml:space="preserve">on the situation of human rights defenders to consider including the following </w:t>
      </w:r>
      <w:r w:rsidR="003D5B12">
        <w:rPr>
          <w:rFonts w:ascii="Arial" w:hAnsi="Arial" w:cs="Arial"/>
          <w:lang/>
        </w:rPr>
        <w:t xml:space="preserve">activities or themes in the development of her </w:t>
      </w:r>
      <w:r>
        <w:rPr>
          <w:rFonts w:ascii="Arial" w:hAnsi="Arial" w:cs="Arial"/>
          <w:lang/>
        </w:rPr>
        <w:t xml:space="preserve">recommendations: </w:t>
      </w:r>
    </w:p>
    <w:p w:rsidR="00821087" w:rsidRDefault="003D5B12" w:rsidP="003465AC">
      <w:pPr>
        <w:pStyle w:val="ListParagraph"/>
        <w:numPr>
          <w:ilvl w:val="0"/>
          <w:numId w:val="9"/>
        </w:numPr>
        <w:spacing w:after="0"/>
        <w:rPr>
          <w:rFonts w:ascii="Arial" w:hAnsi="Arial" w:cs="Arial"/>
          <w:lang/>
        </w:rPr>
      </w:pPr>
      <w:r>
        <w:rPr>
          <w:rFonts w:ascii="Arial" w:hAnsi="Arial" w:cs="Arial"/>
          <w:lang/>
        </w:rPr>
        <w:t xml:space="preserve">the desirability of a study or project to gather </w:t>
      </w:r>
      <w:r w:rsidR="00821087">
        <w:rPr>
          <w:rFonts w:ascii="Arial" w:hAnsi="Arial" w:cs="Arial"/>
          <w:lang/>
        </w:rPr>
        <w:t xml:space="preserve">empirical evidence </w:t>
      </w:r>
      <w:r>
        <w:rPr>
          <w:rFonts w:ascii="Arial" w:hAnsi="Arial" w:cs="Arial"/>
          <w:lang/>
        </w:rPr>
        <w:t>to determine correlation between decreases in the number of reported killings, among other threats and acts of violence, and specific changes in policy, e.g., the adoption of a national law or policy on the recognition and protection of human rights defenders, or increased resources to an existing protection mechanism</w:t>
      </w:r>
    </w:p>
    <w:p w:rsidR="003D5B12" w:rsidRDefault="003D5B12" w:rsidP="00821087">
      <w:pPr>
        <w:pStyle w:val="ListParagraph"/>
        <w:numPr>
          <w:ilvl w:val="0"/>
          <w:numId w:val="9"/>
        </w:numPr>
        <w:rPr>
          <w:rFonts w:ascii="Arial" w:hAnsi="Arial" w:cs="Arial"/>
          <w:lang/>
        </w:rPr>
      </w:pPr>
      <w:r>
        <w:rPr>
          <w:rFonts w:ascii="Arial" w:hAnsi="Arial" w:cs="Arial"/>
          <w:lang/>
        </w:rPr>
        <w:t>collaboration with the Working Group on Business and Human Rights and the Special Rapporteur on freedom of opinion and expression, in order to more clearly identify the ways in which the UN Guiding Principles apply internet companies – and especially social media platforms – in the context of online attacks on defenders</w:t>
      </w:r>
    </w:p>
    <w:p w:rsidR="003D5B12" w:rsidRDefault="003D5B12" w:rsidP="00821087">
      <w:pPr>
        <w:pStyle w:val="ListParagraph"/>
        <w:numPr>
          <w:ilvl w:val="0"/>
          <w:numId w:val="9"/>
        </w:numPr>
        <w:rPr>
          <w:rFonts w:ascii="Arial" w:hAnsi="Arial" w:cs="Arial"/>
          <w:lang/>
        </w:rPr>
      </w:pPr>
      <w:r>
        <w:rPr>
          <w:rFonts w:ascii="Arial" w:hAnsi="Arial" w:cs="Arial"/>
          <w:lang/>
        </w:rPr>
        <w:t xml:space="preserve">support to existing efforts to increase accountability for killings and other attacks on defenders, including through national-level criminal procedures and regional and international accountability mechanisms, </w:t>
      </w:r>
      <w:r>
        <w:rPr>
          <w:rFonts w:ascii="Arial" w:hAnsi="Arial" w:cs="Arial"/>
          <w:i/>
          <w:lang/>
        </w:rPr>
        <w:t xml:space="preserve">inter alia, </w:t>
      </w:r>
      <w:r>
        <w:rPr>
          <w:rFonts w:ascii="Arial" w:hAnsi="Arial" w:cs="Arial"/>
          <w:lang/>
        </w:rPr>
        <w:t>Commissions of Inquiry and ‘horizontal sanctions regimes’ against human rights violators, such as the Magnitsky Act</w:t>
      </w:r>
    </w:p>
    <w:p w:rsidR="00821087" w:rsidRDefault="00821087" w:rsidP="00821087">
      <w:pPr>
        <w:pStyle w:val="ListParagraph"/>
        <w:numPr>
          <w:ilvl w:val="0"/>
          <w:numId w:val="9"/>
        </w:numPr>
        <w:rPr>
          <w:rFonts w:ascii="Arial" w:hAnsi="Arial" w:cs="Arial"/>
          <w:lang/>
        </w:rPr>
      </w:pPr>
      <w:r w:rsidRPr="00821087">
        <w:rPr>
          <w:rFonts w:ascii="Arial" w:hAnsi="Arial" w:cs="Arial"/>
          <w:lang/>
        </w:rPr>
        <w:t xml:space="preserve">the creation of a checklist or set of criteria by which governments and civil society, as well as relevant UN actors, could ensure that </w:t>
      </w:r>
      <w:r w:rsidR="003D5B12">
        <w:rPr>
          <w:rFonts w:ascii="Arial" w:hAnsi="Arial" w:cs="Arial"/>
          <w:lang/>
        </w:rPr>
        <w:t>progress towards</w:t>
      </w:r>
      <w:r w:rsidRPr="00821087">
        <w:rPr>
          <w:rFonts w:ascii="Arial" w:hAnsi="Arial" w:cs="Arial"/>
          <w:lang/>
        </w:rPr>
        <w:t xml:space="preserve"> SDG Goal 16 globally, and on a country-by-country basis, reflect</w:t>
      </w:r>
      <w:r w:rsidR="003D5B12">
        <w:rPr>
          <w:rFonts w:ascii="Arial" w:hAnsi="Arial" w:cs="Arial"/>
          <w:lang/>
        </w:rPr>
        <w:t>s</w:t>
      </w:r>
      <w:r w:rsidRPr="00821087">
        <w:rPr>
          <w:rFonts w:ascii="Arial" w:hAnsi="Arial" w:cs="Arial"/>
          <w:lang/>
        </w:rPr>
        <w:t xml:space="preserve"> the full picture of the environment for human rights defenders, up to and including the arbitrary deprivation of life</w:t>
      </w:r>
    </w:p>
    <w:p w:rsidR="00821087" w:rsidRPr="00821087" w:rsidRDefault="00821087" w:rsidP="00821087">
      <w:pPr>
        <w:pStyle w:val="ListParagraph"/>
        <w:rPr>
          <w:rFonts w:ascii="Arial" w:hAnsi="Arial" w:cs="Arial"/>
          <w:lang/>
        </w:rPr>
      </w:pPr>
    </w:p>
    <w:p w:rsidR="00821087" w:rsidRPr="00821087" w:rsidRDefault="00821087" w:rsidP="00AF25D3">
      <w:pPr>
        <w:rPr>
          <w:rFonts w:ascii="Arial" w:hAnsi="Arial" w:cs="Arial"/>
          <w:lang/>
        </w:rPr>
      </w:pPr>
      <w:r>
        <w:rPr>
          <w:rFonts w:ascii="Arial" w:hAnsi="Arial" w:cs="Arial"/>
          <w:lang/>
        </w:rPr>
        <w:t xml:space="preserve"> </w:t>
      </w:r>
    </w:p>
    <w:p w:rsidR="00A27E79" w:rsidRPr="00E82055" w:rsidRDefault="00A27E79" w:rsidP="00C2313A">
      <w:pPr>
        <w:spacing w:after="0" w:line="240" w:lineRule="auto"/>
        <w:rPr>
          <w:rFonts w:ascii="Arial" w:hAnsi="Arial" w:cs="Arial"/>
          <w:lang/>
        </w:rPr>
      </w:pPr>
    </w:p>
    <w:sectPr w:rsidR="00A27E79" w:rsidRPr="00E82055">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FE" w:rsidRDefault="00AE36FE" w:rsidP="00B34FFF">
      <w:pPr>
        <w:spacing w:after="0" w:line="240" w:lineRule="auto"/>
      </w:pPr>
      <w:r>
        <w:separator/>
      </w:r>
    </w:p>
  </w:endnote>
  <w:endnote w:type="continuationSeparator" w:id="0">
    <w:p w:rsidR="00AE36FE" w:rsidRDefault="00AE36FE" w:rsidP="00B3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77453644"/>
      <w:docPartObj>
        <w:docPartGallery w:val="Page Numbers (Bottom of Page)"/>
        <w:docPartUnique/>
      </w:docPartObj>
    </w:sdtPr>
    <w:sdtEndPr>
      <w:rPr>
        <w:noProof/>
      </w:rPr>
    </w:sdtEndPr>
    <w:sdtContent>
      <w:p w:rsidR="003465AC" w:rsidRPr="003465AC" w:rsidRDefault="003465AC">
        <w:pPr>
          <w:pStyle w:val="Footer"/>
          <w:jc w:val="center"/>
          <w:rPr>
            <w:rFonts w:ascii="Arial" w:hAnsi="Arial" w:cs="Arial"/>
          </w:rPr>
        </w:pPr>
        <w:r w:rsidRPr="003465AC">
          <w:rPr>
            <w:rFonts w:ascii="Arial" w:hAnsi="Arial" w:cs="Arial"/>
          </w:rPr>
          <w:fldChar w:fldCharType="begin"/>
        </w:r>
        <w:r w:rsidRPr="003465AC">
          <w:rPr>
            <w:rFonts w:ascii="Arial" w:hAnsi="Arial" w:cs="Arial"/>
          </w:rPr>
          <w:instrText xml:space="preserve"> PAGE   \* MERGEFORMAT </w:instrText>
        </w:r>
        <w:r w:rsidRPr="003465AC">
          <w:rPr>
            <w:rFonts w:ascii="Arial" w:hAnsi="Arial" w:cs="Arial"/>
          </w:rPr>
          <w:fldChar w:fldCharType="separate"/>
        </w:r>
        <w:r w:rsidR="00241450">
          <w:rPr>
            <w:rFonts w:ascii="Arial" w:hAnsi="Arial" w:cs="Arial"/>
            <w:noProof/>
          </w:rPr>
          <w:t>4</w:t>
        </w:r>
        <w:r w:rsidRPr="003465AC">
          <w:rPr>
            <w:rFonts w:ascii="Arial" w:hAnsi="Arial" w:cs="Arial"/>
            <w:noProof/>
          </w:rPr>
          <w:fldChar w:fldCharType="end"/>
        </w:r>
      </w:p>
    </w:sdtContent>
  </w:sdt>
  <w:p w:rsidR="003465AC" w:rsidRDefault="0034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FE" w:rsidRDefault="00AE36FE" w:rsidP="00B34FFF">
      <w:pPr>
        <w:spacing w:after="0" w:line="240" w:lineRule="auto"/>
      </w:pPr>
      <w:r>
        <w:separator/>
      </w:r>
    </w:p>
  </w:footnote>
  <w:footnote w:type="continuationSeparator" w:id="0">
    <w:p w:rsidR="00AE36FE" w:rsidRDefault="00AE36FE" w:rsidP="00B34FFF">
      <w:pPr>
        <w:spacing w:after="0" w:line="240" w:lineRule="auto"/>
      </w:pPr>
      <w:r>
        <w:continuationSeparator/>
      </w:r>
    </w:p>
  </w:footnote>
  <w:footnote w:id="1">
    <w:p w:rsidR="003D5B12" w:rsidRPr="00B34FFF" w:rsidRDefault="003D5B12" w:rsidP="00B34FFF">
      <w:pPr>
        <w:rPr>
          <w:rFonts w:ascii="Arial" w:hAnsi="Arial" w:cs="Arial"/>
          <w:sz w:val="18"/>
        </w:rPr>
      </w:pPr>
      <w:r w:rsidRPr="00B34FFF">
        <w:rPr>
          <w:rStyle w:val="FootnoteReference"/>
          <w:rFonts w:ascii="Arial" w:hAnsi="Arial" w:cs="Arial"/>
          <w:sz w:val="18"/>
        </w:rPr>
        <w:footnoteRef/>
      </w:r>
      <w:r w:rsidRPr="00B34FFF">
        <w:rPr>
          <w:rFonts w:ascii="Arial" w:hAnsi="Arial" w:cs="Arial"/>
          <w:sz w:val="18"/>
        </w:rPr>
        <w:t xml:space="preserve"> </w:t>
      </w:r>
      <w:r w:rsidRPr="00B34FFF">
        <w:rPr>
          <w:rFonts w:ascii="Arial" w:hAnsi="Arial" w:cs="Arial"/>
          <w:sz w:val="18"/>
          <w:lang/>
        </w:rPr>
        <w:t>Full text</w:t>
      </w:r>
      <w:r>
        <w:rPr>
          <w:rFonts w:ascii="Arial" w:hAnsi="Arial" w:cs="Arial"/>
          <w:sz w:val="18"/>
          <w:lang/>
        </w:rPr>
        <w:t xml:space="preserve"> of A/RES/74/146</w:t>
      </w:r>
      <w:r w:rsidRPr="00B34FFF">
        <w:rPr>
          <w:rFonts w:ascii="Arial" w:hAnsi="Arial" w:cs="Arial"/>
          <w:sz w:val="18"/>
          <w:lang/>
        </w:rPr>
        <w:t xml:space="preserve"> (para 19) reads: </w:t>
      </w:r>
      <w:r w:rsidRPr="00B34FFF">
        <w:rPr>
          <w:rFonts w:ascii="Arial" w:hAnsi="Arial" w:cs="Arial"/>
          <w:i/>
          <w:iCs/>
          <w:sz w:val="18"/>
        </w:rPr>
        <w:t xml:space="preserve">Recognizes the important contribution of the promotion and protection of the safety of human rights defenders in the realization of the Sustainable Development Goals, including target 16.10, and calls upon States to strengthen national disaggregated data collection, analysis and reporting on the number of verified cases of killing, kidnapping, enforced disappearance, arbitrary detention, torture and other harmful acts against human rights advocates, as reflected in Sustainable Development Goal indicator 16.10.1, and to do their utmost to make these data available to the relevant entities;  </w:t>
      </w:r>
    </w:p>
    <w:p w:rsidR="003D5B12" w:rsidRPr="00B34FFF" w:rsidRDefault="003D5B1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6F52"/>
    <w:multiLevelType w:val="hybridMultilevel"/>
    <w:tmpl w:val="D1AE7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803F2"/>
    <w:multiLevelType w:val="multilevel"/>
    <w:tmpl w:val="02BE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A5D4C"/>
    <w:multiLevelType w:val="multilevel"/>
    <w:tmpl w:val="F1AA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C325B"/>
    <w:multiLevelType w:val="hybridMultilevel"/>
    <w:tmpl w:val="FB988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1E7890"/>
    <w:multiLevelType w:val="hybridMultilevel"/>
    <w:tmpl w:val="E1308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C3C47"/>
    <w:multiLevelType w:val="multilevel"/>
    <w:tmpl w:val="528C3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35C68"/>
    <w:multiLevelType w:val="multilevel"/>
    <w:tmpl w:val="7ED6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909E3"/>
    <w:multiLevelType w:val="hybridMultilevel"/>
    <w:tmpl w:val="EC40E0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E1D38"/>
    <w:multiLevelType w:val="hybridMultilevel"/>
    <w:tmpl w:val="3D4C0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733FF"/>
    <w:multiLevelType w:val="hybridMultilevel"/>
    <w:tmpl w:val="1734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43E37"/>
    <w:multiLevelType w:val="hybridMultilevel"/>
    <w:tmpl w:val="FD7C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A36FA"/>
    <w:multiLevelType w:val="multilevel"/>
    <w:tmpl w:val="8FE8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F5C89"/>
    <w:multiLevelType w:val="multilevel"/>
    <w:tmpl w:val="A0207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52355"/>
    <w:multiLevelType w:val="hybridMultilevel"/>
    <w:tmpl w:val="6CFA1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1"/>
  </w:num>
  <w:num w:numId="5">
    <w:abstractNumId w:val="2"/>
  </w:num>
  <w:num w:numId="6">
    <w:abstractNumId w:val="4"/>
  </w:num>
  <w:num w:numId="7">
    <w:abstractNumId w:val="8"/>
  </w:num>
  <w:num w:numId="8">
    <w:abstractNumId w:val="13"/>
  </w:num>
  <w:num w:numId="9">
    <w:abstractNumId w:val="0"/>
  </w:num>
  <w:num w:numId="10">
    <w:abstractNumId w:val="9"/>
  </w:num>
  <w:num w:numId="11">
    <w:abstractNumId w:val="3"/>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3A"/>
    <w:rsid w:val="0020642F"/>
    <w:rsid w:val="00222613"/>
    <w:rsid w:val="00241450"/>
    <w:rsid w:val="00341D0B"/>
    <w:rsid w:val="003465AC"/>
    <w:rsid w:val="003D5B12"/>
    <w:rsid w:val="004C2A11"/>
    <w:rsid w:val="005E5ECC"/>
    <w:rsid w:val="007B402A"/>
    <w:rsid w:val="007B6066"/>
    <w:rsid w:val="00821087"/>
    <w:rsid w:val="00865B9D"/>
    <w:rsid w:val="008F55D5"/>
    <w:rsid w:val="00A27E79"/>
    <w:rsid w:val="00A5006F"/>
    <w:rsid w:val="00A65594"/>
    <w:rsid w:val="00A7111B"/>
    <w:rsid w:val="00AE36FE"/>
    <w:rsid w:val="00AF25D3"/>
    <w:rsid w:val="00B34FFF"/>
    <w:rsid w:val="00BF2DF0"/>
    <w:rsid w:val="00C2313A"/>
    <w:rsid w:val="00C726E7"/>
    <w:rsid w:val="00D843F7"/>
    <w:rsid w:val="00E82055"/>
    <w:rsid w:val="00F641FA"/>
    <w:rsid w:val="00FF4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DAD7-FD02-4FDD-A681-17C94CB7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1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13A"/>
    <w:rPr>
      <w:color w:val="0000FF"/>
      <w:u w:val="single"/>
    </w:rPr>
  </w:style>
  <w:style w:type="paragraph" w:styleId="ListParagraph">
    <w:name w:val="List Paragraph"/>
    <w:basedOn w:val="Normal"/>
    <w:uiPriority w:val="34"/>
    <w:qFormat/>
    <w:rsid w:val="00C2313A"/>
    <w:pPr>
      <w:ind w:left="720"/>
      <w:contextualSpacing/>
    </w:pPr>
  </w:style>
  <w:style w:type="paragraph" w:styleId="BalloonText">
    <w:name w:val="Balloon Text"/>
    <w:basedOn w:val="Normal"/>
    <w:link w:val="BalloonTextChar"/>
    <w:uiPriority w:val="99"/>
    <w:semiHidden/>
    <w:unhideWhenUsed/>
    <w:rsid w:val="00A2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79"/>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B34FFF"/>
    <w:rPr>
      <w:color w:val="605E5C"/>
      <w:shd w:val="clear" w:color="auto" w:fill="E1DFDD"/>
    </w:rPr>
  </w:style>
  <w:style w:type="paragraph" w:styleId="FootnoteText">
    <w:name w:val="footnote text"/>
    <w:basedOn w:val="Normal"/>
    <w:link w:val="FootnoteTextChar"/>
    <w:uiPriority w:val="99"/>
    <w:semiHidden/>
    <w:unhideWhenUsed/>
    <w:rsid w:val="00B34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FFF"/>
    <w:rPr>
      <w:sz w:val="20"/>
      <w:szCs w:val="20"/>
      <w:lang w:val="en-GB"/>
    </w:rPr>
  </w:style>
  <w:style w:type="character" w:styleId="FootnoteReference">
    <w:name w:val="footnote reference"/>
    <w:basedOn w:val="DefaultParagraphFont"/>
    <w:uiPriority w:val="99"/>
    <w:semiHidden/>
    <w:unhideWhenUsed/>
    <w:rsid w:val="00B34FFF"/>
    <w:rPr>
      <w:vertAlign w:val="superscript"/>
    </w:rPr>
  </w:style>
  <w:style w:type="paragraph" w:styleId="Header">
    <w:name w:val="header"/>
    <w:basedOn w:val="Normal"/>
    <w:link w:val="HeaderChar"/>
    <w:uiPriority w:val="99"/>
    <w:unhideWhenUsed/>
    <w:rsid w:val="0034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5AC"/>
    <w:rPr>
      <w:lang w:val="en-GB"/>
    </w:rPr>
  </w:style>
  <w:style w:type="paragraph" w:styleId="Footer">
    <w:name w:val="footer"/>
    <w:basedOn w:val="Normal"/>
    <w:link w:val="FooterChar"/>
    <w:uiPriority w:val="99"/>
    <w:unhideWhenUsed/>
    <w:rsid w:val="0034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5A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6246">
      <w:bodyDiv w:val="1"/>
      <w:marLeft w:val="0"/>
      <w:marRight w:val="0"/>
      <w:marTop w:val="0"/>
      <w:marBottom w:val="0"/>
      <w:divBdr>
        <w:top w:val="none" w:sz="0" w:space="0" w:color="auto"/>
        <w:left w:val="none" w:sz="0" w:space="0" w:color="auto"/>
        <w:bottom w:val="none" w:sz="0" w:space="0" w:color="auto"/>
        <w:right w:val="none" w:sz="0" w:space="0" w:color="auto"/>
      </w:divBdr>
      <w:divsChild>
        <w:div w:id="873618220">
          <w:marLeft w:val="0"/>
          <w:marRight w:val="0"/>
          <w:marTop w:val="0"/>
          <w:marBottom w:val="0"/>
          <w:divBdr>
            <w:top w:val="none" w:sz="0" w:space="0" w:color="auto"/>
            <w:left w:val="none" w:sz="0" w:space="0" w:color="auto"/>
            <w:bottom w:val="none" w:sz="0" w:space="0" w:color="auto"/>
            <w:right w:val="none" w:sz="0" w:space="0" w:color="auto"/>
          </w:divBdr>
        </w:div>
        <w:div w:id="962420189">
          <w:marLeft w:val="0"/>
          <w:marRight w:val="0"/>
          <w:marTop w:val="0"/>
          <w:marBottom w:val="0"/>
          <w:divBdr>
            <w:top w:val="none" w:sz="0" w:space="0" w:color="auto"/>
            <w:left w:val="none" w:sz="0" w:space="0" w:color="auto"/>
            <w:bottom w:val="none" w:sz="0" w:space="0" w:color="auto"/>
            <w:right w:val="none" w:sz="0" w:space="0" w:color="auto"/>
          </w:divBdr>
        </w:div>
      </w:divsChild>
    </w:div>
    <w:div w:id="1576549543">
      <w:bodyDiv w:val="1"/>
      <w:marLeft w:val="0"/>
      <w:marRight w:val="0"/>
      <w:marTop w:val="0"/>
      <w:marBottom w:val="0"/>
      <w:divBdr>
        <w:top w:val="none" w:sz="0" w:space="0" w:color="auto"/>
        <w:left w:val="none" w:sz="0" w:space="0" w:color="auto"/>
        <w:bottom w:val="none" w:sz="0" w:space="0" w:color="auto"/>
        <w:right w:val="none" w:sz="0" w:space="0" w:color="auto"/>
      </w:divBdr>
    </w:div>
    <w:div w:id="2042784902">
      <w:bodyDiv w:val="1"/>
      <w:marLeft w:val="0"/>
      <w:marRight w:val="0"/>
      <w:marTop w:val="0"/>
      <w:marBottom w:val="0"/>
      <w:divBdr>
        <w:top w:val="none" w:sz="0" w:space="0" w:color="auto"/>
        <w:left w:val="none" w:sz="0" w:space="0" w:color="auto"/>
        <w:bottom w:val="none" w:sz="0" w:space="0" w:color="auto"/>
        <w:right w:val="none" w:sz="0" w:space="0" w:color="auto"/>
      </w:divBdr>
      <w:divsChild>
        <w:div w:id="93062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hchr.org/documents/dpage_e.aspx?si=A/HRC/RES/24/21" TargetMode="External"/><Relationship Id="rId13" Type="http://schemas.openxmlformats.org/officeDocument/2006/relationships/hyperlink" Target="Source:%20https://forgeorganizing.org/article/shaping-narrative-shifting-power-interviews-organizers?mc_cid=e56282b452&amp;mc_eid=7099db8e24"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openglobalrights.org/brain-research-suggests-emphasizing-human-rights-abuses-may-perpetuate-th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docs.org/en/A/RES/74/146"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HRC/44/47/Add.2" TargetMode="External"/><Relationship Id="rId5" Type="http://schemas.openxmlformats.org/officeDocument/2006/relationships/webSettings" Target="webSettings.xml"/><Relationship Id="rId15" Type="http://schemas.openxmlformats.org/officeDocument/2006/relationships/hyperlink" Target="https://www.ishr.ch/news/model-law" TargetMode="External"/><Relationship Id="rId10" Type="http://schemas.openxmlformats.org/officeDocument/2006/relationships/hyperlink" Target="http://www.oacnudh.org.gt/images/CONTENIDOS/ARTICULOS/INFORMESANTERIORES/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chr.org/Documents/HRBodies/HRCouncil/FFMV/A_HRC_45_33_AUV.pdf" TargetMode="External"/><Relationship Id="rId14" Type="http://schemas.openxmlformats.org/officeDocument/2006/relationships/hyperlink" Target="https://www.openglobalrights.org/instead-of-shrinking-space-lets-talk-about-humanitys-shared-future/"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8C5FCB-0621-4E54-8523-B2F1B46AAAA6}">
  <ds:schemaRefs>
    <ds:schemaRef ds:uri="http://schemas.openxmlformats.org/officeDocument/2006/bibliography"/>
  </ds:schemaRefs>
</ds:datastoreItem>
</file>

<file path=customXml/itemProps2.xml><?xml version="1.0" encoding="utf-8"?>
<ds:datastoreItem xmlns:ds="http://schemas.openxmlformats.org/officeDocument/2006/customXml" ds:itemID="{56875037-355E-47F8-8E13-123DA01AAD3C}"/>
</file>

<file path=customXml/itemProps3.xml><?xml version="1.0" encoding="utf-8"?>
<ds:datastoreItem xmlns:ds="http://schemas.openxmlformats.org/officeDocument/2006/customXml" ds:itemID="{F031E29C-AB5C-40FA-95B0-76E87620209A}"/>
</file>

<file path=customXml/itemProps4.xml><?xml version="1.0" encoding="utf-8"?>
<ds:datastoreItem xmlns:ds="http://schemas.openxmlformats.org/officeDocument/2006/customXml" ds:itemID="{4ECE60D0-C71D-4D3C-BCCF-28E1A4855FCA}"/>
</file>

<file path=docProps/app.xml><?xml version="1.0" encoding="utf-8"?>
<Properties xmlns="http://schemas.openxmlformats.org/officeDocument/2006/extended-properties" xmlns:vt="http://schemas.openxmlformats.org/officeDocument/2006/docPropsVTypes">
  <Template>Normal.dotm</Template>
  <TotalTime>0</TotalTime>
  <Pages>6</Pages>
  <Words>2826</Words>
  <Characters>16112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dc:creator>
  <cp:keywords/>
  <dc:description/>
  <cp:lastModifiedBy>HRD RA</cp:lastModifiedBy>
  <cp:revision>2</cp:revision>
  <dcterms:created xsi:type="dcterms:W3CDTF">2020-10-08T14:05:00Z</dcterms:created>
  <dcterms:modified xsi:type="dcterms:W3CDTF">2020-10-08T14:05:00Z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