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2E64" w14:textId="6F26C9BA" w:rsidR="00914055" w:rsidRPr="00744626" w:rsidRDefault="005A4178" w:rsidP="005A4178">
      <w:pPr>
        <w:tabs>
          <w:tab w:val="left" w:pos="7949"/>
        </w:tabs>
        <w:rPr>
          <w:b/>
          <w:bCs/>
          <w:lang w:val="en-GB"/>
        </w:rPr>
      </w:pPr>
      <w:bookmarkStart w:id="0" w:name="_GoBack"/>
      <w:bookmarkEnd w:id="0"/>
      <w:r w:rsidRPr="00744626">
        <w:rPr>
          <w:b/>
          <w:bCs/>
          <w:noProof/>
          <w:lang w:val="en-GB"/>
        </w:rPr>
        <w:t xml:space="preserve">Response to the </w:t>
      </w:r>
      <w:r w:rsidR="00FF7193" w:rsidRPr="00744626">
        <w:rPr>
          <w:b/>
          <w:bCs/>
          <w:noProof/>
          <w:lang w:val="en-GB"/>
        </w:rPr>
        <w:t xml:space="preserve">Questionnaire from the </w:t>
      </w:r>
      <w:r w:rsidRPr="00744626">
        <w:rPr>
          <w:b/>
          <w:bCs/>
          <w:noProof/>
          <w:lang w:val="en-GB"/>
        </w:rPr>
        <w:t>UN</w:t>
      </w:r>
      <w:r w:rsidR="00191FE0" w:rsidRPr="00744626">
        <w:rPr>
          <w:b/>
          <w:bCs/>
          <w:noProof/>
          <w:lang w:val="en-GB"/>
        </w:rPr>
        <w:t xml:space="preserve"> Special R</w:t>
      </w:r>
      <w:r w:rsidRPr="00744626">
        <w:rPr>
          <w:b/>
          <w:bCs/>
          <w:noProof/>
          <w:lang w:val="en-GB"/>
        </w:rPr>
        <w:t>apporteu</w:t>
      </w:r>
      <w:r w:rsidR="002A09A1" w:rsidRPr="00744626">
        <w:rPr>
          <w:b/>
          <w:bCs/>
          <w:noProof/>
          <w:lang w:val="en-GB"/>
        </w:rPr>
        <w:t>r</w:t>
      </w:r>
      <w:r w:rsidRPr="00744626">
        <w:rPr>
          <w:b/>
          <w:bCs/>
          <w:noProof/>
          <w:lang w:val="en-GB"/>
        </w:rPr>
        <w:t xml:space="preserve"> on </w:t>
      </w:r>
      <w:r w:rsidR="00191FE0" w:rsidRPr="00744626">
        <w:rPr>
          <w:b/>
          <w:bCs/>
          <w:noProof/>
          <w:lang w:val="en-GB"/>
        </w:rPr>
        <w:t xml:space="preserve">the situation of </w:t>
      </w:r>
      <w:r w:rsidRPr="00744626">
        <w:rPr>
          <w:b/>
          <w:bCs/>
          <w:noProof/>
          <w:lang w:val="en-GB"/>
        </w:rPr>
        <w:t>human rights defenders</w:t>
      </w:r>
      <w:r w:rsidR="00914055" w:rsidRPr="00744626">
        <w:rPr>
          <w:b/>
          <w:bCs/>
          <w:noProof/>
          <w:lang w:val="en-GB"/>
        </w:rPr>
        <w:tab/>
      </w:r>
    </w:p>
    <w:p w14:paraId="68BE4933" w14:textId="77777777" w:rsidR="00914055" w:rsidRPr="005A4178" w:rsidRDefault="00914055">
      <w:pPr>
        <w:tabs>
          <w:tab w:val="left" w:pos="7949"/>
        </w:tabs>
        <w:ind w:left="113"/>
        <w:rPr>
          <w:lang w:val="en-GB"/>
        </w:rPr>
      </w:pPr>
      <w:r w:rsidRPr="005A4178">
        <w:rPr>
          <w:noProof/>
          <w:lang w:val="en-GB"/>
        </w:rPr>
        <w:tab/>
      </w:r>
    </w:p>
    <w:tbl>
      <w:tblPr>
        <w:tblStyle w:val="TableGrid"/>
        <w:tblW w:w="0" w:type="auto"/>
        <w:tblLook w:val="04A0" w:firstRow="1" w:lastRow="0" w:firstColumn="1" w:lastColumn="0" w:noHBand="0" w:noVBand="1"/>
      </w:tblPr>
      <w:tblGrid>
        <w:gridCol w:w="321"/>
        <w:gridCol w:w="6601"/>
        <w:gridCol w:w="7026"/>
      </w:tblGrid>
      <w:tr w:rsidR="00F50192" w14:paraId="355788E3" w14:textId="77777777" w:rsidTr="00BE062E">
        <w:tc>
          <w:tcPr>
            <w:tcW w:w="321" w:type="dxa"/>
          </w:tcPr>
          <w:p w14:paraId="2887B4A6" w14:textId="77777777" w:rsidR="00914055" w:rsidRPr="005A4178" w:rsidRDefault="00914055">
            <w:pPr>
              <w:rPr>
                <w:noProof/>
                <w:lang w:val="en-GB"/>
              </w:rPr>
            </w:pPr>
          </w:p>
        </w:tc>
        <w:tc>
          <w:tcPr>
            <w:tcW w:w="7187" w:type="dxa"/>
          </w:tcPr>
          <w:p w14:paraId="1B34B9B5" w14:textId="6C58DF9E" w:rsidR="00914055" w:rsidRDefault="00914055">
            <w:pPr>
              <w:rPr>
                <w:noProof/>
              </w:rPr>
            </w:pPr>
            <w:r>
              <w:rPr>
                <w:noProof/>
              </w:rPr>
              <w:t>Question</w:t>
            </w:r>
          </w:p>
        </w:tc>
        <w:tc>
          <w:tcPr>
            <w:tcW w:w="6440" w:type="dxa"/>
          </w:tcPr>
          <w:p w14:paraId="50C51F88" w14:textId="511D3B44" w:rsidR="00914055" w:rsidRDefault="00914055">
            <w:r>
              <w:t>Answer</w:t>
            </w:r>
          </w:p>
        </w:tc>
      </w:tr>
      <w:tr w:rsidR="00F50192" w:rsidRPr="00296072" w14:paraId="79150BE9" w14:textId="77777777" w:rsidTr="00BE062E">
        <w:tc>
          <w:tcPr>
            <w:tcW w:w="321" w:type="dxa"/>
          </w:tcPr>
          <w:p w14:paraId="5D831DC1" w14:textId="5C57C168" w:rsidR="00914055" w:rsidRDefault="00914055">
            <w:pPr>
              <w:rPr>
                <w:noProof/>
              </w:rPr>
            </w:pPr>
            <w:r>
              <w:rPr>
                <w:noProof/>
              </w:rPr>
              <w:t>1</w:t>
            </w:r>
          </w:p>
        </w:tc>
        <w:tc>
          <w:tcPr>
            <w:tcW w:w="7187" w:type="dxa"/>
          </w:tcPr>
          <w:p w14:paraId="5D1D8F00" w14:textId="792A0EB5" w:rsidR="00914055" w:rsidRDefault="00914055">
            <w:r>
              <w:rPr>
                <w:noProof/>
                <w:lang w:val="en-GB" w:eastAsia="en-GB"/>
              </w:rPr>
              <w:drawing>
                <wp:inline distT="0" distB="0" distL="0" distR="0" wp14:anchorId="0E665839" wp14:editId="7C59EBB5">
                  <wp:extent cx="4286580" cy="501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3012" cy="530441"/>
                          </a:xfrm>
                          <a:prstGeom prst="rect">
                            <a:avLst/>
                          </a:prstGeom>
                        </pic:spPr>
                      </pic:pic>
                    </a:graphicData>
                  </a:graphic>
                </wp:inline>
              </w:drawing>
            </w:r>
          </w:p>
        </w:tc>
        <w:tc>
          <w:tcPr>
            <w:tcW w:w="6440" w:type="dxa"/>
          </w:tcPr>
          <w:p w14:paraId="5203DBD3" w14:textId="0312FCCD" w:rsidR="00914055" w:rsidRPr="000165AC" w:rsidRDefault="00FA7368">
            <w:pPr>
              <w:rPr>
                <w:lang w:val="en-GB"/>
              </w:rPr>
            </w:pPr>
            <w:r w:rsidRPr="00BE062E">
              <w:rPr>
                <w:rStyle w:val="CommentReference"/>
                <w:sz w:val="22"/>
                <w:szCs w:val="22"/>
                <w:lang w:val="en-GB"/>
              </w:rPr>
              <w:t xml:space="preserve">Our environmental and social risk management framework requires that we </w:t>
            </w:r>
            <w:r w:rsidR="00DB1C89">
              <w:rPr>
                <w:rStyle w:val="CommentReference"/>
                <w:sz w:val="22"/>
                <w:szCs w:val="22"/>
                <w:lang w:val="en-GB"/>
              </w:rPr>
              <w:t xml:space="preserve">require </w:t>
            </w:r>
            <w:r w:rsidRPr="00BE062E">
              <w:rPr>
                <w:rStyle w:val="CommentReference"/>
                <w:sz w:val="22"/>
                <w:szCs w:val="22"/>
                <w:lang w:val="en-GB"/>
              </w:rPr>
              <w:t xml:space="preserve">FPIC whenever indigenous people </w:t>
            </w:r>
            <w:proofErr w:type="gramStart"/>
            <w:r w:rsidRPr="00BE062E">
              <w:rPr>
                <w:rStyle w:val="CommentReference"/>
                <w:sz w:val="22"/>
                <w:szCs w:val="22"/>
                <w:lang w:val="en-GB"/>
              </w:rPr>
              <w:t>may be impacted</w:t>
            </w:r>
            <w:proofErr w:type="gramEnd"/>
            <w:r w:rsidRPr="00BE062E">
              <w:rPr>
                <w:rStyle w:val="CommentReference"/>
                <w:sz w:val="22"/>
                <w:szCs w:val="22"/>
                <w:lang w:val="en-GB"/>
              </w:rPr>
              <w:t xml:space="preserve"> by project activities. Our Environmental and Social due diligence </w:t>
            </w:r>
            <w:r>
              <w:rPr>
                <w:rStyle w:val="CommentReference"/>
                <w:sz w:val="22"/>
                <w:szCs w:val="22"/>
                <w:lang w:val="en-GB"/>
              </w:rPr>
              <w:t>(</w:t>
            </w:r>
            <w:r>
              <w:rPr>
                <w:rStyle w:val="CommentReference"/>
                <w:lang w:val="en-GB"/>
              </w:rPr>
              <w:t xml:space="preserve">ESDD) </w:t>
            </w:r>
            <w:r w:rsidRPr="00BE062E">
              <w:rPr>
                <w:rStyle w:val="CommentReference"/>
                <w:sz w:val="22"/>
                <w:szCs w:val="22"/>
                <w:lang w:val="en-GB"/>
              </w:rPr>
              <w:t>requires us to verify that FPIC was given, in all such cases where it is applicable</w:t>
            </w:r>
            <w:r>
              <w:rPr>
                <w:rStyle w:val="CommentReference"/>
                <w:sz w:val="22"/>
                <w:szCs w:val="22"/>
                <w:lang w:val="en-GB"/>
              </w:rPr>
              <w:t>.</w:t>
            </w:r>
            <w:r w:rsidR="0029703A">
              <w:rPr>
                <w:rStyle w:val="CommentReference"/>
                <w:sz w:val="22"/>
                <w:szCs w:val="22"/>
                <w:lang w:val="en-GB"/>
              </w:rPr>
              <w:t xml:space="preserve"> </w:t>
            </w:r>
            <w:r w:rsidR="0029703A">
              <w:rPr>
                <w:lang w:val="en-GB"/>
              </w:rPr>
              <w:t>In our ESDD we analyse, and triangulate information provided by the client as well as third parties and public sources, and community consultations. T</w:t>
            </w:r>
            <w:r w:rsidR="0029703A" w:rsidRPr="00FA7368">
              <w:rPr>
                <w:lang w:val="en-GB"/>
              </w:rPr>
              <w:t>his in</w:t>
            </w:r>
            <w:r w:rsidR="0029703A">
              <w:rPr>
                <w:lang w:val="en-GB"/>
              </w:rPr>
              <w:t>cludes information about both, the prospective project, and the context. In addition, we</w:t>
            </w:r>
            <w:r w:rsidR="004152B3">
              <w:rPr>
                <w:lang w:val="en-GB"/>
              </w:rPr>
              <w:t xml:space="preserve"> often</w:t>
            </w:r>
            <w:r w:rsidR="0029703A">
              <w:rPr>
                <w:lang w:val="en-GB"/>
              </w:rPr>
              <w:t xml:space="preserve"> carry out field visits and utilize external specialist consultants to provide deeper analysis and insight.</w:t>
            </w:r>
          </w:p>
        </w:tc>
      </w:tr>
      <w:tr w:rsidR="00F50192" w:rsidRPr="00242A0F" w14:paraId="78E42CE4" w14:textId="77777777" w:rsidTr="00BE062E">
        <w:trPr>
          <w:trHeight w:val="1300"/>
        </w:trPr>
        <w:tc>
          <w:tcPr>
            <w:tcW w:w="321" w:type="dxa"/>
          </w:tcPr>
          <w:p w14:paraId="08A3308E" w14:textId="2DA39A09" w:rsidR="000165AC" w:rsidRDefault="000165AC">
            <w:pPr>
              <w:rPr>
                <w:noProof/>
              </w:rPr>
            </w:pPr>
            <w:r>
              <w:rPr>
                <w:noProof/>
              </w:rPr>
              <w:t>2</w:t>
            </w:r>
          </w:p>
        </w:tc>
        <w:tc>
          <w:tcPr>
            <w:tcW w:w="7187" w:type="dxa"/>
          </w:tcPr>
          <w:p w14:paraId="3A6EBEA0" w14:textId="77777777" w:rsidR="000165AC" w:rsidRDefault="000165AC">
            <w:r>
              <w:rPr>
                <w:noProof/>
                <w:lang w:val="en-GB" w:eastAsia="en-GB"/>
              </w:rPr>
              <w:drawing>
                <wp:inline distT="0" distB="0" distL="0" distR="0" wp14:anchorId="671D1763" wp14:editId="78431A88">
                  <wp:extent cx="4297151" cy="2978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0533" cy="318841"/>
                          </a:xfrm>
                          <a:prstGeom prst="rect">
                            <a:avLst/>
                          </a:prstGeom>
                        </pic:spPr>
                      </pic:pic>
                    </a:graphicData>
                  </a:graphic>
                </wp:inline>
              </w:drawing>
            </w:r>
          </w:p>
          <w:p w14:paraId="3776D6D1" w14:textId="4593CBA7" w:rsidR="000165AC" w:rsidRDefault="000165AC" w:rsidP="00354DC7">
            <w:r>
              <w:rPr>
                <w:noProof/>
                <w:lang w:val="en-GB" w:eastAsia="en-GB"/>
              </w:rPr>
              <w:drawing>
                <wp:inline distT="0" distB="0" distL="0" distR="0" wp14:anchorId="51F8A31A" wp14:editId="6D7B7748">
                  <wp:extent cx="4323579" cy="5207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7083" cy="542800"/>
                          </a:xfrm>
                          <a:prstGeom prst="rect">
                            <a:avLst/>
                          </a:prstGeom>
                        </pic:spPr>
                      </pic:pic>
                    </a:graphicData>
                  </a:graphic>
                </wp:inline>
              </w:drawing>
            </w:r>
          </w:p>
        </w:tc>
        <w:tc>
          <w:tcPr>
            <w:tcW w:w="6440" w:type="dxa"/>
          </w:tcPr>
          <w:p w14:paraId="1324A902" w14:textId="2CFAC679" w:rsidR="000D1810" w:rsidRDefault="000165AC">
            <w:pPr>
              <w:rPr>
                <w:lang w:val="en-GB"/>
              </w:rPr>
            </w:pPr>
            <w:r w:rsidRPr="000165AC">
              <w:rPr>
                <w:lang w:val="en-GB"/>
              </w:rPr>
              <w:t xml:space="preserve">At the </w:t>
            </w:r>
            <w:r w:rsidR="00BE062E">
              <w:rPr>
                <w:lang w:val="en-GB"/>
              </w:rPr>
              <w:t>beginning</w:t>
            </w:r>
            <w:r w:rsidRPr="000165AC">
              <w:rPr>
                <w:lang w:val="en-GB"/>
              </w:rPr>
              <w:t xml:space="preserve"> of o</w:t>
            </w:r>
            <w:r>
              <w:rPr>
                <w:lang w:val="en-GB"/>
              </w:rPr>
              <w:t>ur investment process, we assess the risks related</w:t>
            </w:r>
            <w:r w:rsidR="00153DEF">
              <w:rPr>
                <w:lang w:val="en-GB"/>
              </w:rPr>
              <w:t xml:space="preserve"> both</w:t>
            </w:r>
            <w:r>
              <w:rPr>
                <w:lang w:val="en-GB"/>
              </w:rPr>
              <w:t xml:space="preserve"> to the context and to the project</w:t>
            </w:r>
            <w:r w:rsidR="00BE062E">
              <w:rPr>
                <w:lang w:val="en-GB"/>
              </w:rPr>
              <w:t>.</w:t>
            </w:r>
            <w:r w:rsidR="00DC6099">
              <w:rPr>
                <w:lang w:val="en-GB"/>
              </w:rPr>
              <w:t xml:space="preserve"> </w:t>
            </w:r>
            <w:r w:rsidR="00BE062E">
              <w:rPr>
                <w:lang w:val="en-GB"/>
              </w:rPr>
              <w:t xml:space="preserve">In addition, </w:t>
            </w:r>
            <w:r w:rsidR="00DC6099">
              <w:rPr>
                <w:lang w:val="en-GB"/>
              </w:rPr>
              <w:t xml:space="preserve">regarding our existing investments, we continuously monitor the human rights matters in the project and its context. </w:t>
            </w:r>
            <w:proofErr w:type="gramStart"/>
            <w:r>
              <w:rPr>
                <w:lang w:val="en-GB"/>
              </w:rPr>
              <w:t xml:space="preserve">One of the tools we use is a human rights context screening list, that has criteria regarding </w:t>
            </w:r>
            <w:r w:rsidR="008D18B4">
              <w:rPr>
                <w:lang w:val="en-GB"/>
              </w:rPr>
              <w:t xml:space="preserve">for example </w:t>
            </w:r>
            <w:r>
              <w:rPr>
                <w:lang w:val="en-GB"/>
              </w:rPr>
              <w:t xml:space="preserve">the fragility of the state, existing and pact conflicts, the level of </w:t>
            </w:r>
            <w:r w:rsidR="008D18B4">
              <w:rPr>
                <w:lang w:val="en-GB"/>
              </w:rPr>
              <w:t>democracy/civil freedom</w:t>
            </w:r>
            <w:r>
              <w:rPr>
                <w:lang w:val="en-GB"/>
              </w:rPr>
              <w:t xml:space="preserve"> in the country, past statistics about deaths of human rights defenders, status of the civic space, corruption levels, known or expected opposition to the sectors</w:t>
            </w:r>
            <w:r w:rsidR="008D18B4">
              <w:rPr>
                <w:lang w:val="en-GB"/>
              </w:rPr>
              <w:t>, country human rights situations etc</w:t>
            </w:r>
            <w:r>
              <w:rPr>
                <w:lang w:val="en-GB"/>
              </w:rPr>
              <w:t>.</w:t>
            </w:r>
            <w:proofErr w:type="gramEnd"/>
            <w:r>
              <w:rPr>
                <w:lang w:val="en-GB"/>
              </w:rPr>
              <w:t xml:space="preserve"> We use different sources </w:t>
            </w:r>
            <w:r w:rsidR="008D18B4">
              <w:rPr>
                <w:lang w:val="en-GB"/>
              </w:rPr>
              <w:t>of</w:t>
            </w:r>
            <w:r>
              <w:rPr>
                <w:lang w:val="en-GB"/>
              </w:rPr>
              <w:t xml:space="preserve"> information and tools, including for example: </w:t>
            </w:r>
          </w:p>
          <w:p w14:paraId="65619432" w14:textId="343B32D6" w:rsidR="000D1810" w:rsidRPr="000D1810" w:rsidRDefault="000D1810" w:rsidP="000D1810">
            <w:pPr>
              <w:numPr>
                <w:ilvl w:val="0"/>
                <w:numId w:val="1"/>
              </w:numPr>
              <w:rPr>
                <w:lang w:val="en-US"/>
              </w:rPr>
            </w:pPr>
            <w:r w:rsidRPr="000D1810">
              <w:rPr>
                <w:lang w:val="en-GB"/>
              </w:rPr>
              <w:t>wo</w:t>
            </w:r>
            <w:r>
              <w:rPr>
                <w:lang w:val="en-GB"/>
              </w:rPr>
              <w:t xml:space="preserve">rld bank list of fragile countries </w:t>
            </w:r>
            <w:hyperlink r:id="rId10" w:history="1">
              <w:r w:rsidRPr="000D1810">
                <w:rPr>
                  <w:rStyle w:val="Hyperlink"/>
                  <w:lang w:val="en-GB"/>
                </w:rPr>
                <w:t>http://pubdocs.worldbank.org/en/179011582771134576/FCS-FY20.pdf</w:t>
              </w:r>
            </w:hyperlink>
          </w:p>
          <w:p w14:paraId="6B7F3148" w14:textId="2AF6F894" w:rsidR="000D1810" w:rsidRPr="000D1810" w:rsidRDefault="000D1810" w:rsidP="000D1810">
            <w:pPr>
              <w:numPr>
                <w:ilvl w:val="0"/>
                <w:numId w:val="1"/>
              </w:numPr>
              <w:rPr>
                <w:lang w:val="en-US"/>
              </w:rPr>
            </w:pPr>
            <w:r w:rsidRPr="000D1810">
              <w:rPr>
                <w:lang w:val="en-US"/>
              </w:rPr>
              <w:t xml:space="preserve">global conflict tracker webpage </w:t>
            </w:r>
            <w:hyperlink r:id="rId11" w:history="1">
              <w:r w:rsidRPr="000D1810">
                <w:rPr>
                  <w:rStyle w:val="Hyperlink"/>
                  <w:lang w:val="en-GB"/>
                </w:rPr>
                <w:t>https://www.cfr.org/interactive/global-conflict-tracker/?category=us</w:t>
              </w:r>
            </w:hyperlink>
          </w:p>
          <w:p w14:paraId="5FAAFFD5" w14:textId="2E4F21C9" w:rsidR="000D1810" w:rsidRPr="000D1810" w:rsidRDefault="000D1810" w:rsidP="000D1810">
            <w:pPr>
              <w:numPr>
                <w:ilvl w:val="0"/>
                <w:numId w:val="1"/>
              </w:numPr>
              <w:rPr>
                <w:lang w:val="en-US"/>
              </w:rPr>
            </w:pPr>
            <w:proofErr w:type="spellStart"/>
            <w:r w:rsidRPr="000D1810">
              <w:rPr>
                <w:rFonts w:ascii="Arial" w:eastAsia="Calibri" w:hAnsi="Arial" w:cs="Arial"/>
                <w:sz w:val="18"/>
                <w:szCs w:val="18"/>
                <w:lang w:val="en-US"/>
              </w:rPr>
              <w:t>civicus</w:t>
            </w:r>
            <w:proofErr w:type="spellEnd"/>
            <w:r w:rsidRPr="000D1810">
              <w:rPr>
                <w:rFonts w:ascii="Arial" w:eastAsia="Calibri" w:hAnsi="Arial" w:cs="Arial"/>
                <w:sz w:val="18"/>
                <w:szCs w:val="18"/>
                <w:lang w:val="en-US"/>
              </w:rPr>
              <w:t xml:space="preserve"> monitor index and watch list on situation of the civic space </w:t>
            </w:r>
            <w:hyperlink r:id="rId12" w:history="1">
              <w:r w:rsidRPr="000D1810">
                <w:rPr>
                  <w:rFonts w:ascii="Arial" w:eastAsia="Calibri" w:hAnsi="Arial" w:cs="Calibri"/>
                  <w:color w:val="0563C1"/>
                  <w:u w:val="single"/>
                  <w:lang w:val="en-GB"/>
                </w:rPr>
                <w:t>https://monitor.civicus.org/</w:t>
              </w:r>
            </w:hyperlink>
          </w:p>
          <w:p w14:paraId="2CCFF7CF" w14:textId="6AF1385E" w:rsidR="000D1810" w:rsidRDefault="000D1810" w:rsidP="000D1810">
            <w:pPr>
              <w:numPr>
                <w:ilvl w:val="0"/>
                <w:numId w:val="1"/>
              </w:numPr>
              <w:rPr>
                <w:lang w:val="en-US"/>
              </w:rPr>
            </w:pPr>
            <w:r w:rsidRPr="000D1810">
              <w:rPr>
                <w:lang w:val="en-US"/>
              </w:rPr>
              <w:t xml:space="preserve">Transparency international index </w:t>
            </w:r>
            <w:hyperlink r:id="rId13" w:history="1">
              <w:r w:rsidRPr="000D1810">
                <w:rPr>
                  <w:rStyle w:val="Hyperlink"/>
                  <w:lang w:val="en-US"/>
                </w:rPr>
                <w:t>https://www.transparency.org/country</w:t>
              </w:r>
            </w:hyperlink>
          </w:p>
          <w:p w14:paraId="430C564D" w14:textId="70371449" w:rsidR="000D1810" w:rsidRDefault="000D1810" w:rsidP="000D1810">
            <w:pPr>
              <w:numPr>
                <w:ilvl w:val="0"/>
                <w:numId w:val="1"/>
              </w:numPr>
              <w:rPr>
                <w:lang w:val="en-US"/>
              </w:rPr>
            </w:pPr>
            <w:r>
              <w:rPr>
                <w:lang w:val="en-US"/>
              </w:rPr>
              <w:t>annual reports and alerts/a</w:t>
            </w:r>
            <w:r w:rsidR="008D18B4">
              <w:rPr>
                <w:lang w:val="en-US"/>
              </w:rPr>
              <w:t>p</w:t>
            </w:r>
            <w:r>
              <w:rPr>
                <w:lang w:val="en-US"/>
              </w:rPr>
              <w:t xml:space="preserve">peals by frontline defenders </w:t>
            </w:r>
            <w:hyperlink r:id="rId14" w:history="1">
              <w:r w:rsidRPr="00037811">
                <w:rPr>
                  <w:rStyle w:val="Hyperlink"/>
                  <w:lang w:val="en-US"/>
                </w:rPr>
                <w:t>https://www.frontlinedefenders.org/</w:t>
              </w:r>
            </w:hyperlink>
            <w:r>
              <w:rPr>
                <w:lang w:val="en-US"/>
              </w:rPr>
              <w:t xml:space="preserve"> </w:t>
            </w:r>
          </w:p>
          <w:p w14:paraId="72C18467" w14:textId="119340F9" w:rsidR="000D1810" w:rsidRDefault="00A86CA3" w:rsidP="000D1810">
            <w:pPr>
              <w:numPr>
                <w:ilvl w:val="0"/>
                <w:numId w:val="1"/>
              </w:numPr>
              <w:rPr>
                <w:lang w:val="en-US"/>
              </w:rPr>
            </w:pPr>
            <w:hyperlink r:id="rId15" w:history="1">
              <w:r w:rsidR="000D1810" w:rsidRPr="00037811">
                <w:rPr>
                  <w:rStyle w:val="Hyperlink"/>
                  <w:lang w:val="en-US"/>
                </w:rPr>
                <w:t>https://freedomhouse.org/</w:t>
              </w:r>
            </w:hyperlink>
          </w:p>
          <w:p w14:paraId="53608E52" w14:textId="19385C4E" w:rsidR="000D1810" w:rsidRDefault="008D18B4" w:rsidP="000D1810">
            <w:pPr>
              <w:numPr>
                <w:ilvl w:val="0"/>
                <w:numId w:val="1"/>
              </w:numPr>
              <w:rPr>
                <w:lang w:val="en-US"/>
              </w:rPr>
            </w:pPr>
            <w:r>
              <w:rPr>
                <w:lang w:val="en-US"/>
              </w:rPr>
              <w:t xml:space="preserve">ITUC </w:t>
            </w:r>
            <w:proofErr w:type="spellStart"/>
            <w:r>
              <w:rPr>
                <w:lang w:val="en-US"/>
              </w:rPr>
              <w:t>workers</w:t>
            </w:r>
            <w:proofErr w:type="spellEnd"/>
            <w:r>
              <w:rPr>
                <w:lang w:val="en-US"/>
              </w:rPr>
              <w:t xml:space="preserve"> rights information</w:t>
            </w:r>
          </w:p>
          <w:p w14:paraId="2239DC8D" w14:textId="3BA8C464" w:rsidR="008D18B4" w:rsidRPr="000D1810" w:rsidRDefault="008D18B4" w:rsidP="000D1810">
            <w:pPr>
              <w:numPr>
                <w:ilvl w:val="0"/>
                <w:numId w:val="1"/>
              </w:numPr>
              <w:rPr>
                <w:lang w:val="en-US"/>
              </w:rPr>
            </w:pPr>
            <w:r>
              <w:rPr>
                <w:lang w:val="en-US"/>
              </w:rPr>
              <w:t>business and human rights resource center</w:t>
            </w:r>
          </w:p>
          <w:p w14:paraId="651BDC6D" w14:textId="74E0E72F" w:rsidR="008D18B4" w:rsidRPr="000D1810" w:rsidRDefault="008D18B4">
            <w:pPr>
              <w:rPr>
                <w:lang w:val="en-US"/>
              </w:rPr>
            </w:pPr>
            <w:r>
              <w:rPr>
                <w:lang w:val="en-US"/>
              </w:rPr>
              <w:t xml:space="preserve">In addition, we </w:t>
            </w:r>
            <w:r w:rsidR="00153DEF">
              <w:rPr>
                <w:lang w:val="en-US"/>
              </w:rPr>
              <w:t>monitor</w:t>
            </w:r>
            <w:r>
              <w:rPr>
                <w:lang w:val="en-US"/>
              </w:rPr>
              <w:t xml:space="preserve"> </w:t>
            </w:r>
            <w:r w:rsidR="00BE062E">
              <w:rPr>
                <w:lang w:val="en-US"/>
              </w:rPr>
              <w:t xml:space="preserve">e.g. </w:t>
            </w:r>
            <w:r>
              <w:rPr>
                <w:lang w:val="en-US"/>
              </w:rPr>
              <w:t xml:space="preserve">media </w:t>
            </w:r>
            <w:r w:rsidR="00153DEF">
              <w:rPr>
                <w:lang w:val="en-US"/>
              </w:rPr>
              <w:t>outlets and social media platforms</w:t>
            </w:r>
            <w:r>
              <w:rPr>
                <w:lang w:val="en-US"/>
              </w:rPr>
              <w:t>) as well as receive alerts and appeals from frontline defenders</w:t>
            </w:r>
            <w:r w:rsidR="009C647F">
              <w:rPr>
                <w:lang w:val="en-US"/>
              </w:rPr>
              <w:t xml:space="preserve"> and NGOs</w:t>
            </w:r>
            <w:r>
              <w:rPr>
                <w:lang w:val="en-US"/>
              </w:rPr>
              <w:t xml:space="preserve">, which are providing us with early warnings. For certain specific projects or </w:t>
            </w:r>
            <w:proofErr w:type="gramStart"/>
            <w:r>
              <w:rPr>
                <w:lang w:val="en-US"/>
              </w:rPr>
              <w:t>situations</w:t>
            </w:r>
            <w:proofErr w:type="gramEnd"/>
            <w:r>
              <w:rPr>
                <w:lang w:val="en-US"/>
              </w:rPr>
              <w:t xml:space="preserve"> we may also have specific conversations with Finnish NGOs having presence</w:t>
            </w:r>
            <w:r w:rsidR="00153DEF">
              <w:rPr>
                <w:lang w:val="en-US"/>
              </w:rPr>
              <w:t xml:space="preserve"> and/or partners</w:t>
            </w:r>
            <w:r>
              <w:rPr>
                <w:lang w:val="en-US"/>
              </w:rPr>
              <w:t xml:space="preserve"> in our countries of operation.</w:t>
            </w:r>
            <w:r w:rsidR="00FA7368">
              <w:rPr>
                <w:lang w:val="en-US"/>
              </w:rPr>
              <w:t xml:space="preserve"> </w:t>
            </w:r>
            <w:r>
              <w:rPr>
                <w:lang w:val="en-US"/>
              </w:rPr>
              <w:t>All these tools help us assess the risks</w:t>
            </w:r>
            <w:r w:rsidR="00153DEF">
              <w:rPr>
                <w:lang w:val="en-US"/>
              </w:rPr>
              <w:t>.</w:t>
            </w:r>
          </w:p>
        </w:tc>
      </w:tr>
      <w:tr w:rsidR="00F50192" w:rsidRPr="00296072" w14:paraId="5E18718A" w14:textId="77777777" w:rsidTr="00BE062E">
        <w:tc>
          <w:tcPr>
            <w:tcW w:w="321" w:type="dxa"/>
          </w:tcPr>
          <w:p w14:paraId="6294EB48" w14:textId="78590A48" w:rsidR="00914055" w:rsidRDefault="00914055">
            <w:pPr>
              <w:rPr>
                <w:noProof/>
              </w:rPr>
            </w:pPr>
            <w:r>
              <w:rPr>
                <w:noProof/>
              </w:rPr>
              <w:t>3</w:t>
            </w:r>
          </w:p>
        </w:tc>
        <w:tc>
          <w:tcPr>
            <w:tcW w:w="7187" w:type="dxa"/>
          </w:tcPr>
          <w:p w14:paraId="36433401" w14:textId="53F46A0A" w:rsidR="00914055" w:rsidRDefault="00914055">
            <w:r>
              <w:rPr>
                <w:noProof/>
                <w:lang w:val="en-GB" w:eastAsia="en-GB"/>
              </w:rPr>
              <w:drawing>
                <wp:inline distT="0" distB="0" distL="0" distR="0" wp14:anchorId="1615DAB5" wp14:editId="18A7D69A">
                  <wp:extent cx="4281294" cy="6388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4518" cy="655704"/>
                          </a:xfrm>
                          <a:prstGeom prst="rect">
                            <a:avLst/>
                          </a:prstGeom>
                        </pic:spPr>
                      </pic:pic>
                    </a:graphicData>
                  </a:graphic>
                </wp:inline>
              </w:drawing>
            </w:r>
          </w:p>
        </w:tc>
        <w:tc>
          <w:tcPr>
            <w:tcW w:w="6440" w:type="dxa"/>
          </w:tcPr>
          <w:p w14:paraId="28627017" w14:textId="7311F72C" w:rsidR="002400EB" w:rsidRDefault="008D18B4">
            <w:pPr>
              <w:rPr>
                <w:lang w:val="en-GB"/>
              </w:rPr>
            </w:pPr>
            <w:r w:rsidRPr="008D18B4">
              <w:rPr>
                <w:lang w:val="en-GB"/>
              </w:rPr>
              <w:t xml:space="preserve">Our human rights </w:t>
            </w:r>
            <w:r w:rsidR="00F50192" w:rsidRPr="008D18B4">
              <w:rPr>
                <w:lang w:val="en-GB"/>
              </w:rPr>
              <w:t>statement</w:t>
            </w:r>
            <w:r w:rsidRPr="008D18B4">
              <w:rPr>
                <w:lang w:val="en-GB"/>
              </w:rPr>
              <w:t>, i</w:t>
            </w:r>
            <w:r>
              <w:rPr>
                <w:lang w:val="en-GB"/>
              </w:rPr>
              <w:t>ncluding wording on human rights defenders is available in English and in Finnish on our homepage</w:t>
            </w:r>
            <w:r w:rsidR="00E15DC3">
              <w:rPr>
                <w:lang w:val="en-GB"/>
              </w:rPr>
              <w:t xml:space="preserve">: </w:t>
            </w:r>
            <w:hyperlink r:id="rId17" w:history="1">
              <w:r w:rsidR="00E15DC3" w:rsidRPr="00B948A4">
                <w:rPr>
                  <w:rStyle w:val="Hyperlink"/>
                  <w:lang w:val="en-GB"/>
                </w:rPr>
                <w:t>https://www.finnfund.fi/wp-content/uploads/2019/01/Finnfund-Human-Rights-Statement_Final-ENG_230119.pdf</w:t>
              </w:r>
            </w:hyperlink>
          </w:p>
          <w:p w14:paraId="366B7E68" w14:textId="77777777" w:rsidR="002400EB" w:rsidRDefault="002400EB">
            <w:pPr>
              <w:rPr>
                <w:lang w:val="en-GB"/>
              </w:rPr>
            </w:pPr>
            <w:r>
              <w:rPr>
                <w:lang w:val="en-GB"/>
              </w:rPr>
              <w:t xml:space="preserve">Our grievance mechanism is accessible to anyone on our webpage and allows for anonymous complaints. We have a specific team and procedure to address any complaint. </w:t>
            </w:r>
            <w:r w:rsidR="00B948A4">
              <w:rPr>
                <w:lang w:val="en-GB"/>
              </w:rPr>
              <w:t xml:space="preserve">The principle of confidentiality etc. is also explained on </w:t>
            </w:r>
            <w:r>
              <w:rPr>
                <w:lang w:val="en-GB"/>
              </w:rPr>
              <w:t>this</w:t>
            </w:r>
            <w:r w:rsidR="00B948A4">
              <w:rPr>
                <w:lang w:val="en-GB"/>
              </w:rPr>
              <w:t xml:space="preserve"> </w:t>
            </w:r>
            <w:r>
              <w:rPr>
                <w:lang w:val="en-GB"/>
              </w:rPr>
              <w:t>“</w:t>
            </w:r>
            <w:r w:rsidR="00B948A4">
              <w:rPr>
                <w:lang w:val="en-GB"/>
              </w:rPr>
              <w:t>Complaints and whistleblowing</w:t>
            </w:r>
            <w:r>
              <w:rPr>
                <w:lang w:val="en-GB"/>
              </w:rPr>
              <w:t>”</w:t>
            </w:r>
            <w:r w:rsidR="00B948A4">
              <w:rPr>
                <w:lang w:val="en-GB"/>
              </w:rPr>
              <w:t xml:space="preserve"> web</w:t>
            </w:r>
            <w:r>
              <w:rPr>
                <w:lang w:val="en-GB"/>
              </w:rPr>
              <w:t>page</w:t>
            </w:r>
            <w:r w:rsidR="00B948A4">
              <w:rPr>
                <w:lang w:val="en-GB"/>
              </w:rPr>
              <w:t>.</w:t>
            </w:r>
            <w:r w:rsidR="008D18B4">
              <w:rPr>
                <w:lang w:val="en-GB"/>
              </w:rPr>
              <w:t xml:space="preserve"> </w:t>
            </w:r>
          </w:p>
          <w:p w14:paraId="4B2ED118" w14:textId="1B90E150" w:rsidR="00914055" w:rsidRPr="000D2516" w:rsidRDefault="008D18B4">
            <w:pPr>
              <w:rPr>
                <w:lang w:val="en-GB"/>
              </w:rPr>
            </w:pPr>
            <w:r>
              <w:rPr>
                <w:lang w:val="en-GB"/>
              </w:rPr>
              <w:t xml:space="preserve">Information on </w:t>
            </w:r>
            <w:r w:rsidR="00B948A4">
              <w:rPr>
                <w:lang w:val="en-GB"/>
              </w:rPr>
              <w:t>all our investments, based on our Disclosure Policy</w:t>
            </w:r>
            <w:proofErr w:type="gramStart"/>
            <w:r w:rsidR="00B948A4">
              <w:rPr>
                <w:lang w:val="en-GB"/>
              </w:rPr>
              <w:t xml:space="preserve">, </w:t>
            </w:r>
            <w:r>
              <w:rPr>
                <w:lang w:val="en-GB"/>
              </w:rPr>
              <w:t xml:space="preserve"> is</w:t>
            </w:r>
            <w:proofErr w:type="gramEnd"/>
            <w:r>
              <w:rPr>
                <w:lang w:val="en-GB"/>
              </w:rPr>
              <w:t xml:space="preserve"> available on our homepage, after the investment agreement has been signed</w:t>
            </w:r>
            <w:r w:rsidR="00E15DC3">
              <w:rPr>
                <w:lang w:val="en-GB"/>
              </w:rPr>
              <w:t>.</w:t>
            </w:r>
            <w:r>
              <w:rPr>
                <w:lang w:val="en-GB"/>
              </w:rPr>
              <w:t xml:space="preserve"> </w:t>
            </w:r>
          </w:p>
        </w:tc>
      </w:tr>
      <w:tr w:rsidR="00F50192" w:rsidRPr="00296072" w14:paraId="1180C08D" w14:textId="77777777" w:rsidTr="00C37E24">
        <w:tc>
          <w:tcPr>
            <w:tcW w:w="321" w:type="dxa"/>
          </w:tcPr>
          <w:p w14:paraId="230D7ACF" w14:textId="0AEC6325" w:rsidR="00914055" w:rsidRDefault="00914055">
            <w:pPr>
              <w:rPr>
                <w:noProof/>
              </w:rPr>
            </w:pPr>
            <w:r>
              <w:rPr>
                <w:noProof/>
              </w:rPr>
              <w:lastRenderedPageBreak/>
              <w:t>4</w:t>
            </w:r>
          </w:p>
        </w:tc>
        <w:tc>
          <w:tcPr>
            <w:tcW w:w="7187" w:type="dxa"/>
          </w:tcPr>
          <w:p w14:paraId="77C5D178" w14:textId="06130758" w:rsidR="00914055" w:rsidRPr="00C37E24" w:rsidRDefault="00914055">
            <w:pPr>
              <w:rPr>
                <w:lang w:val="en-GB"/>
              </w:rPr>
            </w:pPr>
            <w:r>
              <w:rPr>
                <w:noProof/>
                <w:lang w:val="en-GB" w:eastAsia="en-GB"/>
              </w:rPr>
              <w:drawing>
                <wp:inline distT="0" distB="0" distL="0" distR="0" wp14:anchorId="019C3A66" wp14:editId="17744092">
                  <wp:extent cx="4313008" cy="79366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4894" cy="808738"/>
                          </a:xfrm>
                          <a:prstGeom prst="rect">
                            <a:avLst/>
                          </a:prstGeom>
                        </pic:spPr>
                      </pic:pic>
                    </a:graphicData>
                  </a:graphic>
                </wp:inline>
              </w:drawing>
            </w:r>
          </w:p>
        </w:tc>
        <w:tc>
          <w:tcPr>
            <w:tcW w:w="6440" w:type="dxa"/>
          </w:tcPr>
          <w:p w14:paraId="1A6219B4" w14:textId="1950B464" w:rsidR="00BE062E" w:rsidRPr="00296072" w:rsidRDefault="00BE062E" w:rsidP="00BE062E">
            <w:pPr>
              <w:pStyle w:val="CommentText"/>
              <w:rPr>
                <w:sz w:val="22"/>
                <w:szCs w:val="22"/>
                <w:lang w:val="en-US"/>
              </w:rPr>
            </w:pPr>
            <w:r w:rsidRPr="00296072">
              <w:rPr>
                <w:sz w:val="22"/>
                <w:szCs w:val="22"/>
                <w:lang w:val="en-US"/>
              </w:rPr>
              <w:t xml:space="preserve">In that case, we </w:t>
            </w:r>
            <w:r w:rsidR="002400EB" w:rsidRPr="00296072">
              <w:rPr>
                <w:sz w:val="22"/>
                <w:szCs w:val="22"/>
                <w:lang w:val="en-US"/>
              </w:rPr>
              <w:t xml:space="preserve">would </w:t>
            </w:r>
            <w:r w:rsidRPr="00296072">
              <w:rPr>
                <w:sz w:val="22"/>
                <w:szCs w:val="22"/>
                <w:lang w:val="en-US"/>
              </w:rPr>
              <w:t>seek further information from multiple sources, including public information (</w:t>
            </w:r>
            <w:r w:rsidR="002400EB" w:rsidRPr="00296072">
              <w:rPr>
                <w:sz w:val="22"/>
                <w:szCs w:val="22"/>
                <w:lang w:val="en-US"/>
              </w:rPr>
              <w:t xml:space="preserve">e.g. </w:t>
            </w:r>
            <w:r w:rsidRPr="00296072">
              <w:rPr>
                <w:sz w:val="22"/>
                <w:szCs w:val="22"/>
                <w:lang w:val="en-US"/>
              </w:rPr>
              <w:t xml:space="preserve">media), engaging with our client, engaging with civil society advocates in the project-affected area, in the country of operations, and/or in Finland – and wherever it is possible and would not put </w:t>
            </w:r>
            <w:r w:rsidR="002400EB" w:rsidRPr="00296072">
              <w:rPr>
                <w:sz w:val="22"/>
                <w:szCs w:val="22"/>
                <w:lang w:val="en-US"/>
              </w:rPr>
              <w:t>human rights defender(s)</w:t>
            </w:r>
            <w:r w:rsidRPr="00296072">
              <w:rPr>
                <w:sz w:val="22"/>
                <w:szCs w:val="22"/>
                <w:lang w:val="en-US"/>
              </w:rPr>
              <w:t xml:space="preserve"> </w:t>
            </w:r>
            <w:r w:rsidR="002400EB" w:rsidRPr="00296072">
              <w:rPr>
                <w:sz w:val="22"/>
                <w:szCs w:val="22"/>
                <w:lang w:val="en-US"/>
              </w:rPr>
              <w:t xml:space="preserve">(HRDs) </w:t>
            </w:r>
            <w:r w:rsidRPr="00296072">
              <w:rPr>
                <w:sz w:val="22"/>
                <w:szCs w:val="22"/>
                <w:lang w:val="en-US"/>
              </w:rPr>
              <w:t>at further risk, with the human rights defenders themselves.</w:t>
            </w:r>
          </w:p>
          <w:p w14:paraId="3534D8A2" w14:textId="77777777" w:rsidR="00BE062E" w:rsidRPr="00296072" w:rsidRDefault="00BE062E" w:rsidP="00BE062E">
            <w:pPr>
              <w:pStyle w:val="CommentText"/>
              <w:rPr>
                <w:sz w:val="22"/>
                <w:szCs w:val="22"/>
                <w:lang w:val="en-US"/>
              </w:rPr>
            </w:pPr>
          </w:p>
          <w:p w14:paraId="476781FD" w14:textId="49463D21" w:rsidR="00BE062E" w:rsidRPr="00296072" w:rsidRDefault="002400EB" w:rsidP="00BE062E">
            <w:pPr>
              <w:pStyle w:val="CommentText"/>
              <w:rPr>
                <w:sz w:val="22"/>
                <w:szCs w:val="22"/>
                <w:lang w:val="en-US"/>
              </w:rPr>
            </w:pPr>
            <w:r w:rsidRPr="00296072">
              <w:rPr>
                <w:sz w:val="22"/>
                <w:szCs w:val="22"/>
                <w:lang w:val="en-US"/>
              </w:rPr>
              <w:t>W</w:t>
            </w:r>
            <w:r w:rsidR="00BE062E" w:rsidRPr="00296072">
              <w:rPr>
                <w:sz w:val="22"/>
                <w:szCs w:val="22"/>
                <w:lang w:val="en-US"/>
              </w:rPr>
              <w:t xml:space="preserve">e would then seek to use our </w:t>
            </w:r>
            <w:proofErr w:type="gramStart"/>
            <w:r w:rsidR="00BE062E" w:rsidRPr="00296072">
              <w:rPr>
                <w:sz w:val="22"/>
                <w:szCs w:val="22"/>
                <w:lang w:val="en-US"/>
              </w:rPr>
              <w:t>leverage</w:t>
            </w:r>
            <w:proofErr w:type="gramEnd"/>
            <w:r w:rsidR="00BE062E" w:rsidRPr="00296072">
              <w:rPr>
                <w:sz w:val="22"/>
                <w:szCs w:val="22"/>
                <w:lang w:val="en-US"/>
              </w:rPr>
              <w:t xml:space="preserve"> to influence relevant actors to take appropriate steps to respect the rights of the</w:t>
            </w:r>
            <w:r w:rsidRPr="00296072">
              <w:rPr>
                <w:sz w:val="22"/>
                <w:szCs w:val="22"/>
                <w:lang w:val="en-US"/>
              </w:rPr>
              <w:t xml:space="preserve"> HRD(</w:t>
            </w:r>
            <w:r w:rsidR="00BE062E" w:rsidRPr="00296072">
              <w:rPr>
                <w:sz w:val="22"/>
                <w:szCs w:val="22"/>
                <w:lang w:val="en-US"/>
              </w:rPr>
              <w:t>s</w:t>
            </w:r>
            <w:r w:rsidRPr="00296072">
              <w:rPr>
                <w:sz w:val="22"/>
                <w:szCs w:val="22"/>
                <w:lang w:val="en-US"/>
              </w:rPr>
              <w:t>)</w:t>
            </w:r>
            <w:r w:rsidR="00BE062E" w:rsidRPr="00296072">
              <w:rPr>
                <w:sz w:val="22"/>
                <w:szCs w:val="22"/>
                <w:lang w:val="en-US"/>
              </w:rPr>
              <w:t xml:space="preserve">. Our </w:t>
            </w:r>
            <w:proofErr w:type="gramStart"/>
            <w:r w:rsidR="00BE062E" w:rsidRPr="00296072">
              <w:rPr>
                <w:sz w:val="22"/>
                <w:szCs w:val="22"/>
                <w:lang w:val="en-US"/>
              </w:rPr>
              <w:t>leverage</w:t>
            </w:r>
            <w:proofErr w:type="gramEnd"/>
            <w:r w:rsidR="00BE062E" w:rsidRPr="00296072">
              <w:rPr>
                <w:sz w:val="22"/>
                <w:szCs w:val="22"/>
                <w:lang w:val="en-US"/>
              </w:rPr>
              <w:t xml:space="preserve"> will often be greatest directly with the client, and we would seek to influence the client to take steps to ensu</w:t>
            </w:r>
            <w:r w:rsidRPr="00296072">
              <w:rPr>
                <w:sz w:val="22"/>
                <w:szCs w:val="22"/>
                <w:lang w:val="en-US"/>
              </w:rPr>
              <w:t>r</w:t>
            </w:r>
            <w:r w:rsidR="00BE062E" w:rsidRPr="00296072">
              <w:rPr>
                <w:sz w:val="22"/>
                <w:szCs w:val="22"/>
                <w:lang w:val="en-US"/>
              </w:rPr>
              <w:t xml:space="preserve">e respect for </w:t>
            </w:r>
            <w:r w:rsidRPr="00296072">
              <w:rPr>
                <w:sz w:val="22"/>
                <w:szCs w:val="22"/>
                <w:lang w:val="en-US"/>
              </w:rPr>
              <w:t>HRD</w:t>
            </w:r>
            <w:r w:rsidR="00BE062E" w:rsidRPr="00296072">
              <w:rPr>
                <w:sz w:val="22"/>
                <w:szCs w:val="22"/>
                <w:lang w:val="en-US"/>
              </w:rPr>
              <w:t>’s rights. In other situations, it may be that we need to seek to influence the host gover</w:t>
            </w:r>
            <w:r w:rsidRPr="00296072">
              <w:rPr>
                <w:sz w:val="22"/>
                <w:szCs w:val="22"/>
                <w:lang w:val="en-US"/>
              </w:rPr>
              <w:t>n</w:t>
            </w:r>
            <w:r w:rsidR="00BE062E" w:rsidRPr="00296072">
              <w:rPr>
                <w:sz w:val="22"/>
                <w:szCs w:val="22"/>
                <w:lang w:val="en-US"/>
              </w:rPr>
              <w:t>ment. In either case, we may need to build additional leverage, though engagement with the Finnish gov</w:t>
            </w:r>
            <w:r w:rsidRPr="00296072">
              <w:rPr>
                <w:sz w:val="22"/>
                <w:szCs w:val="22"/>
                <w:lang w:val="en-US"/>
              </w:rPr>
              <w:t>ernmen</w:t>
            </w:r>
            <w:r w:rsidR="00BE062E" w:rsidRPr="00296072">
              <w:rPr>
                <w:sz w:val="22"/>
                <w:szCs w:val="22"/>
                <w:lang w:val="en-US"/>
              </w:rPr>
              <w:t>t and</w:t>
            </w:r>
            <w:r w:rsidRPr="00296072">
              <w:rPr>
                <w:sz w:val="22"/>
                <w:szCs w:val="22"/>
                <w:lang w:val="en-US"/>
              </w:rPr>
              <w:t xml:space="preserve"> </w:t>
            </w:r>
            <w:r w:rsidR="00BE062E" w:rsidRPr="00296072">
              <w:rPr>
                <w:sz w:val="22"/>
                <w:szCs w:val="22"/>
                <w:lang w:val="en-US"/>
              </w:rPr>
              <w:t xml:space="preserve">its local embassy, with other financiers, and perhaps with other project </w:t>
            </w:r>
            <w:proofErr w:type="gramStart"/>
            <w:r w:rsidR="00BE062E" w:rsidRPr="00296072">
              <w:rPr>
                <w:sz w:val="22"/>
                <w:szCs w:val="22"/>
                <w:lang w:val="en-US"/>
              </w:rPr>
              <w:t>partners  We</w:t>
            </w:r>
            <w:proofErr w:type="gramEnd"/>
            <w:r w:rsidR="00BE062E" w:rsidRPr="00296072">
              <w:rPr>
                <w:sz w:val="22"/>
                <w:szCs w:val="22"/>
                <w:lang w:val="en-US"/>
              </w:rPr>
              <w:t xml:space="preserve"> are also prepared organizat</w:t>
            </w:r>
            <w:r w:rsidRPr="00296072">
              <w:rPr>
                <w:sz w:val="22"/>
                <w:szCs w:val="22"/>
                <w:lang w:val="en-US"/>
              </w:rPr>
              <w:t>i</w:t>
            </w:r>
            <w:r w:rsidR="00BE062E" w:rsidRPr="00296072">
              <w:rPr>
                <w:sz w:val="22"/>
                <w:szCs w:val="22"/>
                <w:lang w:val="en-US"/>
              </w:rPr>
              <w:t xml:space="preserve">onally to speak out publicly in support of the rights of any stakeholder to raise concerns or objections connected to projects we finance. We are currently planning to develop a clear organizational framework for </w:t>
            </w:r>
            <w:proofErr w:type="gramStart"/>
            <w:r w:rsidR="00BE062E" w:rsidRPr="00296072">
              <w:rPr>
                <w:sz w:val="22"/>
                <w:szCs w:val="22"/>
                <w:lang w:val="en-US"/>
              </w:rPr>
              <w:t>leverage</w:t>
            </w:r>
            <w:proofErr w:type="gramEnd"/>
            <w:r w:rsidR="00BE062E" w:rsidRPr="00296072">
              <w:rPr>
                <w:sz w:val="22"/>
                <w:szCs w:val="22"/>
                <w:lang w:val="en-US"/>
              </w:rPr>
              <w:t xml:space="preserve"> and remedy, which would further bu</w:t>
            </w:r>
            <w:r w:rsidRPr="00296072">
              <w:rPr>
                <w:sz w:val="22"/>
                <w:szCs w:val="22"/>
                <w:lang w:val="en-US"/>
              </w:rPr>
              <w:t>il</w:t>
            </w:r>
            <w:r w:rsidR="00BE062E" w:rsidRPr="00296072">
              <w:rPr>
                <w:sz w:val="22"/>
                <w:szCs w:val="22"/>
                <w:lang w:val="en-US"/>
              </w:rPr>
              <w:t xml:space="preserve">d out the tools we might use to build our leverage in such cases. </w:t>
            </w:r>
          </w:p>
          <w:p w14:paraId="68F29728" w14:textId="77777777" w:rsidR="00BE062E" w:rsidRPr="00296072" w:rsidRDefault="00BE062E" w:rsidP="00BE062E">
            <w:pPr>
              <w:pStyle w:val="CommentText"/>
              <w:rPr>
                <w:sz w:val="22"/>
                <w:szCs w:val="22"/>
                <w:lang w:val="en-US"/>
              </w:rPr>
            </w:pPr>
          </w:p>
          <w:p w14:paraId="7B01DCCE" w14:textId="56B44976" w:rsidR="00914055" w:rsidRPr="00296072" w:rsidRDefault="002400EB" w:rsidP="00296072">
            <w:pPr>
              <w:pStyle w:val="CommentText"/>
              <w:rPr>
                <w:lang w:val="en-US"/>
              </w:rPr>
            </w:pPr>
            <w:r w:rsidRPr="00296072">
              <w:rPr>
                <w:sz w:val="22"/>
                <w:szCs w:val="22"/>
                <w:lang w:val="en-US"/>
              </w:rPr>
              <w:t xml:space="preserve">In principle, </w:t>
            </w:r>
            <w:r w:rsidR="00BE062E" w:rsidRPr="00296072">
              <w:rPr>
                <w:sz w:val="22"/>
                <w:szCs w:val="22"/>
                <w:lang w:val="en-US"/>
              </w:rPr>
              <w:t>we would always intervene anytime there is credible inform</w:t>
            </w:r>
            <w:r w:rsidRPr="00296072">
              <w:rPr>
                <w:sz w:val="22"/>
                <w:szCs w:val="22"/>
                <w:lang w:val="en-US"/>
              </w:rPr>
              <w:t>a</w:t>
            </w:r>
            <w:r w:rsidR="00BE062E" w:rsidRPr="00296072">
              <w:rPr>
                <w:sz w:val="22"/>
                <w:szCs w:val="22"/>
                <w:lang w:val="en-US"/>
              </w:rPr>
              <w:t>tion about a threat to human rights defenders</w:t>
            </w:r>
            <w:r w:rsidRPr="00296072">
              <w:rPr>
                <w:sz w:val="22"/>
                <w:szCs w:val="22"/>
                <w:lang w:val="en-US"/>
              </w:rPr>
              <w:t>;</w:t>
            </w:r>
            <w:r w:rsidR="00BE062E" w:rsidRPr="00296072">
              <w:rPr>
                <w:sz w:val="22"/>
                <w:szCs w:val="22"/>
                <w:lang w:val="en-US"/>
              </w:rPr>
              <w:t xml:space="preserve"> first by gathering information and through that, engaging with clients about the risks we are concerned abou</w:t>
            </w:r>
            <w:r w:rsidRPr="00296072">
              <w:rPr>
                <w:sz w:val="22"/>
                <w:szCs w:val="22"/>
                <w:lang w:val="en-US"/>
              </w:rPr>
              <w:t>t, and</w:t>
            </w:r>
            <w:r w:rsidR="00BE062E" w:rsidRPr="00296072">
              <w:rPr>
                <w:sz w:val="22"/>
                <w:szCs w:val="22"/>
                <w:lang w:val="en-US"/>
              </w:rPr>
              <w:t xml:space="preserve"> then by steadily escalating our leverage efforts as needed.</w:t>
            </w:r>
          </w:p>
        </w:tc>
      </w:tr>
      <w:tr w:rsidR="00F50192" w:rsidRPr="00296072" w14:paraId="45B70222" w14:textId="77777777" w:rsidTr="00C37E24">
        <w:tc>
          <w:tcPr>
            <w:tcW w:w="321" w:type="dxa"/>
          </w:tcPr>
          <w:p w14:paraId="7A5AAE56" w14:textId="29A44701" w:rsidR="00914055" w:rsidRDefault="00914055">
            <w:pPr>
              <w:rPr>
                <w:noProof/>
              </w:rPr>
            </w:pPr>
            <w:r>
              <w:rPr>
                <w:noProof/>
              </w:rPr>
              <w:t>5</w:t>
            </w:r>
          </w:p>
        </w:tc>
        <w:tc>
          <w:tcPr>
            <w:tcW w:w="7187" w:type="dxa"/>
          </w:tcPr>
          <w:p w14:paraId="6AC8A395" w14:textId="572D27BF" w:rsidR="00914055" w:rsidRDefault="00914055">
            <w:r>
              <w:rPr>
                <w:noProof/>
                <w:lang w:val="en-GB" w:eastAsia="en-GB"/>
              </w:rPr>
              <w:drawing>
                <wp:inline distT="0" distB="0" distL="0" distR="0" wp14:anchorId="6B8DFCA9" wp14:editId="0BF2993E">
                  <wp:extent cx="4265438" cy="551180"/>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67844" cy="577335"/>
                          </a:xfrm>
                          <a:prstGeom prst="rect">
                            <a:avLst/>
                          </a:prstGeom>
                        </pic:spPr>
                      </pic:pic>
                    </a:graphicData>
                  </a:graphic>
                </wp:inline>
              </w:drawing>
            </w:r>
          </w:p>
        </w:tc>
        <w:tc>
          <w:tcPr>
            <w:tcW w:w="6440" w:type="dxa"/>
          </w:tcPr>
          <w:p w14:paraId="2E386CE9" w14:textId="10FDDE4A" w:rsidR="00914055" w:rsidRPr="00296072" w:rsidRDefault="00B948A4">
            <w:pPr>
              <w:rPr>
                <w:lang w:val="en-US"/>
              </w:rPr>
            </w:pPr>
            <w:r w:rsidRPr="00296072">
              <w:rPr>
                <w:lang w:val="en-US"/>
              </w:rPr>
              <w:t>Y</w:t>
            </w:r>
            <w:r w:rsidR="00F50192" w:rsidRPr="00296072">
              <w:rPr>
                <w:lang w:val="en-US"/>
              </w:rPr>
              <w:t>es,</w:t>
            </w:r>
            <w:r w:rsidRPr="00296072">
              <w:rPr>
                <w:lang w:val="en-US"/>
              </w:rPr>
              <w:t xml:space="preserve"> we publicly and repeatedly condemned</w:t>
            </w:r>
            <w:r w:rsidR="00F50192" w:rsidRPr="00296072">
              <w:rPr>
                <w:lang w:val="en-US"/>
              </w:rPr>
              <w:t xml:space="preserve"> </w:t>
            </w:r>
            <w:r w:rsidRPr="00296072">
              <w:rPr>
                <w:lang w:val="en-US"/>
              </w:rPr>
              <w:t xml:space="preserve">the murder of Berta </w:t>
            </w:r>
            <w:proofErr w:type="spellStart"/>
            <w:proofErr w:type="gramStart"/>
            <w:r w:rsidRPr="00296072">
              <w:rPr>
                <w:lang w:val="en-US"/>
              </w:rPr>
              <w:t>Cáceres</w:t>
            </w:r>
            <w:proofErr w:type="spellEnd"/>
            <w:r w:rsidRPr="00296072">
              <w:rPr>
                <w:lang w:val="en-US"/>
              </w:rPr>
              <w:t xml:space="preserve"> which</w:t>
            </w:r>
            <w:proofErr w:type="gramEnd"/>
            <w:r w:rsidRPr="00296072">
              <w:rPr>
                <w:lang w:val="en-US"/>
              </w:rPr>
              <w:t xml:space="preserve"> took place in March 2016</w:t>
            </w:r>
            <w:r w:rsidR="00ED4DD0" w:rsidRPr="00296072">
              <w:rPr>
                <w:lang w:val="en-US"/>
              </w:rPr>
              <w:t xml:space="preserve"> in Honduras and was linked to the Agua </w:t>
            </w:r>
            <w:proofErr w:type="spellStart"/>
            <w:r w:rsidR="00ED4DD0" w:rsidRPr="00296072">
              <w:rPr>
                <w:lang w:val="en-US"/>
              </w:rPr>
              <w:t>Zarca</w:t>
            </w:r>
            <w:proofErr w:type="spellEnd"/>
            <w:r w:rsidR="00ED4DD0" w:rsidRPr="00296072">
              <w:rPr>
                <w:lang w:val="en-US"/>
              </w:rPr>
              <w:t xml:space="preserve"> project, which was our investee.</w:t>
            </w:r>
            <w:r w:rsidR="00DB1C89" w:rsidRPr="00296072">
              <w:rPr>
                <w:lang w:val="en-US"/>
              </w:rPr>
              <w:t xml:space="preserve"> Due to this tragic event</w:t>
            </w:r>
            <w:r w:rsidR="00595166" w:rsidRPr="00296072">
              <w:rPr>
                <w:lang w:val="en-US"/>
              </w:rPr>
              <w:t>, we suspended all financing and finally exited the project.</w:t>
            </w:r>
          </w:p>
        </w:tc>
      </w:tr>
      <w:tr w:rsidR="00F50192" w:rsidRPr="00296072" w14:paraId="29E4027C" w14:textId="77777777" w:rsidTr="00C37E24">
        <w:tc>
          <w:tcPr>
            <w:tcW w:w="321" w:type="dxa"/>
          </w:tcPr>
          <w:p w14:paraId="22A627BB" w14:textId="1E44AC8F" w:rsidR="00914055" w:rsidRDefault="00914055">
            <w:pPr>
              <w:rPr>
                <w:noProof/>
              </w:rPr>
            </w:pPr>
            <w:r>
              <w:rPr>
                <w:noProof/>
              </w:rPr>
              <w:t>6</w:t>
            </w:r>
          </w:p>
        </w:tc>
        <w:tc>
          <w:tcPr>
            <w:tcW w:w="7187" w:type="dxa"/>
          </w:tcPr>
          <w:p w14:paraId="18D9A3E0" w14:textId="03DF254A" w:rsidR="00914055" w:rsidRDefault="00914055">
            <w:r>
              <w:rPr>
                <w:noProof/>
                <w:lang w:val="en-GB" w:eastAsia="en-GB"/>
              </w:rPr>
              <w:drawing>
                <wp:inline distT="0" distB="0" distL="0" distR="0" wp14:anchorId="06B23CB6" wp14:editId="49BB308A">
                  <wp:extent cx="4054016" cy="817181"/>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44441" cy="875723"/>
                          </a:xfrm>
                          <a:prstGeom prst="rect">
                            <a:avLst/>
                          </a:prstGeom>
                        </pic:spPr>
                      </pic:pic>
                    </a:graphicData>
                  </a:graphic>
                </wp:inline>
              </w:drawing>
            </w:r>
          </w:p>
        </w:tc>
        <w:tc>
          <w:tcPr>
            <w:tcW w:w="6440" w:type="dxa"/>
          </w:tcPr>
          <w:p w14:paraId="707093D3" w14:textId="76457779" w:rsidR="00914055" w:rsidRPr="00296072" w:rsidRDefault="00ED4DD0" w:rsidP="00022050">
            <w:pPr>
              <w:pStyle w:val="CommentText"/>
              <w:rPr>
                <w:sz w:val="22"/>
                <w:szCs w:val="22"/>
                <w:lang w:val="en-US"/>
              </w:rPr>
            </w:pPr>
            <w:r w:rsidRPr="00296072">
              <w:rPr>
                <w:sz w:val="22"/>
                <w:szCs w:val="22"/>
                <w:lang w:val="en-US"/>
              </w:rPr>
              <w:t>W</w:t>
            </w:r>
            <w:r w:rsidR="0041577E" w:rsidRPr="00296072">
              <w:rPr>
                <w:sz w:val="22"/>
                <w:szCs w:val="22"/>
                <w:lang w:val="en-US"/>
              </w:rPr>
              <w:t xml:space="preserve">e </w:t>
            </w:r>
            <w:r w:rsidR="00BD2385" w:rsidRPr="00296072">
              <w:rPr>
                <w:sz w:val="22"/>
                <w:szCs w:val="22"/>
                <w:lang w:val="en-US"/>
              </w:rPr>
              <w:t xml:space="preserve">continuously </w:t>
            </w:r>
            <w:r w:rsidR="0041577E" w:rsidRPr="00296072">
              <w:rPr>
                <w:sz w:val="22"/>
                <w:szCs w:val="22"/>
                <w:lang w:val="en-US"/>
              </w:rPr>
              <w:t xml:space="preserve">work with our clients on the quality of their stakeholder engagement, the quality of their environmental and social impact and risk assessment as well as on the adequacy of their grievance mechanisms. </w:t>
            </w:r>
            <w:r w:rsidR="00BD2385" w:rsidRPr="00296072">
              <w:rPr>
                <w:sz w:val="22"/>
                <w:szCs w:val="22"/>
                <w:lang w:val="en-US"/>
              </w:rPr>
              <w:t xml:space="preserve">We have also good experiences of promoting Human Rights sensitive approach </w:t>
            </w:r>
            <w:r w:rsidR="00022050" w:rsidRPr="00296072">
              <w:rPr>
                <w:sz w:val="22"/>
                <w:szCs w:val="22"/>
                <w:lang w:val="en-US"/>
              </w:rPr>
              <w:t xml:space="preserve">and understanding </w:t>
            </w:r>
            <w:r w:rsidR="00BD2385" w:rsidRPr="00296072">
              <w:rPr>
                <w:sz w:val="22"/>
                <w:szCs w:val="22"/>
                <w:lang w:val="en-US"/>
              </w:rPr>
              <w:t>within our investees on all levels of their operations, incl. management. In practice, this can include e.g. creation and developing of channels and platforms to develop dialogue with HRDs, local communities, civil society etc. as well as with various actors dedicated to protecting HRDs, such as EU embassies.</w:t>
            </w:r>
          </w:p>
        </w:tc>
      </w:tr>
    </w:tbl>
    <w:p w14:paraId="307D8147" w14:textId="075E3856" w:rsidR="00914055" w:rsidRDefault="00914055">
      <w:pPr>
        <w:rPr>
          <w:lang w:val="en-GB"/>
        </w:rPr>
      </w:pPr>
    </w:p>
    <w:p w14:paraId="44A3E8B9" w14:textId="5F23E4DC" w:rsidR="005A4178" w:rsidRDefault="005A4178">
      <w:pPr>
        <w:rPr>
          <w:lang w:val="en-GB"/>
        </w:rPr>
      </w:pPr>
    </w:p>
    <w:sectPr w:rsidR="005A4178" w:rsidSect="00914055">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2AA4F" w14:textId="77777777" w:rsidR="00764662" w:rsidRDefault="00764662" w:rsidP="00FF7193">
      <w:pPr>
        <w:spacing w:after="0" w:line="240" w:lineRule="auto"/>
      </w:pPr>
      <w:r>
        <w:separator/>
      </w:r>
    </w:p>
  </w:endnote>
  <w:endnote w:type="continuationSeparator" w:id="0">
    <w:p w14:paraId="42BD6621" w14:textId="77777777" w:rsidR="00764662" w:rsidRDefault="00764662" w:rsidP="00FF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EAC77" w14:textId="77777777" w:rsidR="00764662" w:rsidRDefault="00764662" w:rsidP="00FF7193">
      <w:pPr>
        <w:spacing w:after="0" w:line="240" w:lineRule="auto"/>
      </w:pPr>
      <w:r>
        <w:separator/>
      </w:r>
    </w:p>
  </w:footnote>
  <w:footnote w:type="continuationSeparator" w:id="0">
    <w:p w14:paraId="6AB0DFE7" w14:textId="77777777" w:rsidR="00764662" w:rsidRDefault="00764662" w:rsidP="00FF7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5628" w14:textId="2755A76B" w:rsidR="00FF7193" w:rsidRDefault="00FF7193">
    <w:pPr>
      <w:pStyle w:val="Header"/>
    </w:pPr>
    <w:r>
      <w:t>Finnfund 5.10.2020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6EDB"/>
    <w:multiLevelType w:val="hybridMultilevel"/>
    <w:tmpl w:val="3EB4D50A"/>
    <w:lvl w:ilvl="0" w:tplc="AA18C77A">
      <w:start w:val="1"/>
      <w:numFmt w:val="lowerLetter"/>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55"/>
    <w:rsid w:val="00002D4B"/>
    <w:rsid w:val="000165AC"/>
    <w:rsid w:val="00022050"/>
    <w:rsid w:val="000B2297"/>
    <w:rsid w:val="000D1810"/>
    <w:rsid w:val="000D2516"/>
    <w:rsid w:val="000E3A34"/>
    <w:rsid w:val="000F57F3"/>
    <w:rsid w:val="0015129A"/>
    <w:rsid w:val="00153DEF"/>
    <w:rsid w:val="00191FE0"/>
    <w:rsid w:val="002400EB"/>
    <w:rsid w:val="00242A0F"/>
    <w:rsid w:val="00296072"/>
    <w:rsid w:val="0029703A"/>
    <w:rsid w:val="002A09A1"/>
    <w:rsid w:val="004152B3"/>
    <w:rsid w:val="0041577E"/>
    <w:rsid w:val="00433E25"/>
    <w:rsid w:val="00595166"/>
    <w:rsid w:val="005A3FFC"/>
    <w:rsid w:val="005A4178"/>
    <w:rsid w:val="00744626"/>
    <w:rsid w:val="00764662"/>
    <w:rsid w:val="008D18B4"/>
    <w:rsid w:val="00914055"/>
    <w:rsid w:val="009C3985"/>
    <w:rsid w:val="009C647F"/>
    <w:rsid w:val="00A86CA3"/>
    <w:rsid w:val="00B948A4"/>
    <w:rsid w:val="00BA0B9C"/>
    <w:rsid w:val="00BD2385"/>
    <w:rsid w:val="00BE062E"/>
    <w:rsid w:val="00C37E24"/>
    <w:rsid w:val="00DB1C89"/>
    <w:rsid w:val="00DB1F33"/>
    <w:rsid w:val="00DB46A4"/>
    <w:rsid w:val="00DC6099"/>
    <w:rsid w:val="00E15DC3"/>
    <w:rsid w:val="00ED4DD0"/>
    <w:rsid w:val="00EE0A77"/>
    <w:rsid w:val="00F50192"/>
    <w:rsid w:val="00FA7368"/>
    <w:rsid w:val="00FF71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E98F"/>
  <w15:chartTrackingRefBased/>
  <w15:docId w15:val="{7C5CDFC8-97F6-4347-B8B6-6F357997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810"/>
    <w:rPr>
      <w:color w:val="0563C1" w:themeColor="hyperlink"/>
      <w:u w:val="single"/>
    </w:rPr>
  </w:style>
  <w:style w:type="character" w:customStyle="1" w:styleId="UnresolvedMention">
    <w:name w:val="Unresolved Mention"/>
    <w:basedOn w:val="DefaultParagraphFont"/>
    <w:uiPriority w:val="99"/>
    <w:semiHidden/>
    <w:unhideWhenUsed/>
    <w:rsid w:val="000D1810"/>
    <w:rPr>
      <w:color w:val="605E5C"/>
      <w:shd w:val="clear" w:color="auto" w:fill="E1DFDD"/>
    </w:rPr>
  </w:style>
  <w:style w:type="character" w:styleId="CommentReference">
    <w:name w:val="annotation reference"/>
    <w:basedOn w:val="DefaultParagraphFont"/>
    <w:uiPriority w:val="99"/>
    <w:semiHidden/>
    <w:unhideWhenUsed/>
    <w:rsid w:val="00F50192"/>
    <w:rPr>
      <w:sz w:val="16"/>
      <w:szCs w:val="16"/>
    </w:rPr>
  </w:style>
  <w:style w:type="paragraph" w:styleId="CommentText">
    <w:name w:val="annotation text"/>
    <w:basedOn w:val="Normal"/>
    <w:link w:val="CommentTextChar"/>
    <w:uiPriority w:val="99"/>
    <w:unhideWhenUsed/>
    <w:rsid w:val="00F50192"/>
    <w:pPr>
      <w:spacing w:line="240" w:lineRule="auto"/>
    </w:pPr>
    <w:rPr>
      <w:sz w:val="20"/>
      <w:szCs w:val="20"/>
    </w:rPr>
  </w:style>
  <w:style w:type="character" w:customStyle="1" w:styleId="CommentTextChar">
    <w:name w:val="Comment Text Char"/>
    <w:basedOn w:val="DefaultParagraphFont"/>
    <w:link w:val="CommentText"/>
    <w:uiPriority w:val="99"/>
    <w:rsid w:val="00F50192"/>
    <w:rPr>
      <w:sz w:val="20"/>
      <w:szCs w:val="20"/>
    </w:rPr>
  </w:style>
  <w:style w:type="paragraph" w:styleId="CommentSubject">
    <w:name w:val="annotation subject"/>
    <w:basedOn w:val="CommentText"/>
    <w:next w:val="CommentText"/>
    <w:link w:val="CommentSubjectChar"/>
    <w:uiPriority w:val="99"/>
    <w:semiHidden/>
    <w:unhideWhenUsed/>
    <w:rsid w:val="00F50192"/>
    <w:rPr>
      <w:b/>
      <w:bCs/>
    </w:rPr>
  </w:style>
  <w:style w:type="character" w:customStyle="1" w:styleId="CommentSubjectChar">
    <w:name w:val="Comment Subject Char"/>
    <w:basedOn w:val="CommentTextChar"/>
    <w:link w:val="CommentSubject"/>
    <w:uiPriority w:val="99"/>
    <w:semiHidden/>
    <w:rsid w:val="00F50192"/>
    <w:rPr>
      <w:b/>
      <w:bCs/>
      <w:sz w:val="20"/>
      <w:szCs w:val="20"/>
    </w:rPr>
  </w:style>
  <w:style w:type="paragraph" w:styleId="BalloonText">
    <w:name w:val="Balloon Text"/>
    <w:basedOn w:val="Normal"/>
    <w:link w:val="BalloonTextChar"/>
    <w:uiPriority w:val="99"/>
    <w:semiHidden/>
    <w:unhideWhenUsed/>
    <w:rsid w:val="00F5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92"/>
    <w:rPr>
      <w:rFonts w:ascii="Segoe UI" w:hAnsi="Segoe UI" w:cs="Segoe UI"/>
      <w:sz w:val="18"/>
      <w:szCs w:val="18"/>
    </w:rPr>
  </w:style>
  <w:style w:type="paragraph" w:styleId="Revision">
    <w:name w:val="Revision"/>
    <w:hidden/>
    <w:uiPriority w:val="99"/>
    <w:semiHidden/>
    <w:rsid w:val="00DB46A4"/>
    <w:pPr>
      <w:spacing w:after="0" w:line="240" w:lineRule="auto"/>
    </w:pPr>
  </w:style>
  <w:style w:type="paragraph" w:styleId="Header">
    <w:name w:val="header"/>
    <w:basedOn w:val="Normal"/>
    <w:link w:val="HeaderChar"/>
    <w:uiPriority w:val="99"/>
    <w:unhideWhenUsed/>
    <w:rsid w:val="00FF7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93"/>
  </w:style>
  <w:style w:type="paragraph" w:styleId="Footer">
    <w:name w:val="footer"/>
    <w:basedOn w:val="Normal"/>
    <w:link w:val="FooterChar"/>
    <w:uiPriority w:val="99"/>
    <w:unhideWhenUsed/>
    <w:rsid w:val="00FF7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ransparency.org/country" TargetMode="External"/><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monitor.civicus.org/" TargetMode="External"/><Relationship Id="rId17" Type="http://schemas.openxmlformats.org/officeDocument/2006/relationships/hyperlink" Target="https://www.finnfund.fi/wp-content/uploads/2019/01/Finnfund-Human-Rights-Statement_Final-ENG_230119.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r.org/interactive/global-conflict-tracker/?category=u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freedomhouse.org/" TargetMode="External"/><Relationship Id="rId23" Type="http://schemas.openxmlformats.org/officeDocument/2006/relationships/theme" Target="theme/theme1.xml"/><Relationship Id="rId10" Type="http://schemas.openxmlformats.org/officeDocument/2006/relationships/hyperlink" Target="http://pubdocs.worldbank.org/en/179011582771134576/FCS-FY20.pd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rontlinedefende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38B61C-B98D-4958-A8BD-3DC26F1A7EF0}"/>
</file>

<file path=customXml/itemProps2.xml><?xml version="1.0" encoding="utf-8"?>
<ds:datastoreItem xmlns:ds="http://schemas.openxmlformats.org/officeDocument/2006/customXml" ds:itemID="{7ED7C3E1-E7D6-4B6E-A691-3AEC18EFBC56}"/>
</file>

<file path=customXml/itemProps3.xml><?xml version="1.0" encoding="utf-8"?>
<ds:datastoreItem xmlns:ds="http://schemas.openxmlformats.org/officeDocument/2006/customXml" ds:itemID="{90A4448F-E718-4C1A-A300-BD5EC6B38709}"/>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Fraboulet-Jussila Sylvie</dc:creator>
  <cp:keywords/>
  <dc:description/>
  <cp:lastModifiedBy>HRD RA</cp:lastModifiedBy>
  <cp:revision>2</cp:revision>
  <cp:lastPrinted>2020-09-29T12:28:00Z</cp:lastPrinted>
  <dcterms:created xsi:type="dcterms:W3CDTF">2020-10-07T14:43:00Z</dcterms:created>
  <dcterms:modified xsi:type="dcterms:W3CDTF">2020-10-07T14:43:00Z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