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D97" w:rsidRPr="0068239D" w:rsidRDefault="00AF2D97" w:rsidP="00AF2D97">
      <w:pPr>
        <w:spacing w:after="0"/>
        <w:rPr>
          <w:rFonts w:ascii="Tahoma" w:hAnsi="Tahoma" w:cs="Tahoma"/>
          <w:b/>
          <w:lang w:val="fr-CI"/>
        </w:rPr>
      </w:pPr>
      <w:r w:rsidRPr="000B7168">
        <w:rPr>
          <w:rFonts w:ascii="Tahoma" w:hAnsi="Tahoma" w:cs="Tahoma"/>
          <w:b/>
          <w:lang w:val="fr-FR"/>
        </w:rPr>
        <w:t>MINISTERE DE LA JUSTICE                                     REPUBLIQUE DE COTE D’IVOIRE</w:t>
      </w:r>
    </w:p>
    <w:p w:rsidR="00AF2D97" w:rsidRPr="000B7168" w:rsidRDefault="00AF2D97" w:rsidP="00AF2D97">
      <w:pPr>
        <w:spacing w:after="0"/>
        <w:rPr>
          <w:rFonts w:ascii="Tahoma" w:hAnsi="Tahoma" w:cs="Tahoma"/>
          <w:b/>
          <w:lang w:val="fr-FR"/>
        </w:rPr>
      </w:pPr>
      <w:r w:rsidRPr="000B7168">
        <w:rPr>
          <w:rFonts w:ascii="Tahoma" w:hAnsi="Tahoma" w:cs="Tahoma"/>
          <w:b/>
          <w:lang w:val="fr-FR"/>
        </w:rPr>
        <w:t xml:space="preserve">ET DES DROITS DE L’HOMME                                         </w:t>
      </w:r>
      <w:r w:rsidRPr="000B7168">
        <w:rPr>
          <w:rFonts w:ascii="Tahoma" w:hAnsi="Tahoma" w:cs="Tahoma"/>
          <w:lang w:val="fr-FR"/>
        </w:rPr>
        <w:t xml:space="preserve">Union - Discipline -Travail                                                                       </w:t>
      </w:r>
      <w:r w:rsidRPr="000B7168">
        <w:rPr>
          <w:rFonts w:ascii="Tahoma" w:hAnsi="Tahoma" w:cs="Tahoma"/>
          <w:b/>
          <w:lang w:val="fr-FR"/>
        </w:rPr>
        <w:tab/>
        <w:t xml:space="preserve">    ------------                                                                    ------------</w:t>
      </w:r>
    </w:p>
    <w:p w:rsidR="00AF2D97" w:rsidRPr="000B7168" w:rsidRDefault="00AF2D97" w:rsidP="00AF2D97">
      <w:pPr>
        <w:spacing w:after="0"/>
        <w:rPr>
          <w:rFonts w:ascii="Tahoma" w:hAnsi="Tahoma" w:cs="Tahoma"/>
          <w:b/>
          <w:lang w:val="fr-FR"/>
        </w:rPr>
      </w:pPr>
      <w:r w:rsidRPr="000B7168">
        <w:rPr>
          <w:rFonts w:ascii="Tahoma" w:hAnsi="Tahoma" w:cs="Tahoma"/>
          <w:b/>
          <w:lang w:val="fr-FR"/>
        </w:rPr>
        <w:t>DIRECTION DE LA PROTECTION JUDICIAIRE</w:t>
      </w:r>
    </w:p>
    <w:p w:rsidR="00AF2D97" w:rsidRPr="000B7168" w:rsidRDefault="00AF2D97" w:rsidP="00AF2D97">
      <w:pPr>
        <w:spacing w:after="0"/>
        <w:rPr>
          <w:rFonts w:ascii="Tahoma" w:hAnsi="Tahoma" w:cs="Tahoma"/>
          <w:b/>
          <w:lang w:val="fr-FR"/>
        </w:rPr>
      </w:pPr>
      <w:r w:rsidRPr="000B7168">
        <w:rPr>
          <w:rFonts w:ascii="Tahoma" w:hAnsi="Tahoma" w:cs="Tahoma"/>
          <w:b/>
          <w:lang w:val="fr-FR"/>
        </w:rPr>
        <w:t>DE L’ENFANCE ET DE LA JEUNESSE</w:t>
      </w:r>
    </w:p>
    <w:p w:rsidR="00AF2D97" w:rsidRPr="000B7168" w:rsidRDefault="00AF2D97" w:rsidP="00D927E6">
      <w:pPr>
        <w:jc w:val="center"/>
        <w:rPr>
          <w:rFonts w:ascii="Times New Roman" w:eastAsia="Calibri" w:hAnsi="Times New Roman" w:cs="Times New Roman"/>
          <w:b/>
          <w:bCs/>
          <w:sz w:val="24"/>
          <w:szCs w:val="24"/>
          <w:lang w:val="fr-FR"/>
        </w:rPr>
      </w:pPr>
    </w:p>
    <w:p w:rsidR="00AF2D97" w:rsidRPr="000B7168" w:rsidRDefault="00AF2D97" w:rsidP="00D927E6">
      <w:pPr>
        <w:jc w:val="center"/>
        <w:rPr>
          <w:rFonts w:ascii="Times New Roman" w:eastAsia="Calibri" w:hAnsi="Times New Roman" w:cs="Times New Roman"/>
          <w:b/>
          <w:bCs/>
          <w:sz w:val="24"/>
          <w:szCs w:val="24"/>
          <w:lang w:val="fr-FR"/>
        </w:rPr>
      </w:pPr>
    </w:p>
    <w:p w:rsidR="00B87180" w:rsidRPr="000B7168" w:rsidRDefault="006128C3" w:rsidP="006128C3">
      <w:pPr>
        <w:jc w:val="center"/>
        <w:rPr>
          <w:rFonts w:ascii="Times New Roman" w:eastAsia="Calibri" w:hAnsi="Times New Roman" w:cs="Times New Roman"/>
          <w:b/>
          <w:bCs/>
          <w:sz w:val="24"/>
          <w:szCs w:val="24"/>
          <w:lang w:val="fr-FR"/>
        </w:rPr>
      </w:pPr>
      <w:r w:rsidRPr="000B7168">
        <w:rPr>
          <w:rFonts w:ascii="Times New Roman" w:eastAsia="Calibri" w:hAnsi="Times New Roman" w:cs="Times New Roman"/>
          <w:b/>
          <w:bCs/>
          <w:sz w:val="24"/>
          <w:szCs w:val="24"/>
          <w:lang w:val="fr-FR"/>
        </w:rPr>
        <w:t>CONTRIBUTION AU RAPPORT DE LA RAPPORTEURE SPECIALE SUR LA VENTE ET L’EXPLOITATION SEXUELLE DES ENFANTS</w:t>
      </w:r>
    </w:p>
    <w:p w:rsidR="006128C3" w:rsidRPr="000B7168" w:rsidRDefault="006128C3" w:rsidP="006128C3">
      <w:pPr>
        <w:jc w:val="center"/>
        <w:rPr>
          <w:rFonts w:ascii="Times New Roman" w:eastAsia="Calibri" w:hAnsi="Times New Roman" w:cs="Times New Roman"/>
          <w:b/>
          <w:bCs/>
          <w:sz w:val="24"/>
          <w:szCs w:val="24"/>
          <w:lang w:val="fr-FR"/>
        </w:rPr>
      </w:pPr>
    </w:p>
    <w:p w:rsidR="006128C3" w:rsidRPr="000B7168" w:rsidRDefault="006128C3" w:rsidP="006128C3">
      <w:pPr>
        <w:jc w:val="center"/>
        <w:rPr>
          <w:rFonts w:ascii="Times New Roman" w:eastAsia="Calibri" w:hAnsi="Times New Roman" w:cs="Times New Roman"/>
          <w:b/>
          <w:i/>
          <w:sz w:val="24"/>
          <w:szCs w:val="24"/>
          <w:lang w:val="fr-FR"/>
        </w:rPr>
      </w:pPr>
    </w:p>
    <w:p w:rsidR="007270F2" w:rsidRPr="00F32061" w:rsidRDefault="007270F2" w:rsidP="007270F2">
      <w:pPr>
        <w:spacing w:after="0" w:line="240" w:lineRule="auto"/>
        <w:ind w:left="720"/>
        <w:contextualSpacing/>
        <w:jc w:val="both"/>
        <w:rPr>
          <w:rStyle w:val="tlid-translation"/>
          <w:b/>
          <w:bCs/>
          <w:lang w:val="fr-FR"/>
        </w:rPr>
      </w:pPr>
      <w:r w:rsidRPr="00F32061">
        <w:rPr>
          <w:rStyle w:val="tlid-translation"/>
          <w:b/>
          <w:bCs/>
          <w:i/>
          <w:iCs/>
          <w:u w:val="single"/>
          <w:lang w:val="fr-FR"/>
        </w:rPr>
        <w:t>Contexte, prise de conscience et attitudes sous-tendant la vente et l'exploitation sexuelle des enfants</w:t>
      </w:r>
      <w:r w:rsidRPr="00F32061">
        <w:rPr>
          <w:rStyle w:val="tlid-translation"/>
          <w:b/>
          <w:bCs/>
          <w:lang w:val="fr-FR"/>
        </w:rPr>
        <w:t xml:space="preserve"> : quels sont les défis, les tendances et les menaces émergentes actuels qui définissent l'étendue et l'étendue de la vente et de l'exploitation sexuelle des enfants ? Quels progrès ont été accomplis dans le changement de langage et de narration autour de ces questions par la communauté plus large d'experts et de praticiens ? Quelles sont certaines des bonnes pratiques en matière de sensibilisation du public aux questions de vente et d’exploitation sexuelle des enfants aux niveaux local, national, régional et mondial ?</w:t>
      </w:r>
    </w:p>
    <w:p w:rsidR="00A339E2" w:rsidRPr="00F32061" w:rsidRDefault="00A339E2" w:rsidP="007270F2">
      <w:pPr>
        <w:spacing w:after="0" w:line="240" w:lineRule="auto"/>
        <w:ind w:left="720"/>
        <w:contextualSpacing/>
        <w:jc w:val="both"/>
        <w:rPr>
          <w:rFonts w:ascii="Times New Roman" w:eastAsia="Calibri" w:hAnsi="Times New Roman" w:cs="Times New Roman"/>
          <w:sz w:val="24"/>
          <w:szCs w:val="24"/>
          <w:lang w:val="fr-FR"/>
        </w:rPr>
      </w:pPr>
    </w:p>
    <w:p w:rsidR="00FD776F" w:rsidRPr="00FD776F" w:rsidRDefault="00FD776F" w:rsidP="007270F2">
      <w:pPr>
        <w:spacing w:after="0" w:line="240" w:lineRule="auto"/>
        <w:ind w:left="720"/>
        <w:contextualSpacing/>
        <w:jc w:val="both"/>
        <w:rPr>
          <w:rFonts w:ascii="Times New Roman" w:eastAsia="Calibri" w:hAnsi="Times New Roman" w:cs="Times New Roman"/>
          <w:b/>
          <w:i/>
          <w:iCs/>
          <w:sz w:val="24"/>
          <w:szCs w:val="24"/>
          <w:lang w:val="fr-FR"/>
        </w:rPr>
      </w:pPr>
      <w:r>
        <w:rPr>
          <w:rFonts w:ascii="Times New Roman" w:eastAsia="Calibri" w:hAnsi="Times New Roman" w:cs="Times New Roman"/>
          <w:b/>
          <w:i/>
          <w:iCs/>
          <w:sz w:val="24"/>
          <w:szCs w:val="24"/>
          <w:lang w:val="fr-FR"/>
        </w:rPr>
        <w:t>1-</w:t>
      </w:r>
      <w:r w:rsidRPr="00FD776F">
        <w:rPr>
          <w:rFonts w:ascii="Times New Roman" w:eastAsia="Calibri" w:hAnsi="Times New Roman" w:cs="Times New Roman"/>
          <w:b/>
          <w:i/>
          <w:iCs/>
          <w:sz w:val="24"/>
          <w:szCs w:val="24"/>
          <w:lang w:val="fr-FR"/>
        </w:rPr>
        <w:t xml:space="preserve">Défis </w:t>
      </w:r>
    </w:p>
    <w:p w:rsidR="00FD776F" w:rsidRDefault="00115DBC" w:rsidP="00FD776F">
      <w:pPr>
        <w:spacing w:after="0" w:line="240" w:lineRule="auto"/>
        <w:ind w:left="720" w:firstLine="720"/>
        <w:contextualSpacing/>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Nous sommes confrontés à un manque de statistique sur la vente et l’exploitation sexuelle des enfants</w:t>
      </w:r>
      <w:r w:rsidR="00591F81">
        <w:rPr>
          <w:rFonts w:ascii="Times New Roman" w:eastAsia="Calibri" w:hAnsi="Times New Roman" w:cs="Times New Roman"/>
          <w:i/>
          <w:iCs/>
          <w:sz w:val="24"/>
          <w:szCs w:val="24"/>
          <w:lang w:val="fr-FR"/>
        </w:rPr>
        <w:t>.</w:t>
      </w:r>
      <w:r w:rsidR="000B7168">
        <w:rPr>
          <w:rFonts w:ascii="Times New Roman" w:eastAsia="Calibri" w:hAnsi="Times New Roman" w:cs="Times New Roman"/>
          <w:i/>
          <w:iCs/>
          <w:sz w:val="24"/>
          <w:szCs w:val="24"/>
          <w:lang w:val="fr-FR"/>
        </w:rPr>
        <w:t xml:space="preserve"> Selon le Comité National de Suivi des actions de lutte contre la traite, l’exploitation et le travail des enfants (CNS</w:t>
      </w:r>
      <w:proofErr w:type="gramStart"/>
      <w:r w:rsidR="000B7168">
        <w:rPr>
          <w:rFonts w:ascii="Times New Roman" w:eastAsia="Calibri" w:hAnsi="Times New Roman" w:cs="Times New Roman"/>
          <w:i/>
          <w:iCs/>
          <w:sz w:val="24"/>
          <w:szCs w:val="24"/>
          <w:lang w:val="fr-FR"/>
        </w:rPr>
        <w:t>) ,</w:t>
      </w:r>
      <w:proofErr w:type="gramEnd"/>
      <w:r w:rsidR="000B7168">
        <w:rPr>
          <w:rFonts w:ascii="Times New Roman" w:eastAsia="Calibri" w:hAnsi="Times New Roman" w:cs="Times New Roman"/>
          <w:i/>
          <w:iCs/>
          <w:sz w:val="24"/>
          <w:szCs w:val="24"/>
          <w:lang w:val="fr-FR"/>
        </w:rPr>
        <w:t xml:space="preserve"> </w:t>
      </w:r>
      <w:r w:rsidR="006128C3">
        <w:rPr>
          <w:rFonts w:ascii="Times New Roman" w:eastAsia="Calibri" w:hAnsi="Times New Roman" w:cs="Times New Roman"/>
          <w:i/>
          <w:iCs/>
          <w:sz w:val="24"/>
          <w:szCs w:val="24"/>
          <w:lang w:val="fr-FR"/>
        </w:rPr>
        <w:t xml:space="preserve">167 enfants victimes de traite et d’exploitation ont été pris en charge </w:t>
      </w:r>
      <w:r w:rsidR="000B7168">
        <w:rPr>
          <w:rFonts w:ascii="Times New Roman" w:eastAsia="Calibri" w:hAnsi="Times New Roman" w:cs="Times New Roman"/>
          <w:i/>
          <w:iCs/>
          <w:sz w:val="24"/>
          <w:szCs w:val="24"/>
          <w:lang w:val="fr-FR"/>
        </w:rPr>
        <w:t xml:space="preserve">pendant l’année  </w:t>
      </w:r>
      <w:r w:rsidR="006128C3">
        <w:rPr>
          <w:rFonts w:ascii="Times New Roman" w:eastAsia="Calibri" w:hAnsi="Times New Roman" w:cs="Times New Roman"/>
          <w:i/>
          <w:iCs/>
          <w:sz w:val="24"/>
          <w:szCs w:val="24"/>
          <w:lang w:val="fr-FR"/>
        </w:rPr>
        <w:t>2017</w:t>
      </w:r>
      <w:r w:rsidR="000B7168">
        <w:rPr>
          <w:rFonts w:ascii="Times New Roman" w:eastAsia="Calibri" w:hAnsi="Times New Roman" w:cs="Times New Roman"/>
          <w:i/>
          <w:iCs/>
          <w:sz w:val="24"/>
          <w:szCs w:val="24"/>
          <w:lang w:val="fr-FR"/>
        </w:rPr>
        <w:t xml:space="preserve"> dont 17 par les services de protection judiciaire près les tribunaux (SPJEJ). Pendant l’année judiciaire  </w:t>
      </w:r>
      <w:r w:rsidR="006128C3">
        <w:rPr>
          <w:rFonts w:ascii="Times New Roman" w:eastAsia="Calibri" w:hAnsi="Times New Roman" w:cs="Times New Roman"/>
          <w:i/>
          <w:iCs/>
          <w:sz w:val="24"/>
          <w:szCs w:val="24"/>
          <w:lang w:val="fr-FR"/>
        </w:rPr>
        <w:t xml:space="preserve"> 2018-2019, 240 enfants victimes de traite et d’exploitation sexuelle ont été pris en charge </w:t>
      </w:r>
      <w:r w:rsidR="000B7168">
        <w:rPr>
          <w:rFonts w:ascii="Times New Roman" w:eastAsia="Calibri" w:hAnsi="Times New Roman" w:cs="Times New Roman"/>
          <w:i/>
          <w:iCs/>
          <w:sz w:val="24"/>
          <w:szCs w:val="24"/>
          <w:lang w:val="fr-FR"/>
        </w:rPr>
        <w:t xml:space="preserve">par les SPJEJ </w:t>
      </w:r>
      <w:bookmarkStart w:id="0" w:name="_GoBack"/>
      <w:bookmarkEnd w:id="0"/>
      <w:r w:rsidR="006128C3">
        <w:rPr>
          <w:rFonts w:ascii="Times New Roman" w:eastAsia="Calibri" w:hAnsi="Times New Roman" w:cs="Times New Roman"/>
          <w:i/>
          <w:iCs/>
          <w:sz w:val="24"/>
          <w:szCs w:val="24"/>
          <w:lang w:val="fr-FR"/>
        </w:rPr>
        <w:t>et 87 personnes poursuivies.</w:t>
      </w:r>
      <w:r w:rsidR="00591F81">
        <w:rPr>
          <w:rFonts w:ascii="Times New Roman" w:eastAsia="Calibri" w:hAnsi="Times New Roman" w:cs="Times New Roman"/>
          <w:i/>
          <w:iCs/>
          <w:sz w:val="24"/>
          <w:szCs w:val="24"/>
          <w:lang w:val="fr-FR"/>
        </w:rPr>
        <w:t xml:space="preserve"> </w:t>
      </w:r>
    </w:p>
    <w:p w:rsidR="00A339E2" w:rsidRPr="00F32061" w:rsidRDefault="00591F81" w:rsidP="00FD776F">
      <w:pPr>
        <w:spacing w:after="0" w:line="240" w:lineRule="auto"/>
        <w:ind w:left="720" w:firstLine="720"/>
        <w:contextualSpacing/>
        <w:jc w:val="both"/>
        <w:rPr>
          <w:rFonts w:ascii="Times New Roman" w:eastAsia="Calibri" w:hAnsi="Times New Roman" w:cs="Times New Roman"/>
          <w:i/>
          <w:iCs/>
          <w:sz w:val="24"/>
          <w:szCs w:val="24"/>
          <w:lang w:val="fr-FR"/>
        </w:rPr>
      </w:pPr>
      <w:r>
        <w:rPr>
          <w:rFonts w:ascii="Times New Roman" w:eastAsia="Calibri" w:hAnsi="Times New Roman" w:cs="Times New Roman"/>
          <w:i/>
          <w:iCs/>
          <w:sz w:val="24"/>
          <w:szCs w:val="24"/>
          <w:lang w:val="fr-FR"/>
        </w:rPr>
        <w:t>L’insuffisance de ce</w:t>
      </w:r>
      <w:r w:rsidR="00E72338" w:rsidRPr="00F32061">
        <w:rPr>
          <w:rFonts w:ascii="Times New Roman" w:eastAsia="Calibri" w:hAnsi="Times New Roman" w:cs="Times New Roman"/>
          <w:i/>
          <w:iCs/>
          <w:sz w:val="24"/>
          <w:szCs w:val="24"/>
          <w:lang w:val="fr-FR"/>
        </w:rPr>
        <w:t>ntre</w:t>
      </w:r>
      <w:r w:rsidR="00FD776F">
        <w:rPr>
          <w:rFonts w:ascii="Times New Roman" w:eastAsia="Calibri" w:hAnsi="Times New Roman" w:cs="Times New Roman"/>
          <w:i/>
          <w:iCs/>
          <w:sz w:val="24"/>
          <w:szCs w:val="24"/>
          <w:lang w:val="fr-FR"/>
        </w:rPr>
        <w:t>s</w:t>
      </w:r>
      <w:r w:rsidR="00E72338" w:rsidRPr="00F32061">
        <w:rPr>
          <w:rFonts w:ascii="Times New Roman" w:eastAsia="Calibri" w:hAnsi="Times New Roman" w:cs="Times New Roman"/>
          <w:i/>
          <w:iCs/>
          <w:sz w:val="24"/>
          <w:szCs w:val="24"/>
          <w:lang w:val="fr-FR"/>
        </w:rPr>
        <w:t xml:space="preserve"> d’accueil spécifique pour les enfants victimes de traite, vente et d’exploitation sexuelle pour une prise en charge adéquate. </w:t>
      </w:r>
      <w:r w:rsidR="00813E3D">
        <w:rPr>
          <w:rFonts w:ascii="Times New Roman" w:eastAsia="Calibri" w:hAnsi="Times New Roman" w:cs="Times New Roman"/>
          <w:i/>
          <w:iCs/>
          <w:sz w:val="24"/>
          <w:szCs w:val="24"/>
          <w:lang w:val="fr-FR"/>
        </w:rPr>
        <w:t>Une maison d’accueil pour les enfants victimes de trai</w:t>
      </w:r>
      <w:r w:rsidR="00956702">
        <w:rPr>
          <w:rFonts w:ascii="Times New Roman" w:eastAsia="Calibri" w:hAnsi="Times New Roman" w:cs="Times New Roman"/>
          <w:i/>
          <w:iCs/>
          <w:sz w:val="24"/>
          <w:szCs w:val="24"/>
          <w:lang w:val="fr-FR"/>
        </w:rPr>
        <w:t>te et d’exploitation des enfants</w:t>
      </w:r>
      <w:r w:rsidR="00813E3D">
        <w:rPr>
          <w:rFonts w:ascii="Times New Roman" w:eastAsia="Calibri" w:hAnsi="Times New Roman" w:cs="Times New Roman"/>
          <w:i/>
          <w:iCs/>
          <w:sz w:val="24"/>
          <w:szCs w:val="24"/>
          <w:lang w:val="fr-FR"/>
        </w:rPr>
        <w:t xml:space="preserve"> construite et équipé à Soubré par la Fondation </w:t>
      </w:r>
      <w:proofErr w:type="spellStart"/>
      <w:r w:rsidR="00813E3D">
        <w:rPr>
          <w:rFonts w:ascii="Times New Roman" w:eastAsia="Calibri" w:hAnsi="Times New Roman" w:cs="Times New Roman"/>
          <w:i/>
          <w:iCs/>
          <w:sz w:val="24"/>
          <w:szCs w:val="24"/>
          <w:lang w:val="fr-FR"/>
        </w:rPr>
        <w:t>Children</w:t>
      </w:r>
      <w:proofErr w:type="spellEnd"/>
      <w:r w:rsidR="00813E3D">
        <w:rPr>
          <w:rFonts w:ascii="Times New Roman" w:eastAsia="Calibri" w:hAnsi="Times New Roman" w:cs="Times New Roman"/>
          <w:i/>
          <w:iCs/>
          <w:sz w:val="24"/>
          <w:szCs w:val="24"/>
          <w:lang w:val="fr-FR"/>
        </w:rPr>
        <w:t xml:space="preserve"> of </w:t>
      </w:r>
      <w:proofErr w:type="spellStart"/>
      <w:r w:rsidR="00813E3D">
        <w:rPr>
          <w:rFonts w:ascii="Times New Roman" w:eastAsia="Calibri" w:hAnsi="Times New Roman" w:cs="Times New Roman"/>
          <w:i/>
          <w:iCs/>
          <w:sz w:val="24"/>
          <w:szCs w:val="24"/>
          <w:lang w:val="fr-FR"/>
        </w:rPr>
        <w:t>Africa</w:t>
      </w:r>
      <w:proofErr w:type="spellEnd"/>
      <w:r w:rsidR="00813E3D">
        <w:rPr>
          <w:rFonts w:ascii="Times New Roman" w:eastAsia="Calibri" w:hAnsi="Times New Roman" w:cs="Times New Roman"/>
          <w:i/>
          <w:iCs/>
          <w:sz w:val="24"/>
          <w:szCs w:val="24"/>
          <w:lang w:val="fr-FR"/>
        </w:rPr>
        <w:t>.</w:t>
      </w:r>
    </w:p>
    <w:p w:rsidR="00FD776F" w:rsidRDefault="00115DBC" w:rsidP="00FD776F">
      <w:pPr>
        <w:spacing w:after="0" w:line="240" w:lineRule="auto"/>
        <w:ind w:left="720" w:firstLine="720"/>
        <w:contextualSpacing/>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 xml:space="preserve">L’utilisation malsaine de TIC (internet, smartphone etc…) constitue une menace contre les enfants. </w:t>
      </w:r>
      <w:r w:rsidR="00E72338" w:rsidRPr="00F32061">
        <w:rPr>
          <w:rFonts w:ascii="Times New Roman" w:eastAsia="Calibri" w:hAnsi="Times New Roman" w:cs="Times New Roman"/>
          <w:i/>
          <w:iCs/>
          <w:sz w:val="24"/>
          <w:szCs w:val="24"/>
          <w:lang w:val="fr-FR"/>
        </w:rPr>
        <w:t>Les abuseur</w:t>
      </w:r>
      <w:r w:rsidR="00591F81">
        <w:rPr>
          <w:rFonts w:ascii="Times New Roman" w:eastAsia="Calibri" w:hAnsi="Times New Roman" w:cs="Times New Roman"/>
          <w:i/>
          <w:iCs/>
          <w:sz w:val="24"/>
          <w:szCs w:val="24"/>
          <w:lang w:val="fr-FR"/>
        </w:rPr>
        <w:t xml:space="preserve">s ont recours à internet qui </w:t>
      </w:r>
      <w:r w:rsidR="00E72338" w:rsidRPr="00F32061">
        <w:rPr>
          <w:rFonts w:ascii="Times New Roman" w:eastAsia="Calibri" w:hAnsi="Times New Roman" w:cs="Times New Roman"/>
          <w:i/>
          <w:iCs/>
          <w:sz w:val="24"/>
          <w:szCs w:val="24"/>
          <w:lang w:val="fr-FR"/>
        </w:rPr>
        <w:t xml:space="preserve"> offre une accessibilité, une abondance, une dématérialisation, un anonymat, des renseignements et un accès facile aux enfants. </w:t>
      </w:r>
    </w:p>
    <w:p w:rsidR="00FD776F" w:rsidRDefault="00FD776F" w:rsidP="00FD776F">
      <w:pPr>
        <w:spacing w:after="0" w:line="240" w:lineRule="auto"/>
        <w:ind w:left="720" w:firstLine="720"/>
        <w:contextualSpacing/>
        <w:jc w:val="both"/>
        <w:rPr>
          <w:rFonts w:ascii="Times New Roman" w:eastAsia="Calibri" w:hAnsi="Times New Roman" w:cs="Times New Roman"/>
          <w:i/>
          <w:iCs/>
          <w:sz w:val="24"/>
          <w:szCs w:val="24"/>
          <w:lang w:val="fr-FR"/>
        </w:rPr>
      </w:pPr>
      <w:r>
        <w:rPr>
          <w:rFonts w:ascii="Times New Roman" w:eastAsia="Calibri" w:hAnsi="Times New Roman" w:cs="Times New Roman"/>
          <w:i/>
          <w:iCs/>
          <w:sz w:val="24"/>
          <w:szCs w:val="24"/>
          <w:lang w:val="fr-FR"/>
        </w:rPr>
        <w:t>Le développement de la criminalité transnationale organisée.</w:t>
      </w:r>
    </w:p>
    <w:p w:rsidR="00FD776F" w:rsidRDefault="00FD776F" w:rsidP="00FD776F">
      <w:pPr>
        <w:spacing w:after="0" w:line="240" w:lineRule="auto"/>
        <w:ind w:left="720" w:firstLine="720"/>
        <w:contextualSpacing/>
        <w:jc w:val="both"/>
        <w:rPr>
          <w:rFonts w:ascii="Times New Roman" w:eastAsia="Calibri" w:hAnsi="Times New Roman" w:cs="Times New Roman"/>
          <w:i/>
          <w:iCs/>
          <w:sz w:val="24"/>
          <w:szCs w:val="24"/>
          <w:lang w:val="fr-FR"/>
        </w:rPr>
      </w:pPr>
      <w:r>
        <w:rPr>
          <w:rFonts w:ascii="Times New Roman" w:eastAsia="Calibri" w:hAnsi="Times New Roman" w:cs="Times New Roman"/>
          <w:i/>
          <w:iCs/>
          <w:sz w:val="24"/>
          <w:szCs w:val="24"/>
          <w:lang w:val="fr-FR"/>
        </w:rPr>
        <w:t>Les crises politiques, économique</w:t>
      </w:r>
      <w:r w:rsidR="00E06F6A">
        <w:rPr>
          <w:rFonts w:ascii="Times New Roman" w:eastAsia="Calibri" w:hAnsi="Times New Roman" w:cs="Times New Roman"/>
          <w:i/>
          <w:iCs/>
          <w:sz w:val="24"/>
          <w:szCs w:val="24"/>
          <w:lang w:val="fr-FR"/>
        </w:rPr>
        <w:t>s</w:t>
      </w:r>
      <w:r>
        <w:rPr>
          <w:rFonts w:ascii="Times New Roman" w:eastAsia="Calibri" w:hAnsi="Times New Roman" w:cs="Times New Roman"/>
          <w:i/>
          <w:iCs/>
          <w:sz w:val="24"/>
          <w:szCs w:val="24"/>
          <w:lang w:val="fr-FR"/>
        </w:rPr>
        <w:t xml:space="preserve"> ainsi que  les catastrophes humanitaires qui jettent de nombreuses familles dans les rues.</w:t>
      </w:r>
    </w:p>
    <w:p w:rsidR="00115DBC" w:rsidRDefault="00E72338" w:rsidP="00FD776F">
      <w:pPr>
        <w:spacing w:after="0" w:line="240" w:lineRule="auto"/>
        <w:ind w:left="720" w:firstLine="720"/>
        <w:contextualSpacing/>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 xml:space="preserve">La dimension internationale de ces infractions nécessite une coopération internationale qui constitue souvent une limite dans la réponse apportée. </w:t>
      </w:r>
    </w:p>
    <w:p w:rsidR="001A3558" w:rsidRDefault="001A3558" w:rsidP="00FD776F">
      <w:pPr>
        <w:spacing w:after="0" w:line="240" w:lineRule="auto"/>
        <w:ind w:left="720" w:firstLine="720"/>
        <w:contextualSpacing/>
        <w:jc w:val="both"/>
        <w:rPr>
          <w:rFonts w:ascii="Times New Roman" w:eastAsia="Calibri" w:hAnsi="Times New Roman" w:cs="Times New Roman"/>
          <w:i/>
          <w:iCs/>
          <w:sz w:val="24"/>
          <w:szCs w:val="24"/>
          <w:lang w:val="fr-FR"/>
        </w:rPr>
      </w:pPr>
    </w:p>
    <w:p w:rsidR="00FD776F" w:rsidRPr="001A3558" w:rsidRDefault="001A3558" w:rsidP="00FD776F">
      <w:pPr>
        <w:spacing w:after="0" w:line="240" w:lineRule="auto"/>
        <w:ind w:left="720" w:firstLine="720"/>
        <w:contextualSpacing/>
        <w:jc w:val="both"/>
        <w:rPr>
          <w:rFonts w:ascii="Times New Roman" w:eastAsia="Calibri" w:hAnsi="Times New Roman" w:cs="Times New Roman"/>
          <w:b/>
          <w:i/>
          <w:iCs/>
          <w:sz w:val="24"/>
          <w:szCs w:val="24"/>
          <w:lang w:val="fr-FR"/>
        </w:rPr>
      </w:pPr>
      <w:r w:rsidRPr="001A3558">
        <w:rPr>
          <w:rFonts w:ascii="Times New Roman" w:eastAsia="Calibri" w:hAnsi="Times New Roman" w:cs="Times New Roman"/>
          <w:b/>
          <w:i/>
          <w:iCs/>
          <w:sz w:val="24"/>
          <w:szCs w:val="24"/>
          <w:lang w:val="fr-FR"/>
        </w:rPr>
        <w:t>2-Acti</w:t>
      </w:r>
      <w:r w:rsidR="00FD776F" w:rsidRPr="001A3558">
        <w:rPr>
          <w:rFonts w:ascii="Times New Roman" w:eastAsia="Calibri" w:hAnsi="Times New Roman" w:cs="Times New Roman"/>
          <w:b/>
          <w:i/>
          <w:iCs/>
          <w:sz w:val="24"/>
          <w:szCs w:val="24"/>
          <w:lang w:val="fr-FR"/>
        </w:rPr>
        <w:t xml:space="preserve">ons </w:t>
      </w:r>
      <w:r w:rsidRPr="001A3558">
        <w:rPr>
          <w:rFonts w:ascii="Times New Roman" w:eastAsia="Calibri" w:hAnsi="Times New Roman" w:cs="Times New Roman"/>
          <w:b/>
          <w:i/>
          <w:iCs/>
          <w:sz w:val="24"/>
          <w:szCs w:val="24"/>
          <w:lang w:val="fr-FR"/>
        </w:rPr>
        <w:t>menées</w:t>
      </w:r>
      <w:r w:rsidR="00FD776F" w:rsidRPr="001A3558">
        <w:rPr>
          <w:rFonts w:ascii="Times New Roman" w:eastAsia="Calibri" w:hAnsi="Times New Roman" w:cs="Times New Roman"/>
          <w:b/>
          <w:i/>
          <w:iCs/>
          <w:sz w:val="24"/>
          <w:szCs w:val="24"/>
          <w:lang w:val="fr-FR"/>
        </w:rPr>
        <w:t xml:space="preserve"> et </w:t>
      </w:r>
      <w:r w:rsidR="00731B8A" w:rsidRPr="001A3558">
        <w:rPr>
          <w:rFonts w:ascii="Times New Roman" w:eastAsia="Calibri" w:hAnsi="Times New Roman" w:cs="Times New Roman"/>
          <w:b/>
          <w:i/>
          <w:iCs/>
          <w:sz w:val="24"/>
          <w:szCs w:val="24"/>
          <w:lang w:val="fr-FR"/>
        </w:rPr>
        <w:t>progrès,</w:t>
      </w:r>
      <w:r w:rsidR="00731B8A">
        <w:rPr>
          <w:rFonts w:ascii="Times New Roman" w:eastAsia="Calibri" w:hAnsi="Times New Roman" w:cs="Times New Roman"/>
          <w:b/>
          <w:i/>
          <w:iCs/>
          <w:sz w:val="24"/>
          <w:szCs w:val="24"/>
          <w:lang w:val="fr-FR"/>
        </w:rPr>
        <w:t xml:space="preserve"> bonnes pratiques</w:t>
      </w:r>
    </w:p>
    <w:p w:rsidR="00FD776F" w:rsidRPr="001A3558" w:rsidRDefault="00FD776F" w:rsidP="00FD776F">
      <w:pPr>
        <w:spacing w:after="0" w:line="240" w:lineRule="auto"/>
        <w:ind w:left="720" w:firstLine="720"/>
        <w:contextualSpacing/>
        <w:jc w:val="both"/>
        <w:rPr>
          <w:rFonts w:ascii="Times New Roman" w:eastAsia="Calibri" w:hAnsi="Times New Roman" w:cs="Times New Roman"/>
          <w:b/>
          <w:i/>
          <w:iCs/>
          <w:sz w:val="24"/>
          <w:szCs w:val="24"/>
          <w:lang w:val="fr-FR"/>
        </w:rPr>
      </w:pPr>
    </w:p>
    <w:p w:rsidR="00125E6B" w:rsidRDefault="00115DBC" w:rsidP="001A3558">
      <w:pPr>
        <w:spacing w:line="240" w:lineRule="auto"/>
        <w:ind w:left="720" w:firstLine="720"/>
        <w:contextualSpacing/>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Certaine</w:t>
      </w:r>
      <w:r w:rsidR="0013762C" w:rsidRPr="00F32061">
        <w:rPr>
          <w:rFonts w:ascii="Times New Roman" w:eastAsia="Calibri" w:hAnsi="Times New Roman" w:cs="Times New Roman"/>
          <w:i/>
          <w:iCs/>
          <w:sz w:val="24"/>
          <w:szCs w:val="24"/>
          <w:lang w:val="fr-FR"/>
        </w:rPr>
        <w:t>s</w:t>
      </w:r>
      <w:r w:rsidRPr="00F32061">
        <w:rPr>
          <w:rFonts w:ascii="Times New Roman" w:eastAsia="Calibri" w:hAnsi="Times New Roman" w:cs="Times New Roman"/>
          <w:i/>
          <w:iCs/>
          <w:sz w:val="24"/>
          <w:szCs w:val="24"/>
          <w:lang w:val="fr-FR"/>
        </w:rPr>
        <w:t xml:space="preserve"> organisation</w:t>
      </w:r>
      <w:r w:rsidR="0013762C" w:rsidRPr="00F32061">
        <w:rPr>
          <w:rFonts w:ascii="Times New Roman" w:eastAsia="Calibri" w:hAnsi="Times New Roman" w:cs="Times New Roman"/>
          <w:i/>
          <w:iCs/>
          <w:sz w:val="24"/>
          <w:szCs w:val="24"/>
          <w:lang w:val="fr-FR"/>
        </w:rPr>
        <w:t>s</w:t>
      </w:r>
      <w:r w:rsidRPr="00F32061">
        <w:rPr>
          <w:rFonts w:ascii="Times New Roman" w:eastAsia="Calibri" w:hAnsi="Times New Roman" w:cs="Times New Roman"/>
          <w:i/>
          <w:iCs/>
          <w:sz w:val="24"/>
          <w:szCs w:val="24"/>
          <w:lang w:val="fr-FR"/>
        </w:rPr>
        <w:t xml:space="preserve"> de la société civile tel</w:t>
      </w:r>
      <w:r w:rsidR="001A3558">
        <w:rPr>
          <w:rFonts w:ascii="Times New Roman" w:eastAsia="Calibri" w:hAnsi="Times New Roman" w:cs="Times New Roman"/>
          <w:i/>
          <w:iCs/>
          <w:sz w:val="24"/>
          <w:szCs w:val="24"/>
          <w:lang w:val="fr-FR"/>
        </w:rPr>
        <w:t>les</w:t>
      </w:r>
      <w:r w:rsidRPr="00F32061">
        <w:rPr>
          <w:rFonts w:ascii="Times New Roman" w:eastAsia="Calibri" w:hAnsi="Times New Roman" w:cs="Times New Roman"/>
          <w:i/>
          <w:iCs/>
          <w:sz w:val="24"/>
          <w:szCs w:val="24"/>
          <w:lang w:val="fr-FR"/>
        </w:rPr>
        <w:t xml:space="preserve"> </w:t>
      </w:r>
      <w:r w:rsidR="001A3558">
        <w:rPr>
          <w:rFonts w:ascii="Times New Roman" w:eastAsia="Calibri" w:hAnsi="Times New Roman" w:cs="Times New Roman"/>
          <w:i/>
          <w:iCs/>
          <w:sz w:val="24"/>
          <w:szCs w:val="24"/>
          <w:lang w:val="fr-FR"/>
        </w:rPr>
        <w:t>que SOS Violences sexuelles</w:t>
      </w:r>
      <w:r w:rsidR="00591F81">
        <w:rPr>
          <w:rFonts w:ascii="Times New Roman" w:eastAsia="Calibri" w:hAnsi="Times New Roman" w:cs="Times New Roman"/>
          <w:i/>
          <w:iCs/>
          <w:sz w:val="24"/>
          <w:szCs w:val="24"/>
          <w:lang w:val="fr-FR"/>
        </w:rPr>
        <w:t xml:space="preserve"> dans la </w:t>
      </w:r>
      <w:r w:rsidRPr="00F32061">
        <w:rPr>
          <w:rFonts w:ascii="Times New Roman" w:eastAsia="Calibri" w:hAnsi="Times New Roman" w:cs="Times New Roman"/>
          <w:i/>
          <w:iCs/>
          <w:sz w:val="24"/>
          <w:szCs w:val="24"/>
          <w:lang w:val="fr-FR"/>
        </w:rPr>
        <w:t xml:space="preserve"> (zone d’Abidjan), la communauté Abel (commune de grand </w:t>
      </w:r>
      <w:r w:rsidR="0013762C" w:rsidRPr="00F32061">
        <w:rPr>
          <w:rFonts w:ascii="Times New Roman" w:eastAsia="Calibri" w:hAnsi="Times New Roman" w:cs="Times New Roman"/>
          <w:i/>
          <w:iCs/>
          <w:sz w:val="24"/>
          <w:szCs w:val="24"/>
          <w:lang w:val="fr-FR"/>
        </w:rPr>
        <w:t>Bassam) mène</w:t>
      </w:r>
      <w:r w:rsidR="001A3558">
        <w:rPr>
          <w:rFonts w:ascii="Times New Roman" w:eastAsia="Calibri" w:hAnsi="Times New Roman" w:cs="Times New Roman"/>
          <w:i/>
          <w:iCs/>
          <w:sz w:val="24"/>
          <w:szCs w:val="24"/>
          <w:lang w:val="fr-FR"/>
        </w:rPr>
        <w:t>nt</w:t>
      </w:r>
      <w:r w:rsidR="00591F81">
        <w:rPr>
          <w:rFonts w:ascii="Times New Roman" w:eastAsia="Calibri" w:hAnsi="Times New Roman" w:cs="Times New Roman"/>
          <w:i/>
          <w:iCs/>
          <w:sz w:val="24"/>
          <w:szCs w:val="24"/>
          <w:lang w:val="fr-FR"/>
        </w:rPr>
        <w:t xml:space="preserve">  </w:t>
      </w:r>
      <w:r w:rsidR="0013762C" w:rsidRPr="00F32061">
        <w:rPr>
          <w:rFonts w:ascii="Times New Roman" w:eastAsia="Calibri" w:hAnsi="Times New Roman" w:cs="Times New Roman"/>
          <w:i/>
          <w:iCs/>
          <w:sz w:val="24"/>
          <w:szCs w:val="24"/>
          <w:lang w:val="fr-FR"/>
        </w:rPr>
        <w:lastRenderedPageBreak/>
        <w:t>des activités</w:t>
      </w:r>
      <w:r w:rsidR="00E72338" w:rsidRPr="00F32061">
        <w:rPr>
          <w:rFonts w:ascii="Times New Roman" w:eastAsia="Calibri" w:hAnsi="Times New Roman" w:cs="Times New Roman"/>
          <w:i/>
          <w:iCs/>
          <w:sz w:val="24"/>
          <w:szCs w:val="24"/>
          <w:lang w:val="fr-FR"/>
        </w:rPr>
        <w:t xml:space="preserve"> de sensibilisation </w:t>
      </w:r>
      <w:r w:rsidR="0013762C" w:rsidRPr="00F32061">
        <w:rPr>
          <w:rFonts w:ascii="Times New Roman" w:eastAsia="Calibri" w:hAnsi="Times New Roman" w:cs="Times New Roman"/>
          <w:i/>
          <w:iCs/>
          <w:sz w:val="24"/>
          <w:szCs w:val="24"/>
          <w:lang w:val="fr-FR"/>
        </w:rPr>
        <w:t xml:space="preserve">au sein des </w:t>
      </w:r>
      <w:r w:rsidR="00E72338" w:rsidRPr="00F32061">
        <w:rPr>
          <w:rFonts w:ascii="Times New Roman" w:eastAsia="Calibri" w:hAnsi="Times New Roman" w:cs="Times New Roman"/>
          <w:i/>
          <w:iCs/>
          <w:sz w:val="24"/>
          <w:szCs w:val="24"/>
          <w:lang w:val="fr-FR"/>
        </w:rPr>
        <w:t>communauté</w:t>
      </w:r>
      <w:r w:rsidR="0013762C" w:rsidRPr="00F32061">
        <w:rPr>
          <w:rFonts w:ascii="Times New Roman" w:eastAsia="Calibri" w:hAnsi="Times New Roman" w:cs="Times New Roman"/>
          <w:i/>
          <w:iCs/>
          <w:sz w:val="24"/>
          <w:szCs w:val="24"/>
          <w:lang w:val="fr-FR"/>
        </w:rPr>
        <w:t>s pour des changement</w:t>
      </w:r>
      <w:r w:rsidR="001A3558">
        <w:rPr>
          <w:rFonts w:ascii="Times New Roman" w:eastAsia="Calibri" w:hAnsi="Times New Roman" w:cs="Times New Roman"/>
          <w:i/>
          <w:iCs/>
          <w:sz w:val="24"/>
          <w:szCs w:val="24"/>
          <w:lang w:val="fr-FR"/>
        </w:rPr>
        <w:t>s</w:t>
      </w:r>
      <w:r w:rsidR="0013762C" w:rsidRPr="00F32061">
        <w:rPr>
          <w:rFonts w:ascii="Times New Roman" w:eastAsia="Calibri" w:hAnsi="Times New Roman" w:cs="Times New Roman"/>
          <w:i/>
          <w:iCs/>
          <w:sz w:val="24"/>
          <w:szCs w:val="24"/>
          <w:lang w:val="fr-FR"/>
        </w:rPr>
        <w:t xml:space="preserve"> de comportement. </w:t>
      </w:r>
      <w:r w:rsidR="001A3558">
        <w:rPr>
          <w:rFonts w:ascii="Times New Roman" w:eastAsia="Calibri" w:hAnsi="Times New Roman" w:cs="Times New Roman"/>
          <w:i/>
          <w:iCs/>
          <w:sz w:val="24"/>
          <w:szCs w:val="24"/>
          <w:lang w:val="fr-FR"/>
        </w:rPr>
        <w:t xml:space="preserve">De même le Comité nationale de suivi des actions de lutte contre la </w:t>
      </w:r>
    </w:p>
    <w:p w:rsidR="00591F81" w:rsidRDefault="001A3558" w:rsidP="00125E6B">
      <w:pPr>
        <w:spacing w:line="240" w:lineRule="auto"/>
        <w:ind w:left="720"/>
        <w:contextualSpacing/>
        <w:jc w:val="both"/>
        <w:rPr>
          <w:rFonts w:ascii="Times New Roman" w:eastAsia="Calibri" w:hAnsi="Times New Roman" w:cs="Times New Roman"/>
          <w:i/>
          <w:iCs/>
          <w:sz w:val="24"/>
          <w:szCs w:val="24"/>
          <w:lang w:val="fr-FR"/>
        </w:rPr>
      </w:pPr>
      <w:proofErr w:type="gramStart"/>
      <w:r>
        <w:rPr>
          <w:rFonts w:ascii="Times New Roman" w:eastAsia="Calibri" w:hAnsi="Times New Roman" w:cs="Times New Roman"/>
          <w:i/>
          <w:iCs/>
          <w:sz w:val="24"/>
          <w:szCs w:val="24"/>
          <w:lang w:val="fr-FR"/>
        </w:rPr>
        <w:t>traite</w:t>
      </w:r>
      <w:proofErr w:type="gramEnd"/>
      <w:r>
        <w:rPr>
          <w:rFonts w:ascii="Times New Roman" w:eastAsia="Calibri" w:hAnsi="Times New Roman" w:cs="Times New Roman"/>
          <w:i/>
          <w:iCs/>
          <w:sz w:val="24"/>
          <w:szCs w:val="24"/>
          <w:lang w:val="fr-FR"/>
        </w:rPr>
        <w:t xml:space="preserve"> et l’exploitation des enfants (CNS) et ses partenaires organisent des campagnes de sensibilisation dans les communautés pour faire prendre conscience aux populations sur les dangers de la traite et des pires formes de travail des enfants.</w:t>
      </w:r>
    </w:p>
    <w:p w:rsidR="001A3558" w:rsidRDefault="001A3558" w:rsidP="001A3558">
      <w:pPr>
        <w:spacing w:line="240" w:lineRule="auto"/>
        <w:ind w:left="720" w:firstLine="720"/>
        <w:contextualSpacing/>
        <w:jc w:val="both"/>
        <w:rPr>
          <w:rFonts w:ascii="Times New Roman" w:eastAsia="Calibri" w:hAnsi="Times New Roman" w:cs="Times New Roman"/>
          <w:i/>
          <w:iCs/>
          <w:sz w:val="24"/>
          <w:szCs w:val="24"/>
          <w:lang w:val="fr-FR"/>
        </w:rPr>
      </w:pPr>
      <w:r>
        <w:rPr>
          <w:rFonts w:ascii="Times New Roman" w:eastAsia="Calibri" w:hAnsi="Times New Roman" w:cs="Times New Roman"/>
          <w:i/>
          <w:iCs/>
          <w:sz w:val="24"/>
          <w:szCs w:val="24"/>
          <w:lang w:val="fr-FR"/>
        </w:rPr>
        <w:t xml:space="preserve">Des trafiquants et exploiteurs d’enfants ont été arrêtés et jugés. Des enfants victimes retirés et placés dans des centres </w:t>
      </w:r>
      <w:r w:rsidR="00731B8A">
        <w:rPr>
          <w:rFonts w:ascii="Times New Roman" w:eastAsia="Calibri" w:hAnsi="Times New Roman" w:cs="Times New Roman"/>
          <w:i/>
          <w:iCs/>
          <w:sz w:val="24"/>
          <w:szCs w:val="24"/>
          <w:lang w:val="fr-FR"/>
        </w:rPr>
        <w:t>d’accueil,</w:t>
      </w:r>
      <w:r>
        <w:rPr>
          <w:rFonts w:ascii="Times New Roman" w:eastAsia="Calibri" w:hAnsi="Times New Roman" w:cs="Times New Roman"/>
          <w:i/>
          <w:iCs/>
          <w:sz w:val="24"/>
          <w:szCs w:val="24"/>
          <w:lang w:val="fr-FR"/>
        </w:rPr>
        <w:t xml:space="preserve"> dans leurs familles ou rapatriés dans leurs pays.</w:t>
      </w:r>
    </w:p>
    <w:p w:rsidR="00591F81" w:rsidRDefault="00591F81" w:rsidP="001A3558">
      <w:pPr>
        <w:spacing w:line="240" w:lineRule="auto"/>
        <w:ind w:left="720" w:firstLine="720"/>
        <w:contextualSpacing/>
        <w:jc w:val="both"/>
        <w:rPr>
          <w:rFonts w:ascii="Times New Roman" w:eastAsia="Calibri" w:hAnsi="Times New Roman" w:cs="Times New Roman"/>
          <w:i/>
          <w:iCs/>
          <w:sz w:val="24"/>
          <w:szCs w:val="24"/>
          <w:lang w:val="fr-FR"/>
        </w:rPr>
      </w:pPr>
      <w:r>
        <w:rPr>
          <w:rFonts w:ascii="Times New Roman" w:eastAsia="Calibri" w:hAnsi="Times New Roman" w:cs="Times New Roman"/>
          <w:i/>
          <w:iCs/>
          <w:sz w:val="24"/>
          <w:szCs w:val="24"/>
          <w:lang w:val="fr-FR"/>
        </w:rPr>
        <w:t>L’association des femmes magistrats de Cote d’Ivoire a organisé en juillet 2019 une campagne de sensibilisation sur la Traite des personnes à Aboisso </w:t>
      </w:r>
      <w:r w:rsidR="001A3558">
        <w:rPr>
          <w:rFonts w:ascii="Times New Roman" w:eastAsia="Calibri" w:hAnsi="Times New Roman" w:cs="Times New Roman"/>
          <w:i/>
          <w:iCs/>
          <w:sz w:val="24"/>
          <w:szCs w:val="24"/>
          <w:lang w:val="fr-FR"/>
        </w:rPr>
        <w:t>ville frontalière avec le Ghana</w:t>
      </w:r>
      <w:r>
        <w:rPr>
          <w:rFonts w:ascii="Times New Roman" w:eastAsia="Calibri" w:hAnsi="Times New Roman" w:cs="Times New Roman"/>
          <w:i/>
          <w:iCs/>
          <w:sz w:val="24"/>
          <w:szCs w:val="24"/>
          <w:lang w:val="fr-FR"/>
        </w:rPr>
        <w:t xml:space="preserve">; cette activité a </w:t>
      </w:r>
      <w:r w:rsidR="00E06F6A">
        <w:rPr>
          <w:rFonts w:ascii="Times New Roman" w:eastAsia="Calibri" w:hAnsi="Times New Roman" w:cs="Times New Roman"/>
          <w:i/>
          <w:iCs/>
          <w:sz w:val="24"/>
          <w:szCs w:val="24"/>
          <w:lang w:val="fr-FR"/>
        </w:rPr>
        <w:t>vu</w:t>
      </w:r>
      <w:r>
        <w:rPr>
          <w:rFonts w:ascii="Times New Roman" w:eastAsia="Calibri" w:hAnsi="Times New Roman" w:cs="Times New Roman"/>
          <w:i/>
          <w:iCs/>
          <w:sz w:val="24"/>
          <w:szCs w:val="24"/>
          <w:lang w:val="fr-FR"/>
        </w:rPr>
        <w:t xml:space="preserve"> la participation des leaders politiques</w:t>
      </w:r>
      <w:r w:rsidR="001A3558">
        <w:rPr>
          <w:rFonts w:ascii="Times New Roman" w:eastAsia="Calibri" w:hAnsi="Times New Roman" w:cs="Times New Roman"/>
          <w:i/>
          <w:iCs/>
          <w:sz w:val="24"/>
          <w:szCs w:val="24"/>
          <w:lang w:val="fr-FR"/>
        </w:rPr>
        <w:t xml:space="preserve"> (mairie, conseil général)</w:t>
      </w:r>
      <w:r>
        <w:rPr>
          <w:rFonts w:ascii="Times New Roman" w:eastAsia="Calibri" w:hAnsi="Times New Roman" w:cs="Times New Roman"/>
          <w:i/>
          <w:iCs/>
          <w:sz w:val="24"/>
          <w:szCs w:val="24"/>
          <w:lang w:val="fr-FR"/>
        </w:rPr>
        <w:t xml:space="preserve"> </w:t>
      </w:r>
      <w:r w:rsidR="001A3558">
        <w:rPr>
          <w:rFonts w:ascii="Times New Roman" w:eastAsia="Calibri" w:hAnsi="Times New Roman" w:cs="Times New Roman"/>
          <w:i/>
          <w:iCs/>
          <w:sz w:val="24"/>
          <w:szCs w:val="24"/>
          <w:lang w:val="fr-FR"/>
        </w:rPr>
        <w:t>administratifs (préfet, magistrats)</w:t>
      </w:r>
      <w:r>
        <w:rPr>
          <w:rFonts w:ascii="Times New Roman" w:eastAsia="Calibri" w:hAnsi="Times New Roman" w:cs="Times New Roman"/>
          <w:i/>
          <w:iCs/>
          <w:sz w:val="24"/>
          <w:szCs w:val="24"/>
          <w:lang w:val="fr-FR"/>
        </w:rPr>
        <w:t xml:space="preserve"> et religieux ainsi que des organisations de droit de l’hom</w:t>
      </w:r>
      <w:r w:rsidR="001A3558">
        <w:rPr>
          <w:rFonts w:ascii="Times New Roman" w:eastAsia="Calibri" w:hAnsi="Times New Roman" w:cs="Times New Roman"/>
          <w:i/>
          <w:iCs/>
          <w:sz w:val="24"/>
          <w:szCs w:val="24"/>
          <w:lang w:val="fr-FR"/>
        </w:rPr>
        <w:t>m</w:t>
      </w:r>
      <w:r>
        <w:rPr>
          <w:rFonts w:ascii="Times New Roman" w:eastAsia="Calibri" w:hAnsi="Times New Roman" w:cs="Times New Roman"/>
          <w:i/>
          <w:iCs/>
          <w:sz w:val="24"/>
          <w:szCs w:val="24"/>
          <w:lang w:val="fr-FR"/>
        </w:rPr>
        <w:t xml:space="preserve">e, de jeunes et de </w:t>
      </w:r>
      <w:r w:rsidR="001A3558">
        <w:rPr>
          <w:rFonts w:ascii="Times New Roman" w:eastAsia="Calibri" w:hAnsi="Times New Roman" w:cs="Times New Roman"/>
          <w:i/>
          <w:iCs/>
          <w:sz w:val="24"/>
          <w:szCs w:val="24"/>
          <w:lang w:val="fr-FR"/>
        </w:rPr>
        <w:t>femmes.</w:t>
      </w:r>
    </w:p>
    <w:p w:rsidR="00591F81" w:rsidRDefault="00591F81" w:rsidP="00360137">
      <w:pPr>
        <w:spacing w:line="240" w:lineRule="auto"/>
        <w:ind w:left="720"/>
        <w:contextualSpacing/>
        <w:jc w:val="both"/>
        <w:rPr>
          <w:rFonts w:ascii="Times New Roman" w:eastAsia="Calibri" w:hAnsi="Times New Roman" w:cs="Times New Roman"/>
          <w:i/>
          <w:iCs/>
          <w:sz w:val="24"/>
          <w:szCs w:val="24"/>
          <w:lang w:val="fr-FR"/>
        </w:rPr>
      </w:pPr>
      <w:r>
        <w:rPr>
          <w:rFonts w:ascii="Times New Roman" w:eastAsia="Calibri" w:hAnsi="Times New Roman" w:cs="Times New Roman"/>
          <w:i/>
          <w:iCs/>
          <w:sz w:val="24"/>
          <w:szCs w:val="24"/>
          <w:lang w:val="fr-FR"/>
        </w:rPr>
        <w:t xml:space="preserve"> </w:t>
      </w:r>
      <w:r w:rsidR="001A3558">
        <w:rPr>
          <w:rFonts w:ascii="Times New Roman" w:eastAsia="Calibri" w:hAnsi="Times New Roman" w:cs="Times New Roman"/>
          <w:i/>
          <w:iCs/>
          <w:sz w:val="24"/>
          <w:szCs w:val="24"/>
          <w:lang w:val="fr-FR"/>
        </w:rPr>
        <w:tab/>
      </w:r>
      <w:r w:rsidR="0013762C" w:rsidRPr="00F32061">
        <w:rPr>
          <w:rFonts w:ascii="Times New Roman" w:eastAsia="Calibri" w:hAnsi="Times New Roman" w:cs="Times New Roman"/>
          <w:i/>
          <w:iCs/>
          <w:sz w:val="24"/>
          <w:szCs w:val="24"/>
          <w:lang w:val="fr-FR"/>
        </w:rPr>
        <w:t xml:space="preserve">L’ARTCI qui est l’Autorité de Régularisation des Télécommunications en Côte d’Ivoire dans sa stratégie nationale de protection et d’autonomisation des enfants dans l’espace numérique prévoit la mise en ligne d’un site internet d’éducation à l’usage de l’internet auprès des enfants et des parents. </w:t>
      </w:r>
    </w:p>
    <w:p w:rsidR="00360137" w:rsidRDefault="00591F81" w:rsidP="001A3558">
      <w:pPr>
        <w:spacing w:line="240" w:lineRule="auto"/>
        <w:ind w:left="720" w:firstLine="720"/>
        <w:contextualSpacing/>
        <w:jc w:val="both"/>
        <w:rPr>
          <w:rFonts w:ascii="Times New Roman" w:eastAsia="Calibri" w:hAnsi="Times New Roman" w:cs="Times New Roman"/>
          <w:i/>
          <w:iCs/>
          <w:sz w:val="24"/>
          <w:szCs w:val="24"/>
          <w:lang w:val="fr-FR"/>
        </w:rPr>
      </w:pPr>
      <w:r>
        <w:rPr>
          <w:rFonts w:ascii="Times New Roman" w:eastAsia="Calibri" w:hAnsi="Times New Roman" w:cs="Times New Roman"/>
          <w:i/>
          <w:iCs/>
          <w:sz w:val="24"/>
          <w:szCs w:val="24"/>
          <w:lang w:val="fr-FR"/>
        </w:rPr>
        <w:t xml:space="preserve">Au niveau régional, la Cote d’Ivoire </w:t>
      </w:r>
      <w:r w:rsidR="0013762C" w:rsidRPr="00F32061">
        <w:rPr>
          <w:rFonts w:ascii="Times New Roman" w:eastAsia="Calibri" w:hAnsi="Times New Roman" w:cs="Times New Roman"/>
          <w:i/>
          <w:iCs/>
          <w:sz w:val="24"/>
          <w:szCs w:val="24"/>
          <w:lang w:val="fr-FR"/>
        </w:rPr>
        <w:t xml:space="preserve"> </w:t>
      </w:r>
      <w:r w:rsidR="005E3CC4" w:rsidRPr="00F32061">
        <w:rPr>
          <w:rFonts w:ascii="Times New Roman" w:eastAsia="Calibri" w:hAnsi="Times New Roman" w:cs="Times New Roman"/>
          <w:i/>
          <w:iCs/>
          <w:sz w:val="24"/>
          <w:szCs w:val="24"/>
          <w:lang w:val="fr-FR"/>
        </w:rPr>
        <w:t>a</w:t>
      </w:r>
      <w:r w:rsidR="0013762C" w:rsidRPr="00F32061">
        <w:rPr>
          <w:rFonts w:ascii="Times New Roman" w:eastAsia="Calibri" w:hAnsi="Times New Roman" w:cs="Times New Roman"/>
          <w:i/>
          <w:iCs/>
          <w:sz w:val="24"/>
          <w:szCs w:val="24"/>
          <w:lang w:val="fr-FR"/>
        </w:rPr>
        <w:t xml:space="preserve"> rejoin</w:t>
      </w:r>
      <w:r w:rsidR="005E3CC4" w:rsidRPr="00F32061">
        <w:rPr>
          <w:rFonts w:ascii="Times New Roman" w:eastAsia="Calibri" w:hAnsi="Times New Roman" w:cs="Times New Roman"/>
          <w:i/>
          <w:iCs/>
          <w:sz w:val="24"/>
          <w:szCs w:val="24"/>
          <w:lang w:val="fr-FR"/>
        </w:rPr>
        <w:t>t</w:t>
      </w:r>
      <w:r>
        <w:rPr>
          <w:rFonts w:ascii="Times New Roman" w:eastAsia="Calibri" w:hAnsi="Times New Roman" w:cs="Times New Roman"/>
          <w:i/>
          <w:iCs/>
          <w:sz w:val="24"/>
          <w:szCs w:val="24"/>
          <w:lang w:val="fr-FR"/>
        </w:rPr>
        <w:t xml:space="preserve"> &lt;</w:t>
      </w:r>
      <w:proofErr w:type="spellStart"/>
      <w:r w:rsidR="005E3CC4" w:rsidRPr="00F32061">
        <w:rPr>
          <w:rFonts w:ascii="Times New Roman" w:eastAsia="Calibri" w:hAnsi="Times New Roman" w:cs="Times New Roman"/>
          <w:i/>
          <w:iCs/>
          <w:sz w:val="24"/>
          <w:szCs w:val="24"/>
          <w:lang w:val="fr-FR"/>
        </w:rPr>
        <w:t>We</w:t>
      </w:r>
      <w:proofErr w:type="spellEnd"/>
      <w:r>
        <w:rPr>
          <w:rFonts w:ascii="Times New Roman" w:eastAsia="Calibri" w:hAnsi="Times New Roman" w:cs="Times New Roman"/>
          <w:i/>
          <w:iCs/>
          <w:sz w:val="24"/>
          <w:szCs w:val="24"/>
          <w:lang w:val="fr-FR"/>
        </w:rPr>
        <w:t xml:space="preserve"> </w:t>
      </w:r>
      <w:proofErr w:type="spellStart"/>
      <w:r w:rsidR="005E3CC4" w:rsidRPr="00F32061">
        <w:rPr>
          <w:rFonts w:ascii="Times New Roman" w:eastAsia="Calibri" w:hAnsi="Times New Roman" w:cs="Times New Roman"/>
          <w:i/>
          <w:iCs/>
          <w:sz w:val="24"/>
          <w:szCs w:val="24"/>
          <w:lang w:val="fr-FR"/>
        </w:rPr>
        <w:t>protect</w:t>
      </w:r>
      <w:proofErr w:type="spellEnd"/>
      <w:r>
        <w:rPr>
          <w:rFonts w:ascii="Times New Roman" w:eastAsia="Calibri" w:hAnsi="Times New Roman" w:cs="Times New Roman"/>
          <w:i/>
          <w:iCs/>
          <w:sz w:val="24"/>
          <w:szCs w:val="24"/>
          <w:lang w:val="fr-FR"/>
        </w:rPr>
        <w:t>&gt;</w:t>
      </w:r>
      <w:r w:rsidR="005E3CC4" w:rsidRPr="00F32061">
        <w:rPr>
          <w:rFonts w:ascii="Times New Roman" w:eastAsia="Calibri" w:hAnsi="Times New Roman" w:cs="Times New Roman"/>
          <w:i/>
          <w:iCs/>
          <w:sz w:val="24"/>
          <w:szCs w:val="24"/>
          <w:lang w:val="fr-FR"/>
        </w:rPr>
        <w:t xml:space="preserve"> </w:t>
      </w:r>
      <w:r w:rsidR="0013762C" w:rsidRPr="00F32061">
        <w:rPr>
          <w:rFonts w:ascii="Times New Roman" w:eastAsia="Calibri" w:hAnsi="Times New Roman" w:cs="Times New Roman"/>
          <w:i/>
          <w:iCs/>
          <w:sz w:val="24"/>
          <w:szCs w:val="24"/>
          <w:lang w:val="fr-FR"/>
        </w:rPr>
        <w:t xml:space="preserve">en </w:t>
      </w:r>
      <w:r w:rsidR="009918AC" w:rsidRPr="00F32061">
        <w:rPr>
          <w:rFonts w:ascii="Times New Roman" w:eastAsia="Calibri" w:hAnsi="Times New Roman" w:cs="Times New Roman"/>
          <w:i/>
          <w:iCs/>
          <w:sz w:val="24"/>
          <w:szCs w:val="24"/>
          <w:lang w:val="fr-FR"/>
        </w:rPr>
        <w:t>désignant</w:t>
      </w:r>
      <w:r>
        <w:rPr>
          <w:rFonts w:ascii="Times New Roman" w:eastAsia="Calibri" w:hAnsi="Times New Roman" w:cs="Times New Roman"/>
          <w:i/>
          <w:iCs/>
          <w:sz w:val="24"/>
          <w:szCs w:val="24"/>
          <w:lang w:val="fr-FR"/>
        </w:rPr>
        <w:t xml:space="preserve"> </w:t>
      </w:r>
      <w:r w:rsidR="009918AC" w:rsidRPr="00F32061">
        <w:rPr>
          <w:rFonts w:ascii="Times New Roman" w:eastAsia="Calibri" w:hAnsi="Times New Roman" w:cs="Times New Roman"/>
          <w:i/>
          <w:iCs/>
          <w:sz w:val="24"/>
          <w:szCs w:val="24"/>
          <w:lang w:val="fr-FR"/>
        </w:rPr>
        <w:t>un point focal</w:t>
      </w:r>
      <w:r w:rsidR="0013762C" w:rsidRPr="00F32061">
        <w:rPr>
          <w:rFonts w:ascii="Times New Roman" w:eastAsia="Calibri" w:hAnsi="Times New Roman" w:cs="Times New Roman"/>
          <w:i/>
          <w:iCs/>
          <w:sz w:val="24"/>
          <w:szCs w:val="24"/>
          <w:lang w:val="fr-FR"/>
        </w:rPr>
        <w:t xml:space="preserve"> pour lutter contre l’exploitation </w:t>
      </w:r>
      <w:r w:rsidR="009918AC" w:rsidRPr="00F32061">
        <w:rPr>
          <w:rFonts w:ascii="Times New Roman" w:eastAsia="Calibri" w:hAnsi="Times New Roman" w:cs="Times New Roman"/>
          <w:i/>
          <w:iCs/>
          <w:sz w:val="24"/>
          <w:szCs w:val="24"/>
          <w:lang w:val="fr-FR"/>
        </w:rPr>
        <w:t xml:space="preserve">sexuelle en ligne des enfants. </w:t>
      </w:r>
      <w:r w:rsidR="00731B8A">
        <w:rPr>
          <w:rFonts w:ascii="Times New Roman" w:eastAsia="Calibri" w:hAnsi="Times New Roman" w:cs="Times New Roman"/>
          <w:i/>
          <w:iCs/>
          <w:sz w:val="24"/>
          <w:szCs w:val="24"/>
          <w:lang w:val="fr-FR"/>
        </w:rPr>
        <w:t>Elle a également signées des accords multilatéraux pour lutter contre la traite et l’exploitation des enfants.</w:t>
      </w:r>
    </w:p>
    <w:p w:rsidR="00731B8A" w:rsidRPr="00F32061" w:rsidRDefault="00731B8A" w:rsidP="001A3558">
      <w:pPr>
        <w:spacing w:line="240" w:lineRule="auto"/>
        <w:ind w:left="720" w:firstLine="720"/>
        <w:contextualSpacing/>
        <w:jc w:val="both"/>
        <w:rPr>
          <w:rFonts w:ascii="Times New Roman" w:eastAsia="Calibri" w:hAnsi="Times New Roman" w:cs="Times New Roman"/>
          <w:i/>
          <w:iCs/>
          <w:sz w:val="24"/>
          <w:szCs w:val="24"/>
          <w:lang w:val="fr-FR"/>
        </w:rPr>
      </w:pPr>
      <w:r>
        <w:rPr>
          <w:rFonts w:ascii="Times New Roman" w:eastAsia="Calibri" w:hAnsi="Times New Roman" w:cs="Times New Roman"/>
          <w:i/>
          <w:iCs/>
          <w:sz w:val="24"/>
          <w:szCs w:val="24"/>
          <w:lang w:val="fr-FR"/>
        </w:rPr>
        <w:t>Des conférences sont organisées au plan local, national, régional et international sur des thématiques concernant la traite, l’exploitation sexuelle des enfants : Israël, octobre 2018 conférence des juges sur leur rôle dans la lutte contre la traite organisée par MASHAV, Vatican, Rome, décembre 2017 et 2018</w:t>
      </w:r>
      <w:r w:rsidR="00C41C41">
        <w:rPr>
          <w:rFonts w:ascii="Times New Roman" w:eastAsia="Calibri" w:hAnsi="Times New Roman" w:cs="Times New Roman"/>
          <w:i/>
          <w:iCs/>
          <w:sz w:val="24"/>
          <w:szCs w:val="24"/>
          <w:lang w:val="fr-FR"/>
        </w:rPr>
        <w:t xml:space="preserve">  avec les femmes juges du monde et d’Afrique sur le trafic d’êtres humains.</w:t>
      </w:r>
    </w:p>
    <w:p w:rsidR="00115DBC" w:rsidRPr="00F32061" w:rsidRDefault="00115DBC" w:rsidP="00360137">
      <w:pPr>
        <w:spacing w:line="240" w:lineRule="auto"/>
        <w:ind w:left="720"/>
        <w:contextualSpacing/>
        <w:jc w:val="both"/>
        <w:rPr>
          <w:rFonts w:ascii="Times New Roman" w:eastAsia="Calibri" w:hAnsi="Times New Roman" w:cs="Times New Roman"/>
          <w:sz w:val="24"/>
          <w:szCs w:val="24"/>
          <w:lang w:val="fr-FR"/>
        </w:rPr>
      </w:pPr>
    </w:p>
    <w:p w:rsidR="007270F2" w:rsidRPr="00F32061" w:rsidRDefault="007270F2" w:rsidP="007270F2">
      <w:pPr>
        <w:spacing w:after="0" w:line="240" w:lineRule="auto"/>
        <w:ind w:left="720"/>
        <w:contextualSpacing/>
        <w:jc w:val="both"/>
        <w:rPr>
          <w:rFonts w:ascii="Times New Roman" w:eastAsia="Calibri" w:hAnsi="Times New Roman" w:cs="Times New Roman"/>
          <w:b/>
          <w:bCs/>
          <w:sz w:val="24"/>
          <w:szCs w:val="24"/>
          <w:lang w:val="fr-FR"/>
        </w:rPr>
      </w:pPr>
      <w:r w:rsidRPr="00F32061">
        <w:rPr>
          <w:rStyle w:val="tlid-translation"/>
          <w:b/>
          <w:bCs/>
          <w:i/>
          <w:iCs/>
          <w:u w:val="single"/>
          <w:lang w:val="fr-FR"/>
        </w:rPr>
        <w:t>Facteurs de risque, causes profondes et demande d’exploitation sexuelle des enfants</w:t>
      </w:r>
      <w:r w:rsidRPr="00F32061">
        <w:rPr>
          <w:rStyle w:val="tlid-translation"/>
          <w:b/>
          <w:bCs/>
          <w:u w:val="single"/>
          <w:lang w:val="fr-FR"/>
        </w:rPr>
        <w:t xml:space="preserve"> : </w:t>
      </w:r>
      <w:r w:rsidRPr="00F32061">
        <w:rPr>
          <w:rStyle w:val="tlid-translation"/>
          <w:b/>
          <w:bCs/>
          <w:lang w:val="fr-FR"/>
        </w:rPr>
        <w:t>Quelles sont les causes profondes et les origines de la demande de vente et d’exploitation sexuelle des enfants ? Quels outils sont à la disposition des États et des acteurs non étatiques pour s'attaquer efficacement aux causes sous-jacentes de la vente et de l'exploitation sexuelle des enfants, au-delà de la formation et de la sensibilisation ? Quels sont les défis et obstacles restants pour surmonter ce fléau ?</w:t>
      </w:r>
    </w:p>
    <w:p w:rsidR="00F32061" w:rsidRPr="00F32061" w:rsidRDefault="00F32061" w:rsidP="00360137">
      <w:pPr>
        <w:spacing w:line="240" w:lineRule="auto"/>
        <w:ind w:left="720"/>
        <w:contextualSpacing/>
        <w:jc w:val="both"/>
        <w:rPr>
          <w:rFonts w:ascii="Times New Roman" w:eastAsia="Calibri" w:hAnsi="Times New Roman" w:cs="Times New Roman"/>
          <w:i/>
          <w:iCs/>
          <w:sz w:val="24"/>
          <w:szCs w:val="24"/>
          <w:lang w:val="fr-FR"/>
        </w:rPr>
      </w:pPr>
    </w:p>
    <w:p w:rsidR="00C41C41" w:rsidRPr="00C41C41" w:rsidRDefault="00C41C41" w:rsidP="00360137">
      <w:pPr>
        <w:spacing w:line="240" w:lineRule="auto"/>
        <w:ind w:left="720"/>
        <w:contextualSpacing/>
        <w:jc w:val="both"/>
        <w:rPr>
          <w:rFonts w:ascii="Times New Roman" w:eastAsia="Calibri" w:hAnsi="Times New Roman" w:cs="Times New Roman"/>
          <w:b/>
          <w:i/>
          <w:iCs/>
          <w:sz w:val="24"/>
          <w:szCs w:val="24"/>
          <w:lang w:val="fr-FR"/>
        </w:rPr>
      </w:pPr>
      <w:r w:rsidRPr="00C41C41">
        <w:rPr>
          <w:rFonts w:ascii="Times New Roman" w:eastAsia="Calibri" w:hAnsi="Times New Roman" w:cs="Times New Roman"/>
          <w:b/>
          <w:i/>
          <w:iCs/>
          <w:sz w:val="24"/>
          <w:szCs w:val="24"/>
          <w:lang w:val="fr-FR"/>
        </w:rPr>
        <w:t>1-Causes et facteurs de risques</w:t>
      </w:r>
    </w:p>
    <w:p w:rsidR="00E06F6A" w:rsidRPr="00E06F6A" w:rsidRDefault="00E06F6A" w:rsidP="00E06F6A">
      <w:pPr>
        <w:pStyle w:val="Paragraphedeliste"/>
        <w:numPr>
          <w:ilvl w:val="0"/>
          <w:numId w:val="9"/>
        </w:numPr>
        <w:spacing w:line="240" w:lineRule="auto"/>
        <w:jc w:val="both"/>
        <w:rPr>
          <w:rFonts w:ascii="Times New Roman" w:eastAsia="Calibri" w:hAnsi="Times New Roman" w:cs="Times New Roman"/>
          <w:i/>
          <w:iCs/>
          <w:sz w:val="24"/>
          <w:szCs w:val="24"/>
          <w:lang w:val="fr-FR"/>
        </w:rPr>
      </w:pPr>
      <w:r w:rsidRPr="00E06F6A">
        <w:rPr>
          <w:rFonts w:ascii="Times New Roman" w:eastAsia="Calibri" w:hAnsi="Times New Roman" w:cs="Times New Roman"/>
          <w:i/>
          <w:iCs/>
          <w:sz w:val="24"/>
          <w:szCs w:val="24"/>
          <w:lang w:val="fr-FR"/>
        </w:rPr>
        <w:t>La</w:t>
      </w:r>
      <w:r w:rsidR="009918AC" w:rsidRPr="00E06F6A">
        <w:rPr>
          <w:rFonts w:ascii="Times New Roman" w:eastAsia="Calibri" w:hAnsi="Times New Roman" w:cs="Times New Roman"/>
          <w:i/>
          <w:iCs/>
          <w:sz w:val="24"/>
          <w:szCs w:val="24"/>
          <w:lang w:val="fr-FR"/>
        </w:rPr>
        <w:t xml:space="preserve"> pauvreté endémique des familles, </w:t>
      </w:r>
    </w:p>
    <w:p w:rsidR="00E06F6A" w:rsidRPr="00E06F6A" w:rsidRDefault="00E06F6A" w:rsidP="00E06F6A">
      <w:pPr>
        <w:pStyle w:val="Paragraphedeliste"/>
        <w:numPr>
          <w:ilvl w:val="0"/>
          <w:numId w:val="9"/>
        </w:numPr>
        <w:spacing w:line="240" w:lineRule="auto"/>
        <w:jc w:val="both"/>
        <w:rPr>
          <w:rFonts w:ascii="Times New Roman" w:eastAsia="Calibri" w:hAnsi="Times New Roman" w:cs="Times New Roman"/>
          <w:i/>
          <w:iCs/>
          <w:sz w:val="24"/>
          <w:szCs w:val="24"/>
          <w:lang w:val="fr-FR"/>
        </w:rPr>
      </w:pPr>
      <w:r w:rsidRPr="00E06F6A">
        <w:rPr>
          <w:rFonts w:ascii="Times New Roman" w:eastAsia="Calibri" w:hAnsi="Times New Roman" w:cs="Times New Roman"/>
          <w:i/>
          <w:iCs/>
          <w:sz w:val="24"/>
          <w:szCs w:val="24"/>
          <w:lang w:val="fr-FR"/>
        </w:rPr>
        <w:t xml:space="preserve">Le </w:t>
      </w:r>
      <w:r w:rsidR="00F908FF" w:rsidRPr="00E06F6A">
        <w:rPr>
          <w:rFonts w:ascii="Times New Roman" w:eastAsia="Calibri" w:hAnsi="Times New Roman" w:cs="Times New Roman"/>
          <w:i/>
          <w:iCs/>
          <w:sz w:val="24"/>
          <w:szCs w:val="24"/>
          <w:lang w:val="fr-FR"/>
        </w:rPr>
        <w:t xml:space="preserve">développement du </w:t>
      </w:r>
      <w:r w:rsidR="009918AC" w:rsidRPr="00E06F6A">
        <w:rPr>
          <w:rFonts w:ascii="Times New Roman" w:eastAsia="Calibri" w:hAnsi="Times New Roman" w:cs="Times New Roman"/>
          <w:i/>
          <w:iCs/>
          <w:sz w:val="24"/>
          <w:szCs w:val="24"/>
          <w:lang w:val="fr-FR"/>
        </w:rPr>
        <w:t xml:space="preserve">tourisme </w:t>
      </w:r>
      <w:r w:rsidRPr="00E06F6A">
        <w:rPr>
          <w:rFonts w:ascii="Times New Roman" w:eastAsia="Calibri" w:hAnsi="Times New Roman" w:cs="Times New Roman"/>
          <w:i/>
          <w:iCs/>
          <w:sz w:val="24"/>
          <w:szCs w:val="24"/>
          <w:lang w:val="fr-FR"/>
        </w:rPr>
        <w:t>sexuel</w:t>
      </w:r>
      <w:r w:rsidR="009918AC" w:rsidRPr="00E06F6A">
        <w:rPr>
          <w:rFonts w:ascii="Times New Roman" w:eastAsia="Calibri" w:hAnsi="Times New Roman" w:cs="Times New Roman"/>
          <w:i/>
          <w:iCs/>
          <w:sz w:val="24"/>
          <w:szCs w:val="24"/>
          <w:lang w:val="fr-FR"/>
        </w:rPr>
        <w:t xml:space="preserve">, </w:t>
      </w:r>
    </w:p>
    <w:p w:rsidR="00E06F6A" w:rsidRPr="00E06F6A" w:rsidRDefault="00E06F6A" w:rsidP="00E06F6A">
      <w:pPr>
        <w:pStyle w:val="Paragraphedeliste"/>
        <w:numPr>
          <w:ilvl w:val="0"/>
          <w:numId w:val="9"/>
        </w:numPr>
        <w:spacing w:line="240" w:lineRule="auto"/>
        <w:jc w:val="both"/>
        <w:rPr>
          <w:rFonts w:ascii="Times New Roman" w:eastAsia="Calibri" w:hAnsi="Times New Roman" w:cs="Times New Roman"/>
          <w:i/>
          <w:iCs/>
          <w:sz w:val="24"/>
          <w:szCs w:val="24"/>
          <w:lang w:val="fr-FR"/>
        </w:rPr>
      </w:pPr>
      <w:r w:rsidRPr="00E06F6A">
        <w:rPr>
          <w:rFonts w:ascii="Times New Roman" w:eastAsia="Calibri" w:hAnsi="Times New Roman" w:cs="Times New Roman"/>
          <w:i/>
          <w:iCs/>
          <w:sz w:val="24"/>
          <w:szCs w:val="24"/>
          <w:lang w:val="fr-FR"/>
        </w:rPr>
        <w:t>Les</w:t>
      </w:r>
      <w:r w:rsidR="00591F81" w:rsidRPr="00E06F6A">
        <w:rPr>
          <w:rFonts w:ascii="Times New Roman" w:eastAsia="Calibri" w:hAnsi="Times New Roman" w:cs="Times New Roman"/>
          <w:i/>
          <w:iCs/>
          <w:sz w:val="24"/>
          <w:szCs w:val="24"/>
          <w:lang w:val="fr-FR"/>
        </w:rPr>
        <w:t xml:space="preserve"> migrations irrégulières qui plongent beaucoup de filles et de femmes dans l’exploitation </w:t>
      </w:r>
      <w:r w:rsidR="00C41C41" w:rsidRPr="00E06F6A">
        <w:rPr>
          <w:rFonts w:ascii="Times New Roman" w:eastAsia="Calibri" w:hAnsi="Times New Roman" w:cs="Times New Roman"/>
          <w:i/>
          <w:iCs/>
          <w:sz w:val="24"/>
          <w:szCs w:val="24"/>
          <w:lang w:val="fr-FR"/>
        </w:rPr>
        <w:t>sexuelle,</w:t>
      </w:r>
      <w:r w:rsidR="00591F81" w:rsidRPr="00E06F6A">
        <w:rPr>
          <w:rFonts w:ascii="Times New Roman" w:eastAsia="Calibri" w:hAnsi="Times New Roman" w:cs="Times New Roman"/>
          <w:i/>
          <w:iCs/>
          <w:sz w:val="24"/>
          <w:szCs w:val="24"/>
          <w:lang w:val="fr-FR"/>
        </w:rPr>
        <w:t xml:space="preserve"> les victimes de trafic se retrouvent dans les réseaux de prostitution, </w:t>
      </w:r>
    </w:p>
    <w:p w:rsidR="00E06F6A" w:rsidRDefault="00E06F6A" w:rsidP="00E06F6A">
      <w:pPr>
        <w:pStyle w:val="Paragraphedeliste"/>
        <w:numPr>
          <w:ilvl w:val="0"/>
          <w:numId w:val="9"/>
        </w:numPr>
        <w:spacing w:line="240" w:lineRule="auto"/>
        <w:jc w:val="both"/>
        <w:rPr>
          <w:rFonts w:ascii="Times New Roman" w:eastAsia="Calibri" w:hAnsi="Times New Roman" w:cs="Times New Roman"/>
          <w:i/>
          <w:iCs/>
          <w:sz w:val="24"/>
          <w:szCs w:val="24"/>
          <w:lang w:val="fr-FR"/>
        </w:rPr>
      </w:pPr>
      <w:r w:rsidRPr="00E06F6A">
        <w:rPr>
          <w:rFonts w:ascii="Times New Roman" w:eastAsia="Calibri" w:hAnsi="Times New Roman" w:cs="Times New Roman"/>
          <w:i/>
          <w:iCs/>
          <w:sz w:val="24"/>
          <w:szCs w:val="24"/>
          <w:lang w:val="fr-FR"/>
        </w:rPr>
        <w:t>L’</w:t>
      </w:r>
      <w:r w:rsidR="00C41C41" w:rsidRPr="00E06F6A">
        <w:rPr>
          <w:rFonts w:ascii="Times New Roman" w:eastAsia="Calibri" w:hAnsi="Times New Roman" w:cs="Times New Roman"/>
          <w:i/>
          <w:iCs/>
          <w:sz w:val="24"/>
          <w:szCs w:val="24"/>
          <w:lang w:val="fr-FR"/>
        </w:rPr>
        <w:t xml:space="preserve">instabilité politique, </w:t>
      </w:r>
    </w:p>
    <w:p w:rsidR="00E06F6A" w:rsidRDefault="00C41C41" w:rsidP="00E06F6A">
      <w:pPr>
        <w:pStyle w:val="Paragraphedeliste"/>
        <w:numPr>
          <w:ilvl w:val="0"/>
          <w:numId w:val="9"/>
        </w:numPr>
        <w:spacing w:line="240" w:lineRule="auto"/>
        <w:jc w:val="both"/>
        <w:rPr>
          <w:rFonts w:ascii="Times New Roman" w:eastAsia="Calibri" w:hAnsi="Times New Roman" w:cs="Times New Roman"/>
          <w:i/>
          <w:iCs/>
          <w:sz w:val="24"/>
          <w:szCs w:val="24"/>
          <w:lang w:val="fr-FR"/>
        </w:rPr>
      </w:pPr>
      <w:r w:rsidRPr="00E06F6A">
        <w:rPr>
          <w:rFonts w:ascii="Times New Roman" w:eastAsia="Calibri" w:hAnsi="Times New Roman" w:cs="Times New Roman"/>
          <w:i/>
          <w:iCs/>
          <w:sz w:val="24"/>
          <w:szCs w:val="24"/>
          <w:lang w:val="fr-FR"/>
        </w:rPr>
        <w:t>l’insuffisance</w:t>
      </w:r>
      <w:r w:rsidR="009918AC" w:rsidRPr="00E06F6A">
        <w:rPr>
          <w:rFonts w:ascii="Times New Roman" w:eastAsia="Calibri" w:hAnsi="Times New Roman" w:cs="Times New Roman"/>
          <w:i/>
          <w:iCs/>
          <w:sz w:val="24"/>
          <w:szCs w:val="24"/>
          <w:lang w:val="fr-FR"/>
        </w:rPr>
        <w:t xml:space="preserve"> de structure de prise en charge des victimes, </w:t>
      </w:r>
    </w:p>
    <w:p w:rsidR="00E06F6A" w:rsidRPr="00E06F6A" w:rsidRDefault="00E06F6A" w:rsidP="00E06F6A">
      <w:pPr>
        <w:pStyle w:val="Paragraphedeliste"/>
        <w:numPr>
          <w:ilvl w:val="0"/>
          <w:numId w:val="9"/>
        </w:numPr>
        <w:spacing w:line="240" w:lineRule="auto"/>
        <w:jc w:val="both"/>
        <w:rPr>
          <w:rFonts w:ascii="Times New Roman" w:eastAsia="Calibri" w:hAnsi="Times New Roman" w:cs="Times New Roman"/>
          <w:i/>
          <w:iCs/>
          <w:sz w:val="24"/>
          <w:szCs w:val="24"/>
          <w:lang w:val="fr-FR"/>
        </w:rPr>
      </w:pPr>
      <w:r>
        <w:rPr>
          <w:rFonts w:ascii="Times New Roman" w:eastAsia="Calibri" w:hAnsi="Times New Roman" w:cs="Times New Roman"/>
          <w:i/>
          <w:iCs/>
          <w:sz w:val="24"/>
          <w:szCs w:val="24"/>
          <w:lang w:val="fr-FR"/>
        </w:rPr>
        <w:t xml:space="preserve">La </w:t>
      </w:r>
      <w:r w:rsidR="009918AC" w:rsidRPr="00E06F6A">
        <w:rPr>
          <w:rFonts w:ascii="Times New Roman" w:eastAsia="Calibri" w:hAnsi="Times New Roman" w:cs="Times New Roman"/>
          <w:i/>
          <w:iCs/>
          <w:sz w:val="24"/>
          <w:szCs w:val="24"/>
          <w:lang w:val="fr-FR"/>
        </w:rPr>
        <w:t xml:space="preserve">méfiance </w:t>
      </w:r>
      <w:r w:rsidR="00C41C41" w:rsidRPr="00E06F6A">
        <w:rPr>
          <w:rFonts w:ascii="Times New Roman" w:eastAsia="Calibri" w:hAnsi="Times New Roman" w:cs="Times New Roman"/>
          <w:i/>
          <w:iCs/>
          <w:sz w:val="24"/>
          <w:szCs w:val="24"/>
          <w:lang w:val="fr-FR"/>
        </w:rPr>
        <w:t xml:space="preserve">des populations envers les </w:t>
      </w:r>
      <w:r w:rsidR="009918AC" w:rsidRPr="00E06F6A">
        <w:rPr>
          <w:rFonts w:ascii="Times New Roman" w:eastAsia="Calibri" w:hAnsi="Times New Roman" w:cs="Times New Roman"/>
          <w:i/>
          <w:iCs/>
          <w:sz w:val="24"/>
          <w:szCs w:val="24"/>
          <w:lang w:val="fr-FR"/>
        </w:rPr>
        <w:t xml:space="preserve"> institutions et la faible application des loi</w:t>
      </w:r>
      <w:r w:rsidR="00591F81" w:rsidRPr="00E06F6A">
        <w:rPr>
          <w:rFonts w:ascii="Times New Roman" w:eastAsia="Calibri" w:hAnsi="Times New Roman" w:cs="Times New Roman"/>
          <w:i/>
          <w:iCs/>
          <w:sz w:val="24"/>
          <w:szCs w:val="24"/>
          <w:lang w:val="fr-FR"/>
        </w:rPr>
        <w:t>s</w:t>
      </w:r>
      <w:r w:rsidR="009918AC" w:rsidRPr="00E06F6A">
        <w:rPr>
          <w:rFonts w:ascii="Times New Roman" w:eastAsia="Calibri" w:hAnsi="Times New Roman" w:cs="Times New Roman"/>
          <w:i/>
          <w:iCs/>
          <w:sz w:val="24"/>
          <w:szCs w:val="24"/>
          <w:lang w:val="fr-FR"/>
        </w:rPr>
        <w:t xml:space="preserve"> existantes. </w:t>
      </w:r>
    </w:p>
    <w:p w:rsidR="001C61C4" w:rsidRDefault="009918AC" w:rsidP="00360137">
      <w:pPr>
        <w:spacing w:line="240" w:lineRule="auto"/>
        <w:ind w:left="720"/>
        <w:contextualSpacing/>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A ces facteurs nous pouvons joindre la porosité des frontière</w:t>
      </w:r>
      <w:r w:rsidR="00C41C41">
        <w:rPr>
          <w:rFonts w:ascii="Times New Roman" w:eastAsia="Calibri" w:hAnsi="Times New Roman" w:cs="Times New Roman"/>
          <w:i/>
          <w:iCs/>
          <w:sz w:val="24"/>
          <w:szCs w:val="24"/>
          <w:lang w:val="fr-FR"/>
        </w:rPr>
        <w:t>s</w:t>
      </w:r>
      <w:r w:rsidR="00E06F6A">
        <w:rPr>
          <w:rFonts w:ascii="Times New Roman" w:eastAsia="Calibri" w:hAnsi="Times New Roman" w:cs="Times New Roman"/>
          <w:i/>
          <w:iCs/>
          <w:sz w:val="24"/>
          <w:szCs w:val="24"/>
          <w:lang w:val="fr-FR"/>
        </w:rPr>
        <w:t xml:space="preserve"> mais également la libre circulation des personnes et des biens dans l’espace CEDEAO.</w:t>
      </w:r>
      <w:r w:rsidRPr="00F32061">
        <w:rPr>
          <w:rFonts w:ascii="Times New Roman" w:eastAsia="Calibri" w:hAnsi="Times New Roman" w:cs="Times New Roman"/>
          <w:i/>
          <w:iCs/>
          <w:sz w:val="24"/>
          <w:szCs w:val="24"/>
          <w:lang w:val="fr-FR"/>
        </w:rPr>
        <w:t xml:space="preserve"> </w:t>
      </w:r>
    </w:p>
    <w:p w:rsidR="00C41C41" w:rsidRDefault="00C41C41" w:rsidP="00360137">
      <w:pPr>
        <w:spacing w:line="240" w:lineRule="auto"/>
        <w:ind w:left="720"/>
        <w:contextualSpacing/>
        <w:jc w:val="both"/>
        <w:rPr>
          <w:rFonts w:ascii="Times New Roman" w:eastAsia="Calibri" w:hAnsi="Times New Roman" w:cs="Times New Roman"/>
          <w:i/>
          <w:iCs/>
          <w:sz w:val="24"/>
          <w:szCs w:val="24"/>
          <w:lang w:val="fr-FR"/>
        </w:rPr>
      </w:pPr>
    </w:p>
    <w:p w:rsidR="00C41C41" w:rsidRPr="00C41C41" w:rsidRDefault="00C41C41" w:rsidP="00360137">
      <w:pPr>
        <w:spacing w:line="240" w:lineRule="auto"/>
        <w:ind w:left="720"/>
        <w:contextualSpacing/>
        <w:jc w:val="both"/>
        <w:rPr>
          <w:rFonts w:ascii="Times New Roman" w:eastAsia="Calibri" w:hAnsi="Times New Roman" w:cs="Times New Roman"/>
          <w:b/>
          <w:i/>
          <w:iCs/>
          <w:sz w:val="24"/>
          <w:szCs w:val="24"/>
          <w:lang w:val="fr-FR"/>
        </w:rPr>
      </w:pPr>
      <w:r>
        <w:rPr>
          <w:rFonts w:ascii="Times New Roman" w:eastAsia="Calibri" w:hAnsi="Times New Roman" w:cs="Times New Roman"/>
          <w:b/>
          <w:i/>
          <w:iCs/>
          <w:sz w:val="24"/>
          <w:szCs w:val="24"/>
          <w:lang w:val="fr-FR"/>
        </w:rPr>
        <w:t>2-</w:t>
      </w:r>
      <w:r w:rsidRPr="00C41C41">
        <w:rPr>
          <w:rFonts w:ascii="Times New Roman" w:eastAsia="Calibri" w:hAnsi="Times New Roman" w:cs="Times New Roman"/>
          <w:b/>
          <w:i/>
          <w:iCs/>
          <w:sz w:val="24"/>
          <w:szCs w:val="24"/>
          <w:lang w:val="fr-FR"/>
        </w:rPr>
        <w:t>Les outils et moyens de lutte</w:t>
      </w:r>
    </w:p>
    <w:p w:rsidR="00C41C41" w:rsidRPr="00F32061" w:rsidRDefault="00C41C41" w:rsidP="00360137">
      <w:pPr>
        <w:spacing w:line="240" w:lineRule="auto"/>
        <w:ind w:left="720"/>
        <w:contextualSpacing/>
        <w:jc w:val="both"/>
        <w:rPr>
          <w:rFonts w:ascii="Times New Roman" w:eastAsia="Calibri" w:hAnsi="Times New Roman" w:cs="Times New Roman"/>
          <w:i/>
          <w:iCs/>
          <w:sz w:val="24"/>
          <w:szCs w:val="24"/>
          <w:lang w:val="fr-FR"/>
        </w:rPr>
      </w:pPr>
    </w:p>
    <w:p w:rsidR="00A43489" w:rsidRDefault="001C61C4" w:rsidP="00BB5499">
      <w:pPr>
        <w:spacing w:line="240" w:lineRule="auto"/>
        <w:ind w:left="720" w:firstLine="720"/>
        <w:contextualSpacing/>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lastRenderedPageBreak/>
        <w:t xml:space="preserve">Pour </w:t>
      </w:r>
      <w:r w:rsidR="00C41C41">
        <w:rPr>
          <w:rFonts w:ascii="Times New Roman" w:eastAsia="Calibri" w:hAnsi="Times New Roman" w:cs="Times New Roman"/>
          <w:i/>
          <w:iCs/>
          <w:sz w:val="24"/>
          <w:szCs w:val="24"/>
          <w:lang w:val="fr-FR"/>
        </w:rPr>
        <w:t>juguler ce phénomène, notre pays</w:t>
      </w:r>
      <w:r w:rsidRPr="00F32061">
        <w:rPr>
          <w:rFonts w:ascii="Times New Roman" w:eastAsia="Calibri" w:hAnsi="Times New Roman" w:cs="Times New Roman"/>
          <w:i/>
          <w:iCs/>
          <w:sz w:val="24"/>
          <w:szCs w:val="24"/>
          <w:lang w:val="fr-FR"/>
        </w:rPr>
        <w:t xml:space="preserve"> a </w:t>
      </w:r>
      <w:r w:rsidR="00A43489">
        <w:rPr>
          <w:rFonts w:ascii="Times New Roman" w:eastAsia="Calibri" w:hAnsi="Times New Roman" w:cs="Times New Roman"/>
          <w:i/>
          <w:iCs/>
          <w:sz w:val="24"/>
          <w:szCs w:val="24"/>
          <w:lang w:val="fr-FR"/>
        </w:rPr>
        <w:t>élaboré plusieurs stratégies :</w:t>
      </w:r>
    </w:p>
    <w:p w:rsidR="00C41C41" w:rsidRDefault="001C61C4" w:rsidP="00BB5499">
      <w:pPr>
        <w:spacing w:line="240" w:lineRule="auto"/>
        <w:ind w:left="720" w:firstLine="720"/>
        <w:contextualSpacing/>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 xml:space="preserve"> </w:t>
      </w:r>
      <w:r w:rsidR="00A43489">
        <w:rPr>
          <w:rFonts w:ascii="Times New Roman" w:eastAsia="Calibri" w:hAnsi="Times New Roman" w:cs="Times New Roman"/>
          <w:i/>
          <w:iCs/>
          <w:sz w:val="24"/>
          <w:szCs w:val="24"/>
          <w:lang w:val="fr-FR"/>
        </w:rPr>
        <w:t xml:space="preserve">Renforcement de </w:t>
      </w:r>
      <w:r w:rsidRPr="00F32061">
        <w:rPr>
          <w:rFonts w:ascii="Times New Roman" w:eastAsia="Calibri" w:hAnsi="Times New Roman" w:cs="Times New Roman"/>
          <w:i/>
          <w:iCs/>
          <w:sz w:val="24"/>
          <w:szCs w:val="24"/>
          <w:lang w:val="fr-FR"/>
        </w:rPr>
        <w:t xml:space="preserve">son système de contrôle au frontière afin d’éviter la traite des enfants. </w:t>
      </w:r>
    </w:p>
    <w:p w:rsidR="00C41C41" w:rsidRDefault="00A43489" w:rsidP="00BB5499">
      <w:pPr>
        <w:spacing w:line="240" w:lineRule="auto"/>
        <w:ind w:left="720" w:firstLine="720"/>
        <w:contextualSpacing/>
        <w:jc w:val="both"/>
        <w:rPr>
          <w:rFonts w:ascii="Times New Roman" w:eastAsia="Calibri" w:hAnsi="Times New Roman" w:cs="Times New Roman"/>
          <w:i/>
          <w:iCs/>
          <w:sz w:val="24"/>
          <w:szCs w:val="24"/>
          <w:lang w:val="fr-FR"/>
        </w:rPr>
      </w:pPr>
      <w:r>
        <w:rPr>
          <w:rFonts w:ascii="Times New Roman" w:eastAsia="Calibri" w:hAnsi="Times New Roman" w:cs="Times New Roman"/>
          <w:i/>
          <w:iCs/>
          <w:sz w:val="24"/>
          <w:szCs w:val="24"/>
          <w:lang w:val="fr-FR"/>
        </w:rPr>
        <w:t>Renforcement d</w:t>
      </w:r>
      <w:r w:rsidR="00C41C41">
        <w:rPr>
          <w:rFonts w:ascii="Times New Roman" w:eastAsia="Calibri" w:hAnsi="Times New Roman" w:cs="Times New Roman"/>
          <w:i/>
          <w:iCs/>
          <w:sz w:val="24"/>
          <w:szCs w:val="24"/>
          <w:lang w:val="fr-FR"/>
        </w:rPr>
        <w:t>es capacités des formes de police et de gendarmerie ainsi que des magistrats et des travailleurs sociaux.</w:t>
      </w:r>
      <w:r w:rsidR="00BB5499">
        <w:rPr>
          <w:rFonts w:ascii="Times New Roman" w:eastAsia="Calibri" w:hAnsi="Times New Roman" w:cs="Times New Roman"/>
          <w:i/>
          <w:iCs/>
          <w:sz w:val="24"/>
          <w:szCs w:val="24"/>
          <w:lang w:val="fr-FR"/>
        </w:rPr>
        <w:t xml:space="preserve"> </w:t>
      </w:r>
      <w:r w:rsidR="00C41C41">
        <w:rPr>
          <w:rFonts w:ascii="Times New Roman" w:eastAsia="Calibri" w:hAnsi="Times New Roman" w:cs="Times New Roman"/>
          <w:i/>
          <w:iCs/>
          <w:sz w:val="24"/>
          <w:szCs w:val="24"/>
          <w:lang w:val="fr-FR"/>
        </w:rPr>
        <w:t>Des enquêtes ont été organisées par les forces de police et ont permis l’arrestation de nombreux trafiquants et exploiteurs d’enfants.</w:t>
      </w:r>
    </w:p>
    <w:p w:rsidR="003C737B" w:rsidRDefault="003C737B" w:rsidP="00BB5499">
      <w:pPr>
        <w:spacing w:line="240" w:lineRule="auto"/>
        <w:ind w:left="720" w:firstLine="720"/>
        <w:contextualSpacing/>
        <w:jc w:val="both"/>
        <w:rPr>
          <w:rFonts w:ascii="Times New Roman" w:eastAsia="Calibri" w:hAnsi="Times New Roman" w:cs="Times New Roman"/>
          <w:i/>
          <w:iCs/>
          <w:sz w:val="24"/>
          <w:szCs w:val="24"/>
          <w:lang w:val="fr-FR"/>
        </w:rPr>
      </w:pPr>
      <w:r>
        <w:rPr>
          <w:rFonts w:ascii="Times New Roman" w:eastAsia="Calibri" w:hAnsi="Times New Roman" w:cs="Times New Roman"/>
          <w:i/>
          <w:iCs/>
          <w:sz w:val="24"/>
          <w:szCs w:val="24"/>
          <w:lang w:val="fr-FR"/>
        </w:rPr>
        <w:t xml:space="preserve">Elaboration de </w:t>
      </w:r>
      <w:r w:rsidR="00C41C41">
        <w:rPr>
          <w:rFonts w:ascii="Times New Roman" w:eastAsia="Calibri" w:hAnsi="Times New Roman" w:cs="Times New Roman"/>
          <w:i/>
          <w:iCs/>
          <w:sz w:val="24"/>
          <w:szCs w:val="24"/>
          <w:lang w:val="fr-FR"/>
        </w:rPr>
        <w:t>politiques de</w:t>
      </w:r>
      <w:r>
        <w:rPr>
          <w:rFonts w:ascii="Times New Roman" w:eastAsia="Calibri" w:hAnsi="Times New Roman" w:cs="Times New Roman"/>
          <w:i/>
          <w:iCs/>
          <w:sz w:val="24"/>
          <w:szCs w:val="24"/>
          <w:lang w:val="fr-FR"/>
        </w:rPr>
        <w:t xml:space="preserve"> protection des enfants p</w:t>
      </w:r>
      <w:r w:rsidR="00C41C41">
        <w:rPr>
          <w:rFonts w:ascii="Times New Roman" w:eastAsia="Calibri" w:hAnsi="Times New Roman" w:cs="Times New Roman"/>
          <w:i/>
          <w:iCs/>
          <w:sz w:val="24"/>
          <w:szCs w:val="24"/>
          <w:lang w:val="fr-FR"/>
        </w:rPr>
        <w:t>ar les ministères de la famille, de la sécurité sociale et de la justice</w:t>
      </w:r>
      <w:r>
        <w:rPr>
          <w:rFonts w:ascii="Times New Roman" w:eastAsia="Calibri" w:hAnsi="Times New Roman" w:cs="Times New Roman"/>
          <w:i/>
          <w:iCs/>
          <w:sz w:val="24"/>
          <w:szCs w:val="24"/>
          <w:lang w:val="fr-FR"/>
        </w:rPr>
        <w:t> ;</w:t>
      </w:r>
    </w:p>
    <w:p w:rsidR="00C41C41" w:rsidRDefault="003C737B" w:rsidP="00BB5499">
      <w:pPr>
        <w:spacing w:line="240" w:lineRule="auto"/>
        <w:ind w:left="720" w:firstLine="720"/>
        <w:contextualSpacing/>
        <w:jc w:val="both"/>
        <w:rPr>
          <w:rFonts w:ascii="Times New Roman" w:eastAsia="Calibri" w:hAnsi="Times New Roman" w:cs="Times New Roman"/>
          <w:i/>
          <w:iCs/>
          <w:sz w:val="24"/>
          <w:szCs w:val="24"/>
          <w:lang w:val="fr-FR"/>
        </w:rPr>
      </w:pPr>
      <w:r>
        <w:rPr>
          <w:rFonts w:ascii="Times New Roman" w:eastAsia="Calibri" w:hAnsi="Times New Roman" w:cs="Times New Roman"/>
          <w:i/>
          <w:iCs/>
          <w:sz w:val="24"/>
          <w:szCs w:val="24"/>
          <w:lang w:val="fr-FR"/>
        </w:rPr>
        <w:t xml:space="preserve">Création de services </w:t>
      </w:r>
      <w:r w:rsidR="00C41C41">
        <w:rPr>
          <w:rFonts w:ascii="Times New Roman" w:eastAsia="Calibri" w:hAnsi="Times New Roman" w:cs="Times New Roman"/>
          <w:i/>
          <w:iCs/>
          <w:sz w:val="24"/>
          <w:szCs w:val="24"/>
          <w:lang w:val="fr-FR"/>
        </w:rPr>
        <w:t>pour une meilleure protection des enfants.</w:t>
      </w:r>
      <w:r w:rsidR="00BB5499">
        <w:rPr>
          <w:rFonts w:ascii="Times New Roman" w:eastAsia="Calibri" w:hAnsi="Times New Roman" w:cs="Times New Roman"/>
          <w:i/>
          <w:iCs/>
          <w:sz w:val="24"/>
          <w:szCs w:val="24"/>
          <w:lang w:val="fr-FR"/>
        </w:rPr>
        <w:t xml:space="preserve"> </w:t>
      </w:r>
      <w:r w:rsidR="00C41C41">
        <w:rPr>
          <w:rFonts w:ascii="Times New Roman" w:eastAsia="Calibri" w:hAnsi="Times New Roman" w:cs="Times New Roman"/>
          <w:i/>
          <w:iCs/>
          <w:sz w:val="24"/>
          <w:szCs w:val="24"/>
          <w:lang w:val="fr-FR"/>
        </w:rPr>
        <w:t xml:space="preserve">Les </w:t>
      </w:r>
      <w:r w:rsidR="00BB5499">
        <w:rPr>
          <w:rFonts w:ascii="Times New Roman" w:eastAsia="Calibri" w:hAnsi="Times New Roman" w:cs="Times New Roman"/>
          <w:i/>
          <w:iCs/>
          <w:sz w:val="24"/>
          <w:szCs w:val="24"/>
          <w:lang w:val="fr-FR"/>
        </w:rPr>
        <w:t>plateformes</w:t>
      </w:r>
      <w:r w:rsidR="00C41C41">
        <w:rPr>
          <w:rFonts w:ascii="Times New Roman" w:eastAsia="Calibri" w:hAnsi="Times New Roman" w:cs="Times New Roman"/>
          <w:i/>
          <w:iCs/>
          <w:sz w:val="24"/>
          <w:szCs w:val="24"/>
          <w:lang w:val="fr-FR"/>
        </w:rPr>
        <w:t xml:space="preserve"> protection regroupant les acteurs étatiques et privées, les services sociaux, les services de protection judiciaire de l’enfance et de la jeunesse </w:t>
      </w:r>
      <w:r w:rsidR="00BB5499">
        <w:rPr>
          <w:rFonts w:ascii="Times New Roman" w:eastAsia="Calibri" w:hAnsi="Times New Roman" w:cs="Times New Roman"/>
          <w:i/>
          <w:iCs/>
          <w:sz w:val="24"/>
          <w:szCs w:val="24"/>
          <w:lang w:val="fr-FR"/>
        </w:rPr>
        <w:t>apportent une aide aux familles et aux enfants victimes et font des campagnes de sensibilisation sur les droits des enfants ainsi que la prise en charge des enfants victimes.</w:t>
      </w:r>
    </w:p>
    <w:p w:rsidR="00360137" w:rsidRDefault="001C61C4" w:rsidP="00BB5499">
      <w:pPr>
        <w:spacing w:line="240" w:lineRule="auto"/>
        <w:ind w:left="720" w:firstLine="720"/>
        <w:contextualSpacing/>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 xml:space="preserve">Aussi une politique de lutte contre la pauvreté </w:t>
      </w:r>
      <w:r w:rsidR="00C41C41" w:rsidRPr="00F32061">
        <w:rPr>
          <w:rFonts w:ascii="Times New Roman" w:eastAsia="Calibri" w:hAnsi="Times New Roman" w:cs="Times New Roman"/>
          <w:i/>
          <w:iCs/>
          <w:sz w:val="24"/>
          <w:szCs w:val="24"/>
          <w:lang w:val="fr-FR"/>
        </w:rPr>
        <w:t>à</w:t>
      </w:r>
      <w:r w:rsidRPr="00F32061">
        <w:rPr>
          <w:rFonts w:ascii="Times New Roman" w:eastAsia="Calibri" w:hAnsi="Times New Roman" w:cs="Times New Roman"/>
          <w:i/>
          <w:iCs/>
          <w:sz w:val="24"/>
          <w:szCs w:val="24"/>
          <w:lang w:val="fr-FR"/>
        </w:rPr>
        <w:t xml:space="preserve"> travers les filets sociaux </w:t>
      </w:r>
      <w:r w:rsidR="00C41C41" w:rsidRPr="00F32061">
        <w:rPr>
          <w:rFonts w:ascii="Times New Roman" w:eastAsia="Calibri" w:hAnsi="Times New Roman" w:cs="Times New Roman"/>
          <w:i/>
          <w:iCs/>
          <w:sz w:val="24"/>
          <w:szCs w:val="24"/>
          <w:lang w:val="fr-FR"/>
        </w:rPr>
        <w:t>permet</w:t>
      </w:r>
      <w:r w:rsidRPr="00F32061">
        <w:rPr>
          <w:rFonts w:ascii="Times New Roman" w:eastAsia="Calibri" w:hAnsi="Times New Roman" w:cs="Times New Roman"/>
          <w:i/>
          <w:iCs/>
          <w:sz w:val="24"/>
          <w:szCs w:val="24"/>
          <w:lang w:val="fr-FR"/>
        </w:rPr>
        <w:t xml:space="preserve"> aux familles à très faible revenu de pouvoir subvenir aux besoins de leurs enfants. Certaines organisations</w:t>
      </w:r>
      <w:r w:rsidR="003C737B">
        <w:rPr>
          <w:rFonts w:ascii="Times New Roman" w:eastAsia="Calibri" w:hAnsi="Times New Roman" w:cs="Times New Roman"/>
          <w:i/>
          <w:iCs/>
          <w:sz w:val="24"/>
          <w:szCs w:val="24"/>
          <w:lang w:val="fr-FR"/>
        </w:rPr>
        <w:t xml:space="preserve"> mettent en œuvre des projets</w:t>
      </w:r>
      <w:r w:rsidRPr="00F32061">
        <w:rPr>
          <w:rFonts w:ascii="Times New Roman" w:eastAsia="Calibri" w:hAnsi="Times New Roman" w:cs="Times New Roman"/>
          <w:i/>
          <w:iCs/>
          <w:sz w:val="24"/>
          <w:szCs w:val="24"/>
          <w:lang w:val="fr-FR"/>
        </w:rPr>
        <w:t xml:space="preserve"> incluant des renforcements économiques (activité génératrice de revenu) </w:t>
      </w:r>
      <w:r w:rsidR="00ED0CEC" w:rsidRPr="00F32061">
        <w:rPr>
          <w:rFonts w:ascii="Times New Roman" w:eastAsia="Calibri" w:hAnsi="Times New Roman" w:cs="Times New Roman"/>
          <w:i/>
          <w:iCs/>
          <w:sz w:val="24"/>
          <w:szCs w:val="24"/>
          <w:lang w:val="fr-FR"/>
        </w:rPr>
        <w:t>à</w:t>
      </w:r>
      <w:r w:rsidRPr="00F32061">
        <w:rPr>
          <w:rFonts w:ascii="Times New Roman" w:eastAsia="Calibri" w:hAnsi="Times New Roman" w:cs="Times New Roman"/>
          <w:i/>
          <w:iCs/>
          <w:sz w:val="24"/>
          <w:szCs w:val="24"/>
          <w:lang w:val="fr-FR"/>
        </w:rPr>
        <w:t xml:space="preserve"> l’endroit des victimes</w:t>
      </w:r>
      <w:r w:rsidR="00ED0CEC" w:rsidRPr="00F32061">
        <w:rPr>
          <w:rFonts w:ascii="Times New Roman" w:eastAsia="Calibri" w:hAnsi="Times New Roman" w:cs="Times New Roman"/>
          <w:i/>
          <w:iCs/>
          <w:sz w:val="24"/>
          <w:szCs w:val="24"/>
          <w:lang w:val="fr-FR"/>
        </w:rPr>
        <w:t xml:space="preserve"> pour qu’elles puissent se prendre en charges. </w:t>
      </w:r>
    </w:p>
    <w:p w:rsidR="00BB5499" w:rsidRDefault="00BB5499" w:rsidP="003C737B">
      <w:pPr>
        <w:spacing w:line="240" w:lineRule="auto"/>
        <w:ind w:left="720" w:firstLine="720"/>
        <w:contextualSpacing/>
        <w:jc w:val="both"/>
        <w:rPr>
          <w:rFonts w:ascii="Times New Roman" w:eastAsia="Calibri" w:hAnsi="Times New Roman" w:cs="Times New Roman"/>
          <w:i/>
          <w:iCs/>
          <w:sz w:val="24"/>
          <w:szCs w:val="24"/>
          <w:lang w:val="fr-FR"/>
        </w:rPr>
      </w:pPr>
      <w:r>
        <w:rPr>
          <w:rFonts w:ascii="Times New Roman" w:eastAsia="Calibri" w:hAnsi="Times New Roman" w:cs="Times New Roman"/>
          <w:i/>
          <w:iCs/>
          <w:sz w:val="24"/>
          <w:szCs w:val="24"/>
          <w:lang w:val="fr-FR"/>
        </w:rPr>
        <w:t>Le projet SWEED d’autonomisation des femmes et des filles par l’éducation et des activités génératrices a été mis en place dans sept pays dont la Cote d’Ivoire.</w:t>
      </w:r>
    </w:p>
    <w:p w:rsidR="00BB5499" w:rsidRDefault="00BB5499" w:rsidP="00360137">
      <w:pPr>
        <w:spacing w:line="240" w:lineRule="auto"/>
        <w:ind w:left="720"/>
        <w:contextualSpacing/>
        <w:jc w:val="both"/>
        <w:rPr>
          <w:rFonts w:ascii="Times New Roman" w:eastAsia="Calibri" w:hAnsi="Times New Roman" w:cs="Times New Roman"/>
          <w:i/>
          <w:iCs/>
          <w:sz w:val="24"/>
          <w:szCs w:val="24"/>
          <w:lang w:val="fr-FR"/>
        </w:rPr>
      </w:pPr>
    </w:p>
    <w:p w:rsidR="00BB5499" w:rsidRPr="00BB5499" w:rsidRDefault="00BB5499" w:rsidP="00360137">
      <w:pPr>
        <w:spacing w:line="240" w:lineRule="auto"/>
        <w:ind w:left="720"/>
        <w:contextualSpacing/>
        <w:jc w:val="both"/>
        <w:rPr>
          <w:rFonts w:ascii="Times New Roman" w:eastAsia="Calibri" w:hAnsi="Times New Roman" w:cs="Times New Roman"/>
          <w:b/>
          <w:i/>
          <w:iCs/>
          <w:sz w:val="24"/>
          <w:szCs w:val="24"/>
          <w:lang w:val="fr-FR"/>
        </w:rPr>
      </w:pPr>
      <w:r w:rsidRPr="00BB5499">
        <w:rPr>
          <w:rFonts w:ascii="Times New Roman" w:eastAsia="Calibri" w:hAnsi="Times New Roman" w:cs="Times New Roman"/>
          <w:b/>
          <w:i/>
          <w:iCs/>
          <w:sz w:val="24"/>
          <w:szCs w:val="24"/>
          <w:lang w:val="fr-FR"/>
        </w:rPr>
        <w:t>3-Défis et challenges</w:t>
      </w:r>
    </w:p>
    <w:p w:rsidR="00511248" w:rsidRPr="00F32061" w:rsidRDefault="002059B2" w:rsidP="00511248">
      <w:pPr>
        <w:spacing w:line="240" w:lineRule="auto"/>
        <w:ind w:left="720" w:firstLine="720"/>
        <w:contextualSpacing/>
        <w:jc w:val="both"/>
        <w:rPr>
          <w:rFonts w:ascii="Times New Roman" w:eastAsia="Calibri" w:hAnsi="Times New Roman" w:cs="Times New Roman"/>
          <w:i/>
          <w:iCs/>
          <w:sz w:val="24"/>
          <w:szCs w:val="24"/>
          <w:lang w:val="fr-FR"/>
        </w:rPr>
      </w:pPr>
      <w:r>
        <w:rPr>
          <w:rFonts w:ascii="Times New Roman" w:eastAsia="Calibri" w:hAnsi="Times New Roman" w:cs="Times New Roman"/>
          <w:i/>
          <w:iCs/>
          <w:sz w:val="24"/>
          <w:szCs w:val="24"/>
          <w:lang w:val="fr-FR"/>
        </w:rPr>
        <w:t>Le développement incontrôlé d’Internet constitue un défi important pour nos jeunes Etats. En effet, m</w:t>
      </w:r>
      <w:r w:rsidR="00511248" w:rsidRPr="00F32061">
        <w:rPr>
          <w:rFonts w:ascii="Times New Roman" w:eastAsia="Calibri" w:hAnsi="Times New Roman" w:cs="Times New Roman"/>
          <w:i/>
          <w:iCs/>
          <w:sz w:val="24"/>
          <w:szCs w:val="24"/>
          <w:lang w:val="fr-FR"/>
        </w:rPr>
        <w:t xml:space="preserve">algré le renforcement du contrôle, </w:t>
      </w:r>
      <w:r>
        <w:rPr>
          <w:rFonts w:ascii="Times New Roman" w:eastAsia="Calibri" w:hAnsi="Times New Roman" w:cs="Times New Roman"/>
          <w:i/>
          <w:iCs/>
          <w:sz w:val="24"/>
          <w:szCs w:val="24"/>
          <w:lang w:val="fr-FR"/>
        </w:rPr>
        <w:t xml:space="preserve">l’adoption de nouvelles lois l’exploitation sexuelle des enfants continue. Les </w:t>
      </w:r>
      <w:r w:rsidR="00511248" w:rsidRPr="00F32061">
        <w:rPr>
          <w:rFonts w:ascii="Times New Roman" w:eastAsia="Calibri" w:hAnsi="Times New Roman" w:cs="Times New Roman"/>
          <w:i/>
          <w:iCs/>
          <w:sz w:val="24"/>
          <w:szCs w:val="24"/>
          <w:lang w:val="fr-FR"/>
        </w:rPr>
        <w:t xml:space="preserve">proxénètes </w:t>
      </w:r>
      <w:r w:rsidR="00511248">
        <w:rPr>
          <w:rFonts w:ascii="Times New Roman" w:eastAsia="Calibri" w:hAnsi="Times New Roman" w:cs="Times New Roman"/>
          <w:i/>
          <w:iCs/>
          <w:sz w:val="24"/>
          <w:szCs w:val="24"/>
          <w:lang w:val="fr-FR"/>
        </w:rPr>
        <w:t xml:space="preserve">et les organisations criminelles </w:t>
      </w:r>
      <w:r w:rsidR="00511248" w:rsidRPr="00F32061">
        <w:rPr>
          <w:rFonts w:ascii="Times New Roman" w:eastAsia="Calibri" w:hAnsi="Times New Roman" w:cs="Times New Roman"/>
          <w:i/>
          <w:iCs/>
          <w:sz w:val="24"/>
          <w:szCs w:val="24"/>
          <w:lang w:val="fr-FR"/>
        </w:rPr>
        <w:t xml:space="preserve">utilisent de nouvelles </w:t>
      </w:r>
      <w:r w:rsidR="00511248">
        <w:rPr>
          <w:rFonts w:ascii="Times New Roman" w:eastAsia="Calibri" w:hAnsi="Times New Roman" w:cs="Times New Roman"/>
          <w:i/>
          <w:iCs/>
          <w:sz w:val="24"/>
          <w:szCs w:val="24"/>
          <w:lang w:val="fr-FR"/>
        </w:rPr>
        <w:t xml:space="preserve">stratégies pour attirer leurs jeunes victimes. </w:t>
      </w:r>
      <w:r w:rsidR="00511248" w:rsidRPr="00F32061">
        <w:rPr>
          <w:rFonts w:ascii="Times New Roman" w:eastAsia="Calibri" w:hAnsi="Times New Roman" w:cs="Times New Roman"/>
          <w:i/>
          <w:iCs/>
          <w:sz w:val="24"/>
          <w:szCs w:val="24"/>
          <w:lang w:val="fr-FR"/>
        </w:rPr>
        <w:t> </w:t>
      </w:r>
      <w:r w:rsidR="00511248">
        <w:rPr>
          <w:rFonts w:ascii="Times New Roman" w:eastAsia="Calibri" w:hAnsi="Times New Roman" w:cs="Times New Roman"/>
          <w:i/>
          <w:iCs/>
          <w:sz w:val="24"/>
          <w:szCs w:val="24"/>
          <w:lang w:val="fr-FR"/>
        </w:rPr>
        <w:t>Ils utilisent Internet pour appâter les victimes en leur promettant un emploi, le mariage etc.</w:t>
      </w:r>
    </w:p>
    <w:p w:rsidR="00511248" w:rsidRPr="00F32061" w:rsidRDefault="00511248" w:rsidP="00511248">
      <w:pPr>
        <w:spacing w:line="240" w:lineRule="auto"/>
        <w:ind w:left="720"/>
        <w:contextualSpacing/>
        <w:jc w:val="both"/>
        <w:rPr>
          <w:rFonts w:ascii="Times New Roman" w:eastAsia="Calibri" w:hAnsi="Times New Roman" w:cs="Times New Roman"/>
          <w:sz w:val="24"/>
          <w:szCs w:val="24"/>
          <w:lang w:val="fr-FR"/>
        </w:rPr>
      </w:pPr>
    </w:p>
    <w:p w:rsidR="001C6170" w:rsidRPr="00F32061" w:rsidRDefault="007270F2" w:rsidP="001C6170">
      <w:pPr>
        <w:spacing w:after="0" w:line="240" w:lineRule="auto"/>
        <w:ind w:left="720"/>
        <w:contextualSpacing/>
        <w:jc w:val="both"/>
        <w:rPr>
          <w:rStyle w:val="tlid-translation"/>
          <w:b/>
          <w:bCs/>
          <w:lang w:val="fr-FR"/>
        </w:rPr>
      </w:pPr>
      <w:r w:rsidRPr="00F32061">
        <w:rPr>
          <w:rStyle w:val="tlid-translation"/>
          <w:b/>
          <w:bCs/>
          <w:i/>
          <w:iCs/>
          <w:u w:val="single"/>
          <w:lang w:val="fr-FR"/>
        </w:rPr>
        <w:t>Vulnérabilité des enfants à la vente et à l’exploitation sexuelle, y compris dans le contexte des défis transfrontaliers, de la technologie et de l’innovation</w:t>
      </w:r>
      <w:r w:rsidRPr="00F32061">
        <w:rPr>
          <w:rStyle w:val="tlid-translation"/>
          <w:b/>
          <w:bCs/>
          <w:lang w:val="fr-FR"/>
        </w:rPr>
        <w:t xml:space="preserve"> : quelles sont les preuves disponibles sur la vulnérabilité des enfants à l’exploitation sexuelle, y compris sur les facteurs de risque existants et émergents (par exemple, situations socio-économiques précaires, migration, etc.) ? </w:t>
      </w:r>
      <w:r w:rsidR="00125E6B" w:rsidRPr="00F32061">
        <w:rPr>
          <w:rStyle w:val="tlid-translation"/>
          <w:b/>
          <w:bCs/>
          <w:lang w:val="fr-FR"/>
        </w:rPr>
        <w:t>Conflits</w:t>
      </w:r>
      <w:r w:rsidRPr="00F32061">
        <w:rPr>
          <w:rStyle w:val="tlid-translation"/>
          <w:b/>
          <w:bCs/>
          <w:lang w:val="fr-FR"/>
        </w:rPr>
        <w:t xml:space="preserve"> et violence, changements climatiques et catastrophes naturelles, espace numérique) ? Quels groupes d'enfants (notamment en raison de leur sexe, de leur âge, de leur handicap, de leur groupe social) sont particulièrement vulnérables à l'exploitation en général et / ou à certaines de leurs formes ?</w:t>
      </w:r>
    </w:p>
    <w:p w:rsidR="00F32061" w:rsidRDefault="00F32061" w:rsidP="00ED0CEC">
      <w:pPr>
        <w:spacing w:line="240" w:lineRule="auto"/>
        <w:ind w:left="720"/>
        <w:contextualSpacing/>
        <w:jc w:val="both"/>
        <w:rPr>
          <w:rFonts w:ascii="Times New Roman" w:eastAsia="Calibri" w:hAnsi="Times New Roman" w:cs="Times New Roman"/>
          <w:sz w:val="24"/>
          <w:szCs w:val="24"/>
          <w:lang w:val="fr-FR"/>
        </w:rPr>
      </w:pPr>
    </w:p>
    <w:p w:rsidR="00ED0CEC" w:rsidRPr="00F32061" w:rsidRDefault="00ED0CEC" w:rsidP="00BB5499">
      <w:pPr>
        <w:spacing w:line="240" w:lineRule="auto"/>
        <w:ind w:left="720" w:firstLine="720"/>
        <w:contextualSpacing/>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Une étude conduite par une organisation de la société civile en 2016</w:t>
      </w:r>
      <w:r w:rsidR="00BB5499">
        <w:rPr>
          <w:rFonts w:ascii="Times New Roman" w:eastAsia="Calibri" w:hAnsi="Times New Roman" w:cs="Times New Roman"/>
          <w:i/>
          <w:iCs/>
          <w:sz w:val="24"/>
          <w:szCs w:val="24"/>
          <w:lang w:val="fr-FR"/>
        </w:rPr>
        <w:t>(ONG SOS violences sexuelles)</w:t>
      </w:r>
      <w:r w:rsidRPr="00F32061">
        <w:rPr>
          <w:rFonts w:ascii="Times New Roman" w:eastAsia="Calibri" w:hAnsi="Times New Roman" w:cs="Times New Roman"/>
          <w:i/>
          <w:iCs/>
          <w:sz w:val="24"/>
          <w:szCs w:val="24"/>
          <w:lang w:val="fr-FR"/>
        </w:rPr>
        <w:t xml:space="preserve"> en </w:t>
      </w:r>
      <w:r w:rsidR="00F908FF">
        <w:rPr>
          <w:rFonts w:ascii="Times New Roman" w:eastAsia="Calibri" w:hAnsi="Times New Roman" w:cs="Times New Roman"/>
          <w:i/>
          <w:iCs/>
          <w:sz w:val="24"/>
          <w:szCs w:val="24"/>
          <w:lang w:val="fr-FR"/>
        </w:rPr>
        <w:t>C</w:t>
      </w:r>
      <w:r w:rsidR="003F1903" w:rsidRPr="00F32061">
        <w:rPr>
          <w:rFonts w:ascii="Times New Roman" w:eastAsia="Calibri" w:hAnsi="Times New Roman" w:cs="Times New Roman"/>
          <w:i/>
          <w:iCs/>
          <w:sz w:val="24"/>
          <w:szCs w:val="24"/>
          <w:lang w:val="fr-FR"/>
        </w:rPr>
        <w:t>ôte</w:t>
      </w:r>
      <w:r w:rsidR="00F908FF">
        <w:rPr>
          <w:rFonts w:ascii="Times New Roman" w:eastAsia="Calibri" w:hAnsi="Times New Roman" w:cs="Times New Roman"/>
          <w:i/>
          <w:iCs/>
          <w:sz w:val="24"/>
          <w:szCs w:val="24"/>
          <w:lang w:val="fr-FR"/>
        </w:rPr>
        <w:t xml:space="preserve"> d’I</w:t>
      </w:r>
      <w:r w:rsidRPr="00F32061">
        <w:rPr>
          <w:rFonts w:ascii="Times New Roman" w:eastAsia="Calibri" w:hAnsi="Times New Roman" w:cs="Times New Roman"/>
          <w:i/>
          <w:iCs/>
          <w:sz w:val="24"/>
          <w:szCs w:val="24"/>
          <w:lang w:val="fr-FR"/>
        </w:rPr>
        <w:t xml:space="preserve">voire a fait ressortir que plus de 70 % d’enfants victimes d’exploitation sexuelle sont rentré en contact avec leur abuseur. </w:t>
      </w:r>
    </w:p>
    <w:p w:rsidR="0005782C" w:rsidRDefault="003F1903" w:rsidP="00BB5499">
      <w:pPr>
        <w:ind w:left="720" w:firstLine="720"/>
        <w:contextualSpacing/>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L’</w:t>
      </w:r>
      <w:r w:rsidR="0005782C" w:rsidRPr="00F32061">
        <w:rPr>
          <w:rFonts w:ascii="Times New Roman" w:eastAsia="Calibri" w:hAnsi="Times New Roman" w:cs="Times New Roman"/>
          <w:i/>
          <w:iCs/>
          <w:sz w:val="24"/>
          <w:szCs w:val="24"/>
          <w:lang w:val="fr-FR"/>
        </w:rPr>
        <w:t>étude</w:t>
      </w:r>
      <w:r w:rsidR="00F908FF">
        <w:rPr>
          <w:rFonts w:ascii="Times New Roman" w:eastAsia="Calibri" w:hAnsi="Times New Roman" w:cs="Times New Roman"/>
          <w:i/>
          <w:iCs/>
          <w:sz w:val="24"/>
          <w:szCs w:val="24"/>
          <w:lang w:val="fr-FR"/>
        </w:rPr>
        <w:t xml:space="preserve"> VACS menée en 2018 par l’Etat de </w:t>
      </w:r>
      <w:r w:rsidR="00472E99">
        <w:rPr>
          <w:rFonts w:ascii="Times New Roman" w:eastAsia="Calibri" w:hAnsi="Times New Roman" w:cs="Times New Roman"/>
          <w:i/>
          <w:iCs/>
          <w:sz w:val="24"/>
          <w:szCs w:val="24"/>
          <w:lang w:val="fr-FR"/>
        </w:rPr>
        <w:t>Côte</w:t>
      </w:r>
      <w:r w:rsidR="00F908FF">
        <w:rPr>
          <w:rFonts w:ascii="Times New Roman" w:eastAsia="Calibri" w:hAnsi="Times New Roman" w:cs="Times New Roman"/>
          <w:i/>
          <w:iCs/>
          <w:sz w:val="24"/>
          <w:szCs w:val="24"/>
          <w:lang w:val="fr-FR"/>
        </w:rPr>
        <w:t xml:space="preserve"> d’I</w:t>
      </w:r>
      <w:r w:rsidRPr="00F32061">
        <w:rPr>
          <w:rFonts w:ascii="Times New Roman" w:eastAsia="Calibri" w:hAnsi="Times New Roman" w:cs="Times New Roman"/>
          <w:i/>
          <w:iCs/>
          <w:sz w:val="24"/>
          <w:szCs w:val="24"/>
          <w:lang w:val="fr-FR"/>
        </w:rPr>
        <w:t xml:space="preserve">voire avec l’appui technique et financier de CDC et Unicef </w:t>
      </w:r>
      <w:r w:rsidR="0005782C" w:rsidRPr="00F32061">
        <w:rPr>
          <w:rFonts w:ascii="Times New Roman" w:eastAsia="Calibri" w:hAnsi="Times New Roman" w:cs="Times New Roman"/>
          <w:i/>
          <w:iCs/>
          <w:sz w:val="24"/>
          <w:szCs w:val="24"/>
          <w:lang w:val="fr-FR"/>
        </w:rPr>
        <w:t>montre que la prévalence de la violence sexuelle dans l'enfance est d’une fille sur 5 et qu'un garçon sur 10 en est victime. Comme nous le voyons dans de nombreux autres pays, les filles en Côte d’Ivoire sont plus exposées que les garçons aux violences sexuelles dans leur enfance.</w:t>
      </w:r>
    </w:p>
    <w:p w:rsidR="00F908FF" w:rsidRPr="00F32061" w:rsidRDefault="00F908FF" w:rsidP="00BB5499">
      <w:pPr>
        <w:ind w:left="720" w:firstLine="720"/>
        <w:contextualSpacing/>
        <w:jc w:val="both"/>
        <w:rPr>
          <w:rFonts w:ascii="Times New Roman" w:eastAsia="Calibri" w:hAnsi="Times New Roman" w:cs="Times New Roman"/>
          <w:i/>
          <w:iCs/>
          <w:sz w:val="24"/>
          <w:szCs w:val="24"/>
          <w:lang w:val="fr-FR"/>
        </w:rPr>
      </w:pPr>
      <w:r>
        <w:rPr>
          <w:rFonts w:ascii="Times New Roman" w:eastAsia="Calibri" w:hAnsi="Times New Roman" w:cs="Times New Roman"/>
          <w:i/>
          <w:iCs/>
          <w:sz w:val="24"/>
          <w:szCs w:val="24"/>
          <w:lang w:val="fr-FR"/>
        </w:rPr>
        <w:t xml:space="preserve">Les </w:t>
      </w:r>
      <w:r w:rsidR="00BB5499">
        <w:rPr>
          <w:rFonts w:ascii="Times New Roman" w:eastAsia="Calibri" w:hAnsi="Times New Roman" w:cs="Times New Roman"/>
          <w:i/>
          <w:iCs/>
          <w:sz w:val="24"/>
          <w:szCs w:val="24"/>
          <w:lang w:val="fr-FR"/>
        </w:rPr>
        <w:t xml:space="preserve">groupes les plus vulnérables sont : les </w:t>
      </w:r>
      <w:r>
        <w:rPr>
          <w:rFonts w:ascii="Times New Roman" w:eastAsia="Calibri" w:hAnsi="Times New Roman" w:cs="Times New Roman"/>
          <w:i/>
          <w:iCs/>
          <w:sz w:val="24"/>
          <w:szCs w:val="24"/>
          <w:lang w:val="fr-FR"/>
        </w:rPr>
        <w:t>élèves, les filles domestiques</w:t>
      </w:r>
      <w:r w:rsidR="00BB5499">
        <w:rPr>
          <w:rFonts w:ascii="Times New Roman" w:eastAsia="Calibri" w:hAnsi="Times New Roman" w:cs="Times New Roman"/>
          <w:i/>
          <w:iCs/>
          <w:sz w:val="24"/>
          <w:szCs w:val="24"/>
          <w:lang w:val="fr-FR"/>
        </w:rPr>
        <w:t>, les enfants travailleurs,</w:t>
      </w:r>
      <w:r>
        <w:rPr>
          <w:rFonts w:ascii="Times New Roman" w:eastAsia="Calibri" w:hAnsi="Times New Roman" w:cs="Times New Roman"/>
          <w:i/>
          <w:iCs/>
          <w:sz w:val="24"/>
          <w:szCs w:val="24"/>
          <w:lang w:val="fr-FR"/>
        </w:rPr>
        <w:t xml:space="preserve"> les migrantes</w:t>
      </w:r>
      <w:r w:rsidR="00BB5499">
        <w:rPr>
          <w:rFonts w:ascii="Times New Roman" w:eastAsia="Calibri" w:hAnsi="Times New Roman" w:cs="Times New Roman"/>
          <w:i/>
          <w:iCs/>
          <w:sz w:val="24"/>
          <w:szCs w:val="24"/>
          <w:lang w:val="fr-FR"/>
        </w:rPr>
        <w:t xml:space="preserve">, les déplacées et réfugiées ; celles-ci en raison de leur âge et de la précarité économique </w:t>
      </w:r>
      <w:r>
        <w:rPr>
          <w:rFonts w:ascii="Times New Roman" w:eastAsia="Calibri" w:hAnsi="Times New Roman" w:cs="Times New Roman"/>
          <w:i/>
          <w:iCs/>
          <w:sz w:val="24"/>
          <w:szCs w:val="24"/>
          <w:lang w:val="fr-FR"/>
        </w:rPr>
        <w:t xml:space="preserve"> sont exposées à l’exploitation sexuelle.</w:t>
      </w:r>
    </w:p>
    <w:p w:rsidR="00360137" w:rsidRPr="000B7168" w:rsidRDefault="00360137" w:rsidP="00125E6B">
      <w:pPr>
        <w:spacing w:after="0" w:line="240" w:lineRule="auto"/>
        <w:contextualSpacing/>
        <w:jc w:val="both"/>
        <w:rPr>
          <w:rFonts w:ascii="Times New Roman" w:eastAsia="Calibri" w:hAnsi="Times New Roman" w:cs="Times New Roman"/>
          <w:sz w:val="24"/>
          <w:szCs w:val="24"/>
          <w:lang w:val="fr-FR"/>
        </w:rPr>
      </w:pPr>
    </w:p>
    <w:p w:rsidR="00360137" w:rsidRDefault="007270F2" w:rsidP="00360137">
      <w:pPr>
        <w:spacing w:line="240" w:lineRule="auto"/>
        <w:ind w:left="720"/>
        <w:contextualSpacing/>
        <w:jc w:val="both"/>
        <w:rPr>
          <w:rStyle w:val="tlid-translation"/>
          <w:b/>
          <w:bCs/>
          <w:lang w:val="fr-FR"/>
        </w:rPr>
      </w:pPr>
      <w:r w:rsidRPr="00F32061">
        <w:rPr>
          <w:rStyle w:val="tlid-translation"/>
          <w:b/>
          <w:bCs/>
          <w:i/>
          <w:iCs/>
          <w:u w:val="single"/>
          <w:lang w:val="fr-FR"/>
        </w:rPr>
        <w:t>Cadre juridique-normatif global, engagement et capacité institutionnelle :</w:t>
      </w:r>
      <w:r w:rsidRPr="00F32061">
        <w:rPr>
          <w:rStyle w:val="tlid-translation"/>
          <w:b/>
          <w:bCs/>
          <w:lang w:val="fr-FR"/>
        </w:rPr>
        <w:t xml:space="preserve"> Quels progrès ont été accomplis dans les cadres législatifs mondiaux, régionaux et nationaux pour lutter contre la vulnérabilité des enfants à la vente et à l’exploitation sexuelle et pour lutter contre l’impunité ? Dans quelle mesure ces cadres répondent-ils ou prennent-ils dûment en compte les défis posés par les flux financiers et Internet transnationaux, ainsi que leurs implications pour la responsabilité et la lutte contre l’impunité ?</w:t>
      </w:r>
    </w:p>
    <w:p w:rsidR="00A26404" w:rsidRDefault="00A26404" w:rsidP="00360137">
      <w:pPr>
        <w:spacing w:line="240" w:lineRule="auto"/>
        <w:ind w:left="720"/>
        <w:contextualSpacing/>
        <w:jc w:val="both"/>
        <w:rPr>
          <w:rStyle w:val="tlid-translation"/>
          <w:b/>
          <w:bCs/>
          <w:i/>
          <w:iCs/>
          <w:u w:val="single"/>
          <w:lang w:val="fr-FR"/>
        </w:rPr>
      </w:pPr>
    </w:p>
    <w:p w:rsidR="00A26404" w:rsidRPr="00F32061" w:rsidRDefault="00A26404" w:rsidP="00360137">
      <w:pPr>
        <w:spacing w:line="240" w:lineRule="auto"/>
        <w:ind w:left="720"/>
        <w:contextualSpacing/>
        <w:jc w:val="both"/>
        <w:rPr>
          <w:rStyle w:val="tlid-translation"/>
          <w:b/>
          <w:bCs/>
          <w:lang w:val="fr-FR"/>
        </w:rPr>
      </w:pPr>
      <w:r>
        <w:rPr>
          <w:rStyle w:val="tlid-translation"/>
          <w:b/>
          <w:bCs/>
          <w:i/>
          <w:iCs/>
          <w:u w:val="single"/>
          <w:lang w:val="fr-FR"/>
        </w:rPr>
        <w:t xml:space="preserve">Renforcement du cadre juridique </w:t>
      </w:r>
    </w:p>
    <w:p w:rsidR="00A26404" w:rsidRPr="00472E99" w:rsidRDefault="00A26404" w:rsidP="00A26404">
      <w:pPr>
        <w:pStyle w:val="NormalWeb"/>
        <w:ind w:left="720" w:firstLine="720"/>
        <w:jc w:val="both"/>
        <w:rPr>
          <w:rFonts w:eastAsia="Calibri"/>
          <w:i/>
          <w:iCs/>
          <w:u w:val="single"/>
          <w:lang w:val="fr-FR"/>
        </w:rPr>
      </w:pPr>
      <w:r w:rsidRPr="00472E99">
        <w:rPr>
          <w:rFonts w:eastAsia="Calibri"/>
          <w:i/>
          <w:iCs/>
          <w:u w:val="single"/>
          <w:lang w:val="fr-FR"/>
        </w:rPr>
        <w:t xml:space="preserve">Instruments internationaux </w:t>
      </w:r>
    </w:p>
    <w:p w:rsidR="00A26404" w:rsidRDefault="00F908FF" w:rsidP="00A26404">
      <w:pPr>
        <w:pStyle w:val="NormalWeb"/>
        <w:ind w:left="720" w:firstLine="720"/>
        <w:jc w:val="both"/>
        <w:rPr>
          <w:i/>
          <w:iCs/>
          <w:lang w:val="fr-FR"/>
        </w:rPr>
      </w:pPr>
      <w:r>
        <w:rPr>
          <w:rFonts w:eastAsia="Calibri"/>
          <w:i/>
          <w:iCs/>
          <w:lang w:val="fr-FR"/>
        </w:rPr>
        <w:t>Notre pays a ratifié</w:t>
      </w:r>
      <w:r w:rsidR="0005782C" w:rsidRPr="00F32061">
        <w:rPr>
          <w:rFonts w:eastAsia="Calibri"/>
          <w:i/>
          <w:iCs/>
          <w:lang w:val="fr-FR"/>
        </w:rPr>
        <w:t xml:space="preserve"> la CDE</w:t>
      </w:r>
      <w:r w:rsidR="003C1D49">
        <w:rPr>
          <w:rFonts w:eastAsia="Calibri"/>
          <w:i/>
          <w:iCs/>
          <w:lang w:val="fr-FR"/>
        </w:rPr>
        <w:t xml:space="preserve"> de 1989 et ses protocoles :</w:t>
      </w:r>
      <w:r w:rsidR="0005782C" w:rsidRPr="00F32061">
        <w:rPr>
          <w:rFonts w:eastAsia="Calibri"/>
          <w:i/>
          <w:iCs/>
          <w:lang w:val="fr-FR"/>
        </w:rPr>
        <w:t xml:space="preserve"> </w:t>
      </w:r>
      <w:hyperlink r:id="rId11" w:tgtFrame="_blank" w:history="1">
        <w:r w:rsidR="0005782C" w:rsidRPr="00F32061">
          <w:rPr>
            <w:rStyle w:val="Lienhypertexte"/>
            <w:i/>
            <w:iCs/>
            <w:color w:val="auto"/>
            <w:u w:val="none"/>
            <w:lang w:val="fr-FR"/>
          </w:rPr>
          <w:t>Protocole facultatif sur la participation des enfants aux conflits armés</w:t>
        </w:r>
      </w:hyperlink>
      <w:r w:rsidR="0005782C" w:rsidRPr="00F32061">
        <w:rPr>
          <w:i/>
          <w:iCs/>
          <w:lang w:val="fr-FR"/>
        </w:rPr>
        <w:t xml:space="preserve"> et  le </w:t>
      </w:r>
      <w:hyperlink r:id="rId12" w:tgtFrame="_blank" w:history="1">
        <w:r w:rsidR="0005782C" w:rsidRPr="00F32061">
          <w:rPr>
            <w:rStyle w:val="Lienhypertexte"/>
            <w:i/>
            <w:iCs/>
            <w:color w:val="auto"/>
            <w:u w:val="none"/>
            <w:lang w:val="fr-FR"/>
          </w:rPr>
          <w:t>Protocole facultatif sur la vente d’enfants, la prostitution des enfants et la pornographie impliquant des enfants</w:t>
        </w:r>
      </w:hyperlink>
      <w:r w:rsidR="00A26404">
        <w:rPr>
          <w:rStyle w:val="Lienhypertexte"/>
          <w:i/>
          <w:iCs/>
          <w:color w:val="auto"/>
          <w:u w:val="none"/>
          <w:lang w:val="fr-FR"/>
        </w:rPr>
        <w:t xml:space="preserve"> , la CEDEF, la Convention 182 de l’OIT sur les pires formes de travail des enfants</w:t>
      </w:r>
      <w:r w:rsidR="003C1D49">
        <w:rPr>
          <w:rStyle w:val="Lienhypertexte"/>
          <w:i/>
          <w:iCs/>
          <w:color w:val="auto"/>
          <w:u w:val="none"/>
          <w:lang w:val="fr-FR"/>
        </w:rPr>
        <w:t xml:space="preserve"> etc</w:t>
      </w:r>
      <w:r w:rsidR="0005782C" w:rsidRPr="00F32061">
        <w:rPr>
          <w:i/>
          <w:iCs/>
          <w:lang w:val="fr-FR"/>
        </w:rPr>
        <w:t xml:space="preserve">. </w:t>
      </w:r>
    </w:p>
    <w:p w:rsidR="00A26404" w:rsidRPr="00472E99" w:rsidRDefault="00A26404" w:rsidP="00A26404">
      <w:pPr>
        <w:pStyle w:val="NormalWeb"/>
        <w:ind w:left="720" w:firstLine="720"/>
        <w:jc w:val="both"/>
        <w:rPr>
          <w:i/>
          <w:iCs/>
          <w:u w:val="single"/>
          <w:lang w:val="fr-FR"/>
        </w:rPr>
      </w:pPr>
      <w:r w:rsidRPr="00472E99">
        <w:rPr>
          <w:i/>
          <w:iCs/>
          <w:u w:val="single"/>
          <w:lang w:val="fr-FR"/>
        </w:rPr>
        <w:t xml:space="preserve">Instruments régionaux et </w:t>
      </w:r>
      <w:r w:rsidR="00472E99" w:rsidRPr="00472E99">
        <w:rPr>
          <w:i/>
          <w:iCs/>
          <w:u w:val="single"/>
          <w:lang w:val="fr-FR"/>
        </w:rPr>
        <w:t>sous régionaux</w:t>
      </w:r>
      <w:r w:rsidRPr="00472E99">
        <w:rPr>
          <w:i/>
          <w:iCs/>
          <w:u w:val="single"/>
          <w:lang w:val="fr-FR"/>
        </w:rPr>
        <w:t xml:space="preserve"> </w:t>
      </w:r>
    </w:p>
    <w:p w:rsidR="00F908FF" w:rsidRDefault="0005782C" w:rsidP="00A26404">
      <w:pPr>
        <w:pStyle w:val="NormalWeb"/>
        <w:ind w:left="720" w:firstLine="720"/>
        <w:jc w:val="both"/>
        <w:rPr>
          <w:rFonts w:eastAsia="Calibri"/>
          <w:i/>
          <w:iCs/>
          <w:lang w:val="fr-FR"/>
        </w:rPr>
      </w:pPr>
      <w:r w:rsidRPr="00F32061">
        <w:rPr>
          <w:i/>
          <w:iCs/>
          <w:lang w:val="fr-FR"/>
        </w:rPr>
        <w:t>Nous avons ratifié la CADBE dont l’article 27 adresse la problématique de la l’exp</w:t>
      </w:r>
      <w:r w:rsidR="00A26404">
        <w:rPr>
          <w:i/>
          <w:iCs/>
          <w:lang w:val="fr-FR"/>
        </w:rPr>
        <w:t xml:space="preserve">loitation sexuelle des enfants, </w:t>
      </w:r>
      <w:r w:rsidR="00F908FF">
        <w:rPr>
          <w:rFonts w:eastAsia="Calibri"/>
          <w:i/>
          <w:iCs/>
          <w:lang w:val="fr-FR"/>
        </w:rPr>
        <w:t xml:space="preserve"> le Protoc</w:t>
      </w:r>
      <w:r w:rsidR="00A26404">
        <w:rPr>
          <w:rFonts w:eastAsia="Calibri"/>
          <w:i/>
          <w:iCs/>
          <w:lang w:val="fr-FR"/>
        </w:rPr>
        <w:t xml:space="preserve">ole de Maputo , la Convention d’ABUJA sur la Traite des personnes de 2005 </w:t>
      </w:r>
      <w:r w:rsidR="00F908FF">
        <w:rPr>
          <w:rFonts w:eastAsia="Calibri"/>
          <w:i/>
          <w:iCs/>
          <w:lang w:val="fr-FR"/>
        </w:rPr>
        <w:t>pour renforcer la protection des enfants, des filles et des femmes face aux fléaux que sont l’exploitation sexuelle.</w:t>
      </w:r>
      <w:r w:rsidR="00A26404">
        <w:rPr>
          <w:rFonts w:eastAsia="Calibri"/>
          <w:i/>
          <w:iCs/>
          <w:lang w:val="fr-FR"/>
        </w:rPr>
        <w:t xml:space="preserve"> </w:t>
      </w:r>
    </w:p>
    <w:p w:rsidR="00A26404" w:rsidRDefault="00A26404" w:rsidP="00A26404">
      <w:pPr>
        <w:pStyle w:val="NormalWeb"/>
        <w:ind w:left="720" w:firstLine="720"/>
        <w:jc w:val="both"/>
        <w:rPr>
          <w:rFonts w:eastAsia="Calibri"/>
          <w:i/>
          <w:iCs/>
          <w:lang w:val="fr-FR"/>
        </w:rPr>
      </w:pPr>
      <w:r>
        <w:rPr>
          <w:i/>
          <w:iCs/>
          <w:lang w:val="fr-FR"/>
        </w:rPr>
        <w:t xml:space="preserve">Nous avons conclu des accords bilatéraux </w:t>
      </w:r>
      <w:r w:rsidR="003C1D49">
        <w:rPr>
          <w:i/>
          <w:iCs/>
          <w:lang w:val="fr-FR"/>
        </w:rPr>
        <w:t>(Accord</w:t>
      </w:r>
      <w:r>
        <w:rPr>
          <w:i/>
          <w:iCs/>
          <w:lang w:val="fr-FR"/>
        </w:rPr>
        <w:t xml:space="preserve"> Cote d’ivoire –Ghana) et multilatéraux (cote d’Ivoire, Ma</w:t>
      </w:r>
      <w:r w:rsidR="00125E6B">
        <w:rPr>
          <w:i/>
          <w:iCs/>
          <w:lang w:val="fr-FR"/>
        </w:rPr>
        <w:t>li, Bénin, Burkina Faso, Guinée</w:t>
      </w:r>
      <w:r>
        <w:rPr>
          <w:i/>
          <w:iCs/>
          <w:lang w:val="fr-FR"/>
        </w:rPr>
        <w:t>) de lutte contre la traite transfrontalière et l’exploitation des enfants.</w:t>
      </w:r>
    </w:p>
    <w:p w:rsidR="00221D5B" w:rsidRPr="00F32061" w:rsidRDefault="00221D5B" w:rsidP="0005782C">
      <w:pPr>
        <w:pStyle w:val="NormalWeb"/>
        <w:ind w:left="709"/>
        <w:jc w:val="both"/>
        <w:rPr>
          <w:i/>
          <w:iCs/>
          <w:lang w:val="fr-FR"/>
        </w:rPr>
      </w:pPr>
      <w:r w:rsidRPr="00F32061">
        <w:rPr>
          <w:rFonts w:eastAsia="Calibri"/>
          <w:i/>
          <w:iCs/>
          <w:lang w:val="fr-FR"/>
        </w:rPr>
        <w:t>Outre ces instruments juridiques internationaux notre dispositif comprend :</w:t>
      </w:r>
    </w:p>
    <w:p w:rsidR="0005782C" w:rsidRPr="00F32061" w:rsidRDefault="0005782C" w:rsidP="0005782C">
      <w:pPr>
        <w:pStyle w:val="Paragraphedeliste"/>
        <w:numPr>
          <w:ilvl w:val="0"/>
          <w:numId w:val="2"/>
        </w:numPr>
        <w:autoSpaceDE w:val="0"/>
        <w:autoSpaceDN w:val="0"/>
        <w:adjustRightInd w:val="0"/>
        <w:spacing w:after="0" w:line="276" w:lineRule="auto"/>
        <w:ind w:left="709" w:firstLine="142"/>
        <w:jc w:val="both"/>
        <w:rPr>
          <w:rFonts w:ascii="Times New Roman" w:eastAsia="Calibri" w:hAnsi="Times New Roman" w:cs="Times New Roman"/>
          <w:i/>
          <w:iCs/>
          <w:sz w:val="24"/>
          <w:szCs w:val="24"/>
          <w:lang w:val="fr-FR"/>
        </w:rPr>
      </w:pPr>
      <w:r w:rsidRPr="00125E6B">
        <w:rPr>
          <w:rFonts w:ascii="Times New Roman" w:eastAsia="Calibri" w:hAnsi="Times New Roman" w:cs="Times New Roman"/>
          <w:i/>
          <w:iCs/>
          <w:sz w:val="24"/>
          <w:szCs w:val="24"/>
          <w:u w:val="single"/>
          <w:lang w:val="fr-FR"/>
        </w:rPr>
        <w:t>LOI n° 2019-574</w:t>
      </w:r>
      <w:r w:rsidRPr="003C1D49">
        <w:rPr>
          <w:rFonts w:ascii="Times New Roman" w:eastAsia="Calibri" w:hAnsi="Times New Roman" w:cs="Times New Roman"/>
          <w:i/>
          <w:iCs/>
          <w:sz w:val="24"/>
          <w:szCs w:val="24"/>
          <w:u w:val="single"/>
          <w:lang w:val="fr-FR"/>
        </w:rPr>
        <w:t xml:space="preserve"> </w:t>
      </w:r>
      <w:r w:rsidR="00125E6B">
        <w:rPr>
          <w:rFonts w:ascii="Times New Roman" w:eastAsia="Calibri" w:hAnsi="Times New Roman" w:cs="Times New Roman"/>
          <w:i/>
          <w:iCs/>
          <w:sz w:val="24"/>
          <w:szCs w:val="24"/>
          <w:u w:val="single"/>
          <w:lang w:val="fr-FR"/>
        </w:rPr>
        <w:t xml:space="preserve">du 26 juin 2019 </w:t>
      </w:r>
      <w:r w:rsidRPr="003C1D49">
        <w:rPr>
          <w:rFonts w:ascii="Times New Roman" w:eastAsia="Calibri" w:hAnsi="Times New Roman" w:cs="Times New Roman"/>
          <w:i/>
          <w:iCs/>
          <w:sz w:val="24"/>
          <w:szCs w:val="24"/>
          <w:u w:val="single"/>
          <w:lang w:val="fr-FR"/>
        </w:rPr>
        <w:t>portant Code pénal.</w:t>
      </w:r>
    </w:p>
    <w:p w:rsidR="0005782C" w:rsidRPr="00F32061" w:rsidRDefault="0005782C" w:rsidP="0005782C">
      <w:pPr>
        <w:autoSpaceDE w:val="0"/>
        <w:autoSpaceDN w:val="0"/>
        <w:adjustRightInd w:val="0"/>
        <w:spacing w:after="0" w:line="276" w:lineRule="auto"/>
        <w:ind w:left="709" w:firstLine="142"/>
        <w:jc w:val="both"/>
        <w:rPr>
          <w:rFonts w:ascii="Times New Roman" w:eastAsia="Calibri" w:hAnsi="Times New Roman" w:cs="Times New Roman"/>
          <w:i/>
          <w:iCs/>
          <w:sz w:val="24"/>
          <w:szCs w:val="24"/>
          <w:lang w:val="fr-FR"/>
        </w:rPr>
      </w:pPr>
    </w:p>
    <w:p w:rsidR="0005782C" w:rsidRPr="00F32061" w:rsidRDefault="0005782C" w:rsidP="0005782C">
      <w:pPr>
        <w:autoSpaceDE w:val="0"/>
        <w:autoSpaceDN w:val="0"/>
        <w:adjustRightInd w:val="0"/>
        <w:spacing w:after="0" w:line="276" w:lineRule="auto"/>
        <w:ind w:left="709" w:firstLine="142"/>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 xml:space="preserve">Nous pouvons citer à titre d’exemple la Section 4 : Actes impudiques ou contre nature et pédophilie </w:t>
      </w:r>
    </w:p>
    <w:p w:rsidR="0005782C" w:rsidRPr="00F32061" w:rsidRDefault="0005782C" w:rsidP="0005782C">
      <w:pPr>
        <w:autoSpaceDE w:val="0"/>
        <w:autoSpaceDN w:val="0"/>
        <w:adjustRightInd w:val="0"/>
        <w:spacing w:after="0" w:line="276" w:lineRule="auto"/>
        <w:ind w:left="709" w:firstLine="142"/>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 xml:space="preserve">L’article 414. Stipule que « Constitue un acte de pédophilie, tout geste, attouchement, caresse, manipulation pornographique, utilisation d'images ou de sons par un procédé quelconque, à des fins sexuelles sur un mineur de quinze ans. </w:t>
      </w:r>
    </w:p>
    <w:p w:rsidR="0005782C" w:rsidRPr="00F32061" w:rsidRDefault="0005782C" w:rsidP="0005782C">
      <w:pPr>
        <w:autoSpaceDE w:val="0"/>
        <w:autoSpaceDN w:val="0"/>
        <w:adjustRightInd w:val="0"/>
        <w:spacing w:after="0" w:line="276" w:lineRule="auto"/>
        <w:ind w:left="709" w:firstLine="142"/>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Est puni d'un emprisonnement de deux à cinq ans et d'une amende de 200.000 à 2.000.000 de francs quiconque commet un acte de pédophilie. »</w:t>
      </w:r>
    </w:p>
    <w:p w:rsidR="0005782C" w:rsidRPr="00F32061" w:rsidRDefault="0005782C" w:rsidP="0005782C">
      <w:pPr>
        <w:autoSpaceDE w:val="0"/>
        <w:autoSpaceDN w:val="0"/>
        <w:adjustRightInd w:val="0"/>
        <w:spacing w:after="0" w:line="276" w:lineRule="auto"/>
        <w:ind w:left="709" w:firstLine="142"/>
        <w:jc w:val="both"/>
        <w:rPr>
          <w:rFonts w:ascii="Times New Roman" w:eastAsia="Calibri" w:hAnsi="Times New Roman" w:cs="Times New Roman"/>
          <w:i/>
          <w:iCs/>
          <w:sz w:val="24"/>
          <w:szCs w:val="24"/>
          <w:lang w:val="fr-FR"/>
        </w:rPr>
      </w:pPr>
    </w:p>
    <w:p w:rsidR="0005782C" w:rsidRPr="003C1D49" w:rsidRDefault="0005782C" w:rsidP="0005782C">
      <w:pPr>
        <w:pStyle w:val="Paragraphedeliste"/>
        <w:numPr>
          <w:ilvl w:val="0"/>
          <w:numId w:val="2"/>
        </w:numPr>
        <w:autoSpaceDE w:val="0"/>
        <w:autoSpaceDN w:val="0"/>
        <w:adjustRightInd w:val="0"/>
        <w:spacing w:after="0" w:line="276" w:lineRule="auto"/>
        <w:ind w:left="709" w:firstLine="142"/>
        <w:jc w:val="both"/>
        <w:rPr>
          <w:rFonts w:ascii="Times New Roman" w:eastAsia="Calibri" w:hAnsi="Times New Roman" w:cs="Times New Roman"/>
          <w:i/>
          <w:iCs/>
          <w:sz w:val="24"/>
          <w:szCs w:val="24"/>
          <w:u w:val="single"/>
          <w:lang w:val="fr-FR"/>
        </w:rPr>
      </w:pPr>
      <w:r w:rsidRPr="003C1D49">
        <w:rPr>
          <w:rFonts w:ascii="Times New Roman" w:eastAsia="Calibri" w:hAnsi="Times New Roman" w:cs="Times New Roman"/>
          <w:i/>
          <w:iCs/>
          <w:sz w:val="24"/>
          <w:szCs w:val="24"/>
          <w:u w:val="single"/>
          <w:lang w:val="fr-FR"/>
        </w:rPr>
        <w:t>LOI n° 2018-975 du 27 décembre 2018 portant Code de Procédure pénale.</w:t>
      </w:r>
    </w:p>
    <w:p w:rsidR="0005782C" w:rsidRPr="003C1D49" w:rsidRDefault="0005782C" w:rsidP="0005782C">
      <w:pPr>
        <w:autoSpaceDE w:val="0"/>
        <w:autoSpaceDN w:val="0"/>
        <w:adjustRightInd w:val="0"/>
        <w:spacing w:after="0" w:line="276" w:lineRule="auto"/>
        <w:ind w:left="709" w:firstLine="142"/>
        <w:jc w:val="both"/>
        <w:rPr>
          <w:rFonts w:ascii="Times New Roman" w:eastAsia="Calibri" w:hAnsi="Times New Roman" w:cs="Times New Roman"/>
          <w:i/>
          <w:iCs/>
          <w:sz w:val="24"/>
          <w:szCs w:val="24"/>
          <w:u w:val="single"/>
          <w:lang w:val="fr-FR"/>
        </w:rPr>
      </w:pPr>
    </w:p>
    <w:p w:rsidR="0005782C" w:rsidRPr="00F32061" w:rsidRDefault="0005782C" w:rsidP="0005782C">
      <w:pPr>
        <w:autoSpaceDE w:val="0"/>
        <w:autoSpaceDN w:val="0"/>
        <w:adjustRightInd w:val="0"/>
        <w:spacing w:after="0" w:line="276" w:lineRule="auto"/>
        <w:ind w:left="709" w:firstLine="142"/>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En son Art. 784stipule que « Lorsque la victime était mineure à la date des faits, elle reste recevable à engager la poursuite, soit par citation directe, soit par une plainte avec constitution de partie civile, pendant un délai de deux ans à compter de sa majorité, alors même que la prescription de l'action publique était acquise en application de l'article 12. »</w:t>
      </w:r>
    </w:p>
    <w:p w:rsidR="0005782C" w:rsidRPr="00F32061" w:rsidRDefault="0005782C" w:rsidP="0005782C">
      <w:pPr>
        <w:autoSpaceDE w:val="0"/>
        <w:autoSpaceDN w:val="0"/>
        <w:adjustRightInd w:val="0"/>
        <w:spacing w:after="0" w:line="276" w:lineRule="auto"/>
        <w:ind w:left="709" w:firstLine="142"/>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lastRenderedPageBreak/>
        <w:t>Elle donne donc la possibilité à l’enfant victime d’ester en justice après sa majorité tout ceci</w:t>
      </w:r>
      <w:r w:rsidR="00F908FF">
        <w:rPr>
          <w:rFonts w:ascii="Times New Roman" w:eastAsia="Calibri" w:hAnsi="Times New Roman" w:cs="Times New Roman"/>
          <w:i/>
          <w:iCs/>
          <w:sz w:val="24"/>
          <w:szCs w:val="24"/>
          <w:lang w:val="fr-FR"/>
        </w:rPr>
        <w:t xml:space="preserve"> afin d’éviter les transactions </w:t>
      </w:r>
      <w:r w:rsidRPr="00F32061">
        <w:rPr>
          <w:rFonts w:ascii="Times New Roman" w:eastAsia="Calibri" w:hAnsi="Times New Roman" w:cs="Times New Roman"/>
          <w:i/>
          <w:iCs/>
          <w:sz w:val="24"/>
          <w:szCs w:val="24"/>
          <w:lang w:val="fr-FR"/>
        </w:rPr>
        <w:t xml:space="preserve"> et autre</w:t>
      </w:r>
      <w:r w:rsidR="00F908FF">
        <w:rPr>
          <w:rFonts w:ascii="Times New Roman" w:eastAsia="Calibri" w:hAnsi="Times New Roman" w:cs="Times New Roman"/>
          <w:i/>
          <w:iCs/>
          <w:sz w:val="24"/>
          <w:szCs w:val="24"/>
          <w:lang w:val="fr-FR"/>
        </w:rPr>
        <w:t>s</w:t>
      </w:r>
      <w:r w:rsidRPr="00F32061">
        <w:rPr>
          <w:rFonts w:ascii="Times New Roman" w:eastAsia="Calibri" w:hAnsi="Times New Roman" w:cs="Times New Roman"/>
          <w:i/>
          <w:iCs/>
          <w:sz w:val="24"/>
          <w:szCs w:val="24"/>
          <w:lang w:val="fr-FR"/>
        </w:rPr>
        <w:t xml:space="preserve"> règlement</w:t>
      </w:r>
      <w:r w:rsidR="00F908FF">
        <w:rPr>
          <w:rFonts w:ascii="Times New Roman" w:eastAsia="Calibri" w:hAnsi="Times New Roman" w:cs="Times New Roman"/>
          <w:i/>
          <w:iCs/>
          <w:sz w:val="24"/>
          <w:szCs w:val="24"/>
          <w:lang w:val="fr-FR"/>
        </w:rPr>
        <w:t>s familiaux</w:t>
      </w:r>
      <w:r w:rsidRPr="00F32061">
        <w:rPr>
          <w:rFonts w:ascii="Times New Roman" w:eastAsia="Calibri" w:hAnsi="Times New Roman" w:cs="Times New Roman"/>
          <w:i/>
          <w:iCs/>
          <w:sz w:val="24"/>
          <w:szCs w:val="24"/>
          <w:lang w:val="fr-FR"/>
        </w:rPr>
        <w:t xml:space="preserve"> pouvant lui porter préjudice.</w:t>
      </w:r>
    </w:p>
    <w:p w:rsidR="0005782C" w:rsidRPr="00F32061" w:rsidRDefault="0005782C" w:rsidP="0005782C">
      <w:pPr>
        <w:autoSpaceDE w:val="0"/>
        <w:autoSpaceDN w:val="0"/>
        <w:adjustRightInd w:val="0"/>
        <w:spacing w:after="0" w:line="276" w:lineRule="auto"/>
        <w:ind w:left="709" w:firstLine="142"/>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Aussi l’Art. 785 indique que « Lorsqu’un mineur a été victime de violences ou d'agression à caractère sexuel constitutive d'une infraction, le procureur de la République peut, après avoir entendu ou appelé le titulaire de l'autorité parentale, demander au juge des tutelles de désigner un tuteur ad hoc qui sera particulièrement chargé de veiller aux intérêts du mineur dans le cadre de la procédure et pourra se constituer partie civile au nom de celui-ci. »</w:t>
      </w:r>
    </w:p>
    <w:p w:rsidR="0005782C" w:rsidRPr="00F32061" w:rsidRDefault="0005782C" w:rsidP="0005782C">
      <w:pPr>
        <w:autoSpaceDE w:val="0"/>
        <w:autoSpaceDN w:val="0"/>
        <w:adjustRightInd w:val="0"/>
        <w:spacing w:after="0" w:line="276" w:lineRule="auto"/>
        <w:ind w:left="709" w:firstLine="142"/>
        <w:jc w:val="both"/>
        <w:rPr>
          <w:rFonts w:ascii="Times New Roman" w:eastAsia="Calibri" w:hAnsi="Times New Roman" w:cs="Times New Roman"/>
          <w:i/>
          <w:iCs/>
          <w:sz w:val="24"/>
          <w:szCs w:val="24"/>
          <w:lang w:val="fr-FR"/>
        </w:rPr>
      </w:pPr>
    </w:p>
    <w:p w:rsidR="0005782C" w:rsidRPr="003C1D49" w:rsidRDefault="0005782C" w:rsidP="0005782C">
      <w:pPr>
        <w:pStyle w:val="Paragraphedeliste"/>
        <w:numPr>
          <w:ilvl w:val="0"/>
          <w:numId w:val="2"/>
        </w:numPr>
        <w:spacing w:line="276" w:lineRule="auto"/>
        <w:ind w:left="709" w:right="-10" w:firstLine="142"/>
        <w:jc w:val="both"/>
        <w:rPr>
          <w:rFonts w:ascii="Times New Roman" w:eastAsia="Calibri" w:hAnsi="Times New Roman" w:cs="Times New Roman"/>
          <w:i/>
          <w:iCs/>
          <w:sz w:val="24"/>
          <w:szCs w:val="24"/>
          <w:u w:val="single"/>
          <w:lang w:val="fr-FR"/>
        </w:rPr>
      </w:pPr>
      <w:r w:rsidRPr="003C1D49">
        <w:rPr>
          <w:rFonts w:ascii="Times New Roman" w:eastAsia="Calibri" w:hAnsi="Times New Roman" w:cs="Times New Roman"/>
          <w:i/>
          <w:iCs/>
          <w:sz w:val="24"/>
          <w:szCs w:val="24"/>
          <w:u w:val="single"/>
          <w:lang w:val="fr-FR"/>
        </w:rPr>
        <w:t>Loi 2010-272 du 30 septembre 2010 portant interdiction de la traite et des pires formes de travail des enfants.</w:t>
      </w:r>
    </w:p>
    <w:p w:rsidR="0005782C" w:rsidRPr="00F32061" w:rsidRDefault="0005782C" w:rsidP="0005782C">
      <w:pPr>
        <w:spacing w:line="276" w:lineRule="auto"/>
        <w:ind w:left="709" w:firstLine="142"/>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 xml:space="preserve"> Cette loi en son article 4 considère entre autres comme pires formes de travail des enfants « l’utilisation, le recrutement ou l’offre d’un enfant à des fins d’exploitation sexuelle, de production de matériels pornographiques ou de spectacles pornographiques »</w:t>
      </w:r>
    </w:p>
    <w:p w:rsidR="0005782C" w:rsidRPr="003C1D49" w:rsidRDefault="0005782C" w:rsidP="0005782C">
      <w:pPr>
        <w:pStyle w:val="Paragraphedeliste"/>
        <w:numPr>
          <w:ilvl w:val="0"/>
          <w:numId w:val="2"/>
        </w:numPr>
        <w:autoSpaceDE w:val="0"/>
        <w:autoSpaceDN w:val="0"/>
        <w:adjustRightInd w:val="0"/>
        <w:spacing w:after="0" w:line="276" w:lineRule="auto"/>
        <w:ind w:left="709" w:firstLine="142"/>
        <w:jc w:val="both"/>
        <w:rPr>
          <w:rFonts w:ascii="Times New Roman" w:eastAsia="Calibri" w:hAnsi="Times New Roman" w:cs="Times New Roman"/>
          <w:i/>
          <w:iCs/>
          <w:sz w:val="24"/>
          <w:szCs w:val="24"/>
          <w:u w:val="single"/>
          <w:lang w:val="fr-FR"/>
        </w:rPr>
      </w:pPr>
      <w:r w:rsidRPr="003C1D49">
        <w:rPr>
          <w:rFonts w:ascii="Times New Roman" w:eastAsia="Calibri" w:hAnsi="Times New Roman" w:cs="Times New Roman"/>
          <w:i/>
          <w:iCs/>
          <w:sz w:val="24"/>
          <w:szCs w:val="24"/>
          <w:u w:val="single"/>
          <w:lang w:val="fr-FR"/>
        </w:rPr>
        <w:t>LOI 2013-451 du 19 juin 2013 relative à la lutte contre la cybercriminalité.</w:t>
      </w:r>
    </w:p>
    <w:p w:rsidR="0005782C" w:rsidRPr="00F32061" w:rsidRDefault="0005782C" w:rsidP="0005782C">
      <w:pPr>
        <w:autoSpaceDE w:val="0"/>
        <w:autoSpaceDN w:val="0"/>
        <w:adjustRightInd w:val="0"/>
        <w:spacing w:after="0" w:line="276" w:lineRule="auto"/>
        <w:ind w:left="709" w:firstLine="142"/>
        <w:jc w:val="both"/>
        <w:rPr>
          <w:rFonts w:ascii="Times New Roman" w:eastAsia="Calibri" w:hAnsi="Times New Roman" w:cs="Times New Roman"/>
          <w:i/>
          <w:iCs/>
          <w:sz w:val="24"/>
          <w:szCs w:val="24"/>
          <w:lang w:val="fr-FR"/>
        </w:rPr>
      </w:pPr>
    </w:p>
    <w:p w:rsidR="0005782C" w:rsidRPr="00F32061" w:rsidRDefault="0005782C" w:rsidP="0005782C">
      <w:pPr>
        <w:spacing w:line="276" w:lineRule="auto"/>
        <w:ind w:left="709" w:firstLine="142"/>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 xml:space="preserve">Dans son chapitre concernant les infractions spécifiques aux technologies de l’information et de la communication cette loi dispose en ses articles 15, 16, 17 et 18 les différentes formes </w:t>
      </w:r>
      <w:r w:rsidR="003C1D49" w:rsidRPr="00F32061">
        <w:rPr>
          <w:rFonts w:ascii="Times New Roman" w:eastAsia="Calibri" w:hAnsi="Times New Roman" w:cs="Times New Roman"/>
          <w:i/>
          <w:iCs/>
          <w:sz w:val="24"/>
          <w:szCs w:val="24"/>
          <w:lang w:val="fr-FR"/>
        </w:rPr>
        <w:t>d’infractions liées</w:t>
      </w:r>
      <w:r w:rsidR="003C1D49">
        <w:rPr>
          <w:rFonts w:ascii="Times New Roman" w:eastAsia="Calibri" w:hAnsi="Times New Roman" w:cs="Times New Roman"/>
          <w:i/>
          <w:iCs/>
          <w:sz w:val="24"/>
          <w:szCs w:val="24"/>
          <w:lang w:val="fr-FR"/>
        </w:rPr>
        <w:t xml:space="preserve"> à la « pédopornographie », l</w:t>
      </w:r>
      <w:r w:rsidRPr="00F32061">
        <w:rPr>
          <w:rFonts w:ascii="Times New Roman" w:eastAsia="Calibri" w:hAnsi="Times New Roman" w:cs="Times New Roman"/>
          <w:i/>
          <w:iCs/>
          <w:sz w:val="24"/>
          <w:szCs w:val="24"/>
          <w:lang w:val="fr-FR"/>
        </w:rPr>
        <w:t>a production, l’enregistrement, l’offre, la mise à disposition, la diffusion, la transmission ou le fait de se procurer ou de procurer à autrui, importer ou exporter une représentation présentant un caractère de pornographie infantile par le biais d’un système d’information ou d’un moyen de stockage de données informatiques sont passibles de peines allant de deux (02) à cinq (05) ans et d’une amende 75 à 100 millions FCFA. L’infraction fait partie des plus sévèrement réprimées par la loi.</w:t>
      </w:r>
    </w:p>
    <w:p w:rsidR="0005782C" w:rsidRPr="00F32061" w:rsidRDefault="0005782C" w:rsidP="0005782C">
      <w:pPr>
        <w:spacing w:line="276" w:lineRule="auto"/>
        <w:ind w:left="709" w:firstLine="142"/>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Il existe également d’autres dispositions de la loi plus génériques permettent de réprimer les autres atteintes telles que les sextorsions, manipulation, abus en ligne, etc.)</w:t>
      </w:r>
    </w:p>
    <w:p w:rsidR="00DB5B83" w:rsidRPr="00F32061" w:rsidRDefault="00DB5B83" w:rsidP="00FD3257">
      <w:pPr>
        <w:spacing w:line="276" w:lineRule="auto"/>
        <w:ind w:left="709"/>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 xml:space="preserve">Cette loi encadre les flux financier </w:t>
      </w:r>
      <w:r w:rsidR="00FD3257" w:rsidRPr="00F32061">
        <w:rPr>
          <w:rFonts w:ascii="Times New Roman" w:eastAsia="Calibri" w:hAnsi="Times New Roman" w:cs="Times New Roman"/>
          <w:i/>
          <w:iCs/>
          <w:sz w:val="24"/>
          <w:szCs w:val="24"/>
          <w:lang w:val="fr-FR"/>
        </w:rPr>
        <w:t xml:space="preserve">et internet transnationaux, dans certaines conditions elle rend les personnes morales (fournisseur d’accès internet, établissement bancaire ou financier etc.) responsable des infractions en cas non-respect des interdictions. </w:t>
      </w:r>
    </w:p>
    <w:p w:rsidR="0005782C" w:rsidRPr="003C1D49" w:rsidRDefault="0005782C" w:rsidP="0005782C">
      <w:pPr>
        <w:pStyle w:val="Paragraphedeliste"/>
        <w:numPr>
          <w:ilvl w:val="0"/>
          <w:numId w:val="3"/>
        </w:numPr>
        <w:spacing w:line="276" w:lineRule="auto"/>
        <w:ind w:left="709" w:firstLine="142"/>
        <w:jc w:val="both"/>
        <w:rPr>
          <w:rFonts w:ascii="Times New Roman" w:eastAsia="Calibri" w:hAnsi="Times New Roman" w:cs="Times New Roman"/>
          <w:i/>
          <w:iCs/>
          <w:sz w:val="24"/>
          <w:szCs w:val="24"/>
          <w:u w:val="single"/>
          <w:lang w:val="fr-FR"/>
        </w:rPr>
      </w:pPr>
      <w:r w:rsidRPr="003C1D49">
        <w:rPr>
          <w:rFonts w:ascii="Times New Roman" w:eastAsia="Calibri" w:hAnsi="Times New Roman" w:cs="Times New Roman"/>
          <w:i/>
          <w:iCs/>
          <w:sz w:val="24"/>
          <w:szCs w:val="24"/>
          <w:u w:val="single"/>
          <w:lang w:val="fr-FR"/>
        </w:rPr>
        <w:t>LOI 2013-450 du 19 juin 2013 relative à la protection des données à caractère personnel.</w:t>
      </w:r>
    </w:p>
    <w:p w:rsidR="0005782C" w:rsidRPr="00F32061" w:rsidRDefault="0005782C" w:rsidP="0005782C">
      <w:pPr>
        <w:spacing w:line="276" w:lineRule="auto"/>
        <w:ind w:left="709" w:firstLine="142"/>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 xml:space="preserve">Cette loi a des dispositions protégeant les enfants contre la violation de leurs droits dans le domaine de la protection des données à caractère personnel. </w:t>
      </w:r>
    </w:p>
    <w:p w:rsidR="0005782C" w:rsidRPr="00125E6B" w:rsidRDefault="009865A4" w:rsidP="00125E6B">
      <w:pPr>
        <w:pStyle w:val="Paragraphedeliste"/>
        <w:numPr>
          <w:ilvl w:val="0"/>
          <w:numId w:val="3"/>
        </w:numPr>
        <w:spacing w:line="276" w:lineRule="auto"/>
        <w:jc w:val="both"/>
        <w:rPr>
          <w:rFonts w:ascii="Times New Roman" w:eastAsia="Calibri" w:hAnsi="Times New Roman" w:cs="Times New Roman"/>
          <w:i/>
          <w:iCs/>
          <w:sz w:val="24"/>
          <w:szCs w:val="24"/>
          <w:lang w:val="fr-FR"/>
        </w:rPr>
      </w:pPr>
      <w:r w:rsidRPr="00125E6B">
        <w:rPr>
          <w:rFonts w:ascii="Times New Roman" w:eastAsia="Calibri" w:hAnsi="Times New Roman" w:cs="Times New Roman"/>
          <w:i/>
          <w:iCs/>
          <w:sz w:val="24"/>
          <w:szCs w:val="24"/>
          <w:u w:val="single"/>
          <w:lang w:val="fr-FR"/>
        </w:rPr>
        <w:t>La loi No. 2014-139, adoptée le 24 mars 2014</w:t>
      </w:r>
      <w:r w:rsidR="00A26404" w:rsidRPr="00125E6B">
        <w:rPr>
          <w:rFonts w:ascii="Times New Roman" w:eastAsia="Calibri" w:hAnsi="Times New Roman" w:cs="Times New Roman"/>
          <w:i/>
          <w:iCs/>
          <w:sz w:val="24"/>
          <w:szCs w:val="24"/>
          <w:u w:val="single"/>
          <w:lang w:val="fr-FR"/>
        </w:rPr>
        <w:t xml:space="preserve"> relative au tourisme</w:t>
      </w:r>
      <w:r w:rsidRPr="00125E6B">
        <w:rPr>
          <w:rFonts w:ascii="Times New Roman" w:eastAsia="Calibri" w:hAnsi="Times New Roman" w:cs="Times New Roman"/>
          <w:i/>
          <w:iCs/>
          <w:sz w:val="24"/>
          <w:szCs w:val="24"/>
          <w:lang w:val="fr-FR"/>
        </w:rPr>
        <w:t xml:space="preserve"> exige du touriste d’éviter toute « exploitation des êtres humains », notamment sexuelle et spécialement </w:t>
      </w:r>
      <w:r w:rsidRPr="00125E6B">
        <w:rPr>
          <w:rFonts w:ascii="Times New Roman" w:eastAsia="Calibri" w:hAnsi="Times New Roman" w:cs="Times New Roman"/>
          <w:i/>
          <w:iCs/>
          <w:sz w:val="24"/>
          <w:szCs w:val="24"/>
          <w:lang w:val="fr-FR"/>
        </w:rPr>
        <w:lastRenderedPageBreak/>
        <w:t xml:space="preserve">lorsqu’elle s’applique aux enfants. Les opérateurs touristiques sont quant à eux tenus au respect des lois et règlements en vigueur. </w:t>
      </w:r>
    </w:p>
    <w:p w:rsidR="00A26404" w:rsidRPr="00F32061" w:rsidRDefault="00A26404" w:rsidP="00D53954">
      <w:pPr>
        <w:spacing w:line="276" w:lineRule="auto"/>
        <w:ind w:left="720" w:firstLine="720"/>
        <w:jc w:val="both"/>
        <w:rPr>
          <w:rFonts w:ascii="Times New Roman" w:eastAsia="Calibri" w:hAnsi="Times New Roman" w:cs="Times New Roman"/>
          <w:i/>
          <w:iCs/>
          <w:sz w:val="24"/>
          <w:szCs w:val="24"/>
          <w:lang w:val="fr-FR"/>
        </w:rPr>
      </w:pPr>
      <w:r>
        <w:rPr>
          <w:rFonts w:ascii="Times New Roman" w:eastAsia="Calibri" w:hAnsi="Times New Roman" w:cs="Times New Roman"/>
          <w:i/>
          <w:iCs/>
          <w:sz w:val="24"/>
          <w:szCs w:val="24"/>
          <w:lang w:val="fr-FR"/>
        </w:rPr>
        <w:t xml:space="preserve">Tous ces instruments nationaux adoptés en </w:t>
      </w:r>
      <w:r w:rsidR="00D53954">
        <w:rPr>
          <w:rFonts w:ascii="Times New Roman" w:eastAsia="Calibri" w:hAnsi="Times New Roman" w:cs="Times New Roman"/>
          <w:i/>
          <w:iCs/>
          <w:sz w:val="24"/>
          <w:szCs w:val="24"/>
          <w:lang w:val="fr-FR"/>
        </w:rPr>
        <w:t xml:space="preserve">général pour lutter contre les infractions aux personnes et </w:t>
      </w:r>
      <w:r w:rsidR="003C1D49">
        <w:rPr>
          <w:rFonts w:ascii="Times New Roman" w:eastAsia="Calibri" w:hAnsi="Times New Roman" w:cs="Times New Roman"/>
          <w:i/>
          <w:iCs/>
          <w:sz w:val="24"/>
          <w:szCs w:val="24"/>
          <w:lang w:val="fr-FR"/>
        </w:rPr>
        <w:t>aux biens</w:t>
      </w:r>
      <w:r w:rsidR="00D53954">
        <w:rPr>
          <w:rFonts w:ascii="Times New Roman" w:eastAsia="Calibri" w:hAnsi="Times New Roman" w:cs="Times New Roman"/>
          <w:i/>
          <w:iCs/>
          <w:sz w:val="24"/>
          <w:szCs w:val="24"/>
          <w:lang w:val="fr-FR"/>
        </w:rPr>
        <w:t xml:space="preserve"> et parfois en </w:t>
      </w:r>
      <w:r>
        <w:rPr>
          <w:rFonts w:ascii="Times New Roman" w:eastAsia="Calibri" w:hAnsi="Times New Roman" w:cs="Times New Roman"/>
          <w:i/>
          <w:iCs/>
          <w:sz w:val="24"/>
          <w:szCs w:val="24"/>
          <w:lang w:val="fr-FR"/>
        </w:rPr>
        <w:t xml:space="preserve">application des conventions </w:t>
      </w:r>
      <w:r w:rsidR="003C1D49">
        <w:rPr>
          <w:rFonts w:ascii="Times New Roman" w:eastAsia="Calibri" w:hAnsi="Times New Roman" w:cs="Times New Roman"/>
          <w:i/>
          <w:iCs/>
          <w:sz w:val="24"/>
          <w:szCs w:val="24"/>
          <w:lang w:val="fr-FR"/>
        </w:rPr>
        <w:t>internationales,</w:t>
      </w:r>
      <w:r>
        <w:rPr>
          <w:rFonts w:ascii="Times New Roman" w:eastAsia="Calibri" w:hAnsi="Times New Roman" w:cs="Times New Roman"/>
          <w:i/>
          <w:iCs/>
          <w:sz w:val="24"/>
          <w:szCs w:val="24"/>
          <w:lang w:val="fr-FR"/>
        </w:rPr>
        <w:t xml:space="preserve"> régionales et sous régionales ont des mécanismes qui permettent de lutter efficacement contre l’</w:t>
      </w:r>
      <w:r w:rsidR="00D53954">
        <w:rPr>
          <w:rFonts w:ascii="Times New Roman" w:eastAsia="Calibri" w:hAnsi="Times New Roman" w:cs="Times New Roman"/>
          <w:i/>
          <w:iCs/>
          <w:sz w:val="24"/>
          <w:szCs w:val="24"/>
          <w:lang w:val="fr-FR"/>
        </w:rPr>
        <w:t>exploitation économique et sexuelle des enfants, l’utilisation d’internet pour commettre des infractions  et le blanchiment d’argent.</w:t>
      </w:r>
    </w:p>
    <w:p w:rsidR="007270F2" w:rsidRPr="00F32061" w:rsidRDefault="007270F2" w:rsidP="007270F2">
      <w:pPr>
        <w:spacing w:after="0" w:line="240" w:lineRule="auto"/>
        <w:ind w:left="720"/>
        <w:contextualSpacing/>
        <w:jc w:val="both"/>
        <w:rPr>
          <w:rFonts w:ascii="Times New Roman" w:eastAsia="Calibri" w:hAnsi="Times New Roman" w:cs="Times New Roman"/>
          <w:b/>
          <w:bCs/>
          <w:sz w:val="24"/>
          <w:szCs w:val="24"/>
          <w:lang w:val="fr-FR"/>
        </w:rPr>
      </w:pPr>
      <w:r w:rsidRPr="00F32061">
        <w:rPr>
          <w:rStyle w:val="tlid-translation"/>
          <w:b/>
          <w:bCs/>
          <w:i/>
          <w:iCs/>
          <w:u w:val="single"/>
          <w:lang w:val="fr-FR"/>
        </w:rPr>
        <w:t>Stratégies nouvelles et innovantes pour prévenir et protéger efficacement les enfants de la vente et de l’exploitation sexuelle</w:t>
      </w:r>
      <w:r w:rsidRPr="00F32061">
        <w:rPr>
          <w:rStyle w:val="tlid-translation"/>
          <w:b/>
          <w:bCs/>
          <w:lang w:val="fr-FR"/>
        </w:rPr>
        <w:t xml:space="preserve"> : la réponse mondiale multipartite à ce phénomène complexe (États, INDH, décideurs nationaux et internationaux, mécanismes internationaux et régionaux de défense des droits de l’homme) est-elle adéquate ? OSC, secteur privé) ? Dans quelle mesure les systèmes et stratégies actuels permettent-ils de protéger efficacement les enfants ? Quels sont les défis mondiaux et nationaux actuels en matière de droits de l'homme et de protection dans le contexte de l'évolution de la situation mondiale ? Existe-t-il des mécanismes de plainte suffisamment accessibles pour les victimes et leurs représentants ?</w:t>
      </w:r>
    </w:p>
    <w:p w:rsidR="00FE389B" w:rsidRPr="00F32061" w:rsidRDefault="00FE389B" w:rsidP="00221D5B">
      <w:pPr>
        <w:tabs>
          <w:tab w:val="left" w:pos="960"/>
        </w:tabs>
        <w:spacing w:after="0" w:line="240" w:lineRule="auto"/>
        <w:ind w:firstLine="720"/>
        <w:contextualSpacing/>
        <w:jc w:val="both"/>
        <w:rPr>
          <w:rFonts w:ascii="Times New Roman" w:eastAsia="Calibri" w:hAnsi="Times New Roman" w:cs="Times New Roman"/>
          <w:sz w:val="24"/>
          <w:szCs w:val="24"/>
          <w:lang w:val="fr-FR"/>
        </w:rPr>
      </w:pPr>
    </w:p>
    <w:p w:rsidR="00137DFE" w:rsidRPr="00137DFE" w:rsidRDefault="00FD3257" w:rsidP="00221D5B">
      <w:pPr>
        <w:tabs>
          <w:tab w:val="left" w:pos="960"/>
        </w:tabs>
        <w:spacing w:after="0" w:line="240" w:lineRule="auto"/>
        <w:ind w:left="709" w:firstLine="11"/>
        <w:contextualSpacing/>
        <w:jc w:val="both"/>
        <w:rPr>
          <w:rFonts w:ascii="Times New Roman" w:eastAsia="Calibri" w:hAnsi="Times New Roman" w:cs="Times New Roman"/>
          <w:b/>
          <w:sz w:val="24"/>
          <w:szCs w:val="24"/>
          <w:lang w:val="fr-FR"/>
        </w:rPr>
      </w:pPr>
      <w:r w:rsidRPr="00137DFE">
        <w:rPr>
          <w:rFonts w:ascii="Times New Roman" w:eastAsia="Calibri" w:hAnsi="Times New Roman" w:cs="Times New Roman"/>
          <w:b/>
          <w:sz w:val="24"/>
          <w:szCs w:val="24"/>
          <w:lang w:val="fr-FR"/>
        </w:rPr>
        <w:tab/>
      </w:r>
      <w:r w:rsidR="00137DFE" w:rsidRPr="00137DFE">
        <w:rPr>
          <w:rFonts w:ascii="Times New Roman" w:eastAsia="Calibri" w:hAnsi="Times New Roman" w:cs="Times New Roman"/>
          <w:b/>
          <w:sz w:val="24"/>
          <w:szCs w:val="24"/>
          <w:lang w:val="fr-FR"/>
        </w:rPr>
        <w:t xml:space="preserve">Réponse </w:t>
      </w:r>
      <w:r w:rsidR="00F3627E" w:rsidRPr="00137DFE">
        <w:rPr>
          <w:rFonts w:ascii="Times New Roman" w:eastAsia="Calibri" w:hAnsi="Times New Roman" w:cs="Times New Roman"/>
          <w:b/>
          <w:sz w:val="24"/>
          <w:szCs w:val="24"/>
          <w:lang w:val="fr-FR"/>
        </w:rPr>
        <w:t>mondiale,</w:t>
      </w:r>
      <w:r w:rsidR="00D53954">
        <w:rPr>
          <w:rFonts w:ascii="Times New Roman" w:eastAsia="Calibri" w:hAnsi="Times New Roman" w:cs="Times New Roman"/>
          <w:b/>
          <w:sz w:val="24"/>
          <w:szCs w:val="24"/>
          <w:lang w:val="fr-FR"/>
        </w:rPr>
        <w:t xml:space="preserve"> régionale et nationale </w:t>
      </w:r>
      <w:r w:rsidR="00137DFE" w:rsidRPr="00137DFE">
        <w:rPr>
          <w:rFonts w:ascii="Times New Roman" w:eastAsia="Calibri" w:hAnsi="Times New Roman" w:cs="Times New Roman"/>
          <w:b/>
          <w:sz w:val="24"/>
          <w:szCs w:val="24"/>
          <w:lang w:val="fr-FR"/>
        </w:rPr>
        <w:t xml:space="preserve">et mécanismes régionaux et nationaux </w:t>
      </w:r>
    </w:p>
    <w:p w:rsidR="00137DFE" w:rsidRDefault="00137DFE" w:rsidP="00221D5B">
      <w:pPr>
        <w:tabs>
          <w:tab w:val="left" w:pos="960"/>
        </w:tabs>
        <w:spacing w:after="0" w:line="240" w:lineRule="auto"/>
        <w:ind w:left="709" w:firstLine="11"/>
        <w:contextualSpacing/>
        <w:jc w:val="both"/>
        <w:rPr>
          <w:rFonts w:ascii="Times New Roman" w:eastAsia="Calibri" w:hAnsi="Times New Roman" w:cs="Times New Roman"/>
          <w:sz w:val="24"/>
          <w:szCs w:val="24"/>
          <w:lang w:val="fr-FR"/>
        </w:rPr>
      </w:pPr>
    </w:p>
    <w:p w:rsidR="00221D5B" w:rsidRDefault="00137DFE" w:rsidP="00221D5B">
      <w:pPr>
        <w:tabs>
          <w:tab w:val="left" w:pos="960"/>
        </w:tabs>
        <w:spacing w:after="0" w:line="240" w:lineRule="auto"/>
        <w:ind w:left="709" w:firstLine="11"/>
        <w:contextualSpacing/>
        <w:jc w:val="both"/>
        <w:rPr>
          <w:rFonts w:ascii="Times New Roman" w:eastAsia="Calibri" w:hAnsi="Times New Roman" w:cs="Times New Roman"/>
          <w:i/>
          <w:iCs/>
          <w:sz w:val="24"/>
          <w:szCs w:val="24"/>
          <w:lang w:val="fr-FR"/>
        </w:rPr>
      </w:pPr>
      <w:r>
        <w:rPr>
          <w:rFonts w:ascii="Times New Roman" w:eastAsia="Calibri" w:hAnsi="Times New Roman" w:cs="Times New Roman"/>
          <w:i/>
          <w:iCs/>
          <w:sz w:val="24"/>
          <w:szCs w:val="24"/>
          <w:lang w:val="fr-FR"/>
        </w:rPr>
        <w:t>La Côte d’I</w:t>
      </w:r>
      <w:r w:rsidR="00221D5B" w:rsidRPr="00F32061">
        <w:rPr>
          <w:rFonts w:ascii="Times New Roman" w:eastAsia="Calibri" w:hAnsi="Times New Roman" w:cs="Times New Roman"/>
          <w:i/>
          <w:iCs/>
          <w:sz w:val="24"/>
          <w:szCs w:val="24"/>
          <w:lang w:val="fr-FR"/>
        </w:rPr>
        <w:t>voire dispose d’un BCN d’INTERPOL, l’Organisation Internationale pour les Migrations (OIM) a conclu un partenariat avec INTERPOL pour la lutte contre la traite des personnes.  La Côte d’Ivoire a aussi mené une série d’opérations policières dans le cadre de la lutte contre la traite transnationale.</w:t>
      </w:r>
    </w:p>
    <w:p w:rsidR="00137DFE" w:rsidRPr="00F32061" w:rsidRDefault="00137DFE" w:rsidP="00221D5B">
      <w:pPr>
        <w:tabs>
          <w:tab w:val="left" w:pos="960"/>
        </w:tabs>
        <w:spacing w:after="0" w:line="240" w:lineRule="auto"/>
        <w:ind w:left="709" w:firstLine="11"/>
        <w:contextualSpacing/>
        <w:jc w:val="both"/>
        <w:rPr>
          <w:rFonts w:ascii="Times New Roman" w:eastAsia="Calibri" w:hAnsi="Times New Roman" w:cs="Times New Roman"/>
          <w:i/>
          <w:iCs/>
          <w:sz w:val="24"/>
          <w:szCs w:val="24"/>
          <w:lang w:val="fr-FR"/>
        </w:rPr>
      </w:pPr>
    </w:p>
    <w:p w:rsidR="00E84091" w:rsidRPr="00F32061" w:rsidRDefault="00E84091" w:rsidP="00E84091">
      <w:pPr>
        <w:tabs>
          <w:tab w:val="left" w:pos="960"/>
        </w:tabs>
        <w:spacing w:after="0" w:line="240" w:lineRule="auto"/>
        <w:ind w:left="709" w:firstLine="11"/>
        <w:contextualSpacing/>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 xml:space="preserve">Dans ce cadre elle est signataire de l’accord multilatéral de coopération en matière de lutte contre la traite des enfants en Afrique de l’Ouest, ainsi que de l’accord multilatéral de coopération régionale de lutte contre la traite des personnes en particulier des femmes et des enfants en Afrique de l’Ouest et du Centre.  L’accord multilatéral de coopération régionale entre l’Afrique de l’ouest et centrale contient une clause d’entraide judiciaire en matière pénale ». </w:t>
      </w:r>
    </w:p>
    <w:p w:rsidR="00E84091" w:rsidRPr="00F32061" w:rsidRDefault="00FD3257" w:rsidP="00E84091">
      <w:pPr>
        <w:tabs>
          <w:tab w:val="left" w:pos="960"/>
        </w:tabs>
        <w:spacing w:after="0" w:line="240" w:lineRule="auto"/>
        <w:ind w:left="709" w:firstLine="11"/>
        <w:contextualSpacing/>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ab/>
      </w:r>
      <w:r w:rsidR="00E84091" w:rsidRPr="00F32061">
        <w:rPr>
          <w:rFonts w:ascii="Times New Roman" w:eastAsia="Calibri" w:hAnsi="Times New Roman" w:cs="Times New Roman"/>
          <w:i/>
          <w:iCs/>
          <w:sz w:val="24"/>
          <w:szCs w:val="24"/>
          <w:lang w:val="fr-FR"/>
        </w:rPr>
        <w:t xml:space="preserve">La Côte d’Ivoire a par ailleurs conclu une série d’accords bilatéraux contre la traite transfrontalière des enfants. Après le Mali en 2011, le Burkina Faso en 2013, la Côte d’Ivoire avait signé une déclaration conjointe avec le Ghana en 2016. </w:t>
      </w:r>
    </w:p>
    <w:p w:rsidR="00E84091" w:rsidRDefault="00E84091" w:rsidP="00E84091">
      <w:pPr>
        <w:tabs>
          <w:tab w:val="left" w:pos="960"/>
        </w:tabs>
        <w:spacing w:after="0" w:line="240" w:lineRule="auto"/>
        <w:ind w:left="709" w:firstLine="11"/>
        <w:contextualSpacing/>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 xml:space="preserve">Nous avons aussi signé un accord avec le Ghana en août 2016 portant création, organisation et fonctionnement de la Commission Permanente de Suivie de l’Accord de coopération en matière de lutte contre la traite transfrontalière des enfants. </w:t>
      </w:r>
    </w:p>
    <w:p w:rsidR="00137DFE" w:rsidRPr="00F32061" w:rsidRDefault="00137DFE" w:rsidP="00E84091">
      <w:pPr>
        <w:tabs>
          <w:tab w:val="left" w:pos="960"/>
        </w:tabs>
        <w:spacing w:after="0" w:line="240" w:lineRule="auto"/>
        <w:ind w:left="709" w:firstLine="11"/>
        <w:contextualSpacing/>
        <w:jc w:val="both"/>
        <w:rPr>
          <w:rFonts w:ascii="Times New Roman" w:eastAsia="Calibri" w:hAnsi="Times New Roman" w:cs="Times New Roman"/>
          <w:i/>
          <w:iCs/>
          <w:sz w:val="24"/>
          <w:szCs w:val="24"/>
          <w:lang w:val="fr-FR"/>
        </w:rPr>
      </w:pPr>
    </w:p>
    <w:p w:rsidR="00137DFE" w:rsidRDefault="00FD3257" w:rsidP="00E84091">
      <w:pPr>
        <w:tabs>
          <w:tab w:val="left" w:pos="960"/>
        </w:tabs>
        <w:spacing w:after="0" w:line="240" w:lineRule="auto"/>
        <w:ind w:left="709" w:firstLine="11"/>
        <w:contextualSpacing/>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ab/>
        <w:t xml:space="preserve">Plusieurs mécanismes et politique </w:t>
      </w:r>
      <w:r w:rsidR="005E3CC4" w:rsidRPr="00F32061">
        <w:rPr>
          <w:rFonts w:ascii="Times New Roman" w:eastAsia="Calibri" w:hAnsi="Times New Roman" w:cs="Times New Roman"/>
          <w:i/>
          <w:iCs/>
          <w:sz w:val="24"/>
          <w:szCs w:val="24"/>
          <w:lang w:val="fr-FR"/>
        </w:rPr>
        <w:t>à</w:t>
      </w:r>
      <w:r w:rsidRPr="00F32061">
        <w:rPr>
          <w:rFonts w:ascii="Times New Roman" w:eastAsia="Calibri" w:hAnsi="Times New Roman" w:cs="Times New Roman"/>
          <w:i/>
          <w:iCs/>
          <w:sz w:val="24"/>
          <w:szCs w:val="24"/>
          <w:lang w:val="fr-FR"/>
        </w:rPr>
        <w:t xml:space="preserve"> savoir la politique nationale de protection judicaire de l’enfance et de la jeunesse -PNPJEJ- (en cours d’adoption), la politique nationale de protection de l’enfant -PNPE- (en cours de révision) et la stratégie nationale de lutte contre les violences basées sur le genre -SNLVBG- concourent à la protection des enfants contre toute formes de violences dont la vente, la traite et l’exploitation sexuelle des enfants.</w:t>
      </w:r>
    </w:p>
    <w:p w:rsidR="00FD3257" w:rsidRPr="00F32061" w:rsidRDefault="00FD3257" w:rsidP="00E84091">
      <w:pPr>
        <w:tabs>
          <w:tab w:val="left" w:pos="960"/>
        </w:tabs>
        <w:spacing w:after="0" w:line="240" w:lineRule="auto"/>
        <w:ind w:left="709" w:firstLine="11"/>
        <w:contextualSpacing/>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 xml:space="preserve"> </w:t>
      </w:r>
    </w:p>
    <w:p w:rsidR="00221D5B" w:rsidRDefault="00FD3257" w:rsidP="00221D5B">
      <w:pPr>
        <w:tabs>
          <w:tab w:val="left" w:pos="960"/>
        </w:tabs>
        <w:spacing w:after="0" w:line="240" w:lineRule="auto"/>
        <w:ind w:left="709" w:firstLine="11"/>
        <w:contextualSpacing/>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ab/>
      </w:r>
      <w:r w:rsidR="00221D5B" w:rsidRPr="00F32061">
        <w:rPr>
          <w:rFonts w:ascii="Times New Roman" w:eastAsia="Calibri" w:hAnsi="Times New Roman" w:cs="Times New Roman"/>
          <w:i/>
          <w:iCs/>
          <w:sz w:val="24"/>
          <w:szCs w:val="24"/>
          <w:lang w:val="fr-FR"/>
        </w:rPr>
        <w:t>Concernan</w:t>
      </w:r>
      <w:r w:rsidR="00137DFE">
        <w:rPr>
          <w:rFonts w:ascii="Times New Roman" w:eastAsia="Calibri" w:hAnsi="Times New Roman" w:cs="Times New Roman"/>
          <w:i/>
          <w:iCs/>
          <w:sz w:val="24"/>
          <w:szCs w:val="24"/>
          <w:lang w:val="fr-FR"/>
        </w:rPr>
        <w:t>t le dispositif de plainte, la Cote d’I</w:t>
      </w:r>
      <w:r w:rsidR="00221D5B" w:rsidRPr="00F32061">
        <w:rPr>
          <w:rFonts w:ascii="Times New Roman" w:eastAsia="Calibri" w:hAnsi="Times New Roman" w:cs="Times New Roman"/>
          <w:i/>
          <w:iCs/>
          <w:sz w:val="24"/>
          <w:szCs w:val="24"/>
          <w:lang w:val="fr-FR"/>
        </w:rPr>
        <w:t>voire est dotée de plusieurs structures et mécanismes. Nous avons les commissariats de police, les brigades de gendarmeries disséminées sur l’ensemble du territoire nationale</w:t>
      </w:r>
      <w:r w:rsidR="00137DFE">
        <w:rPr>
          <w:rFonts w:ascii="Times New Roman" w:eastAsia="Calibri" w:hAnsi="Times New Roman" w:cs="Times New Roman"/>
          <w:i/>
          <w:iCs/>
          <w:sz w:val="24"/>
          <w:szCs w:val="24"/>
          <w:lang w:val="fr-FR"/>
        </w:rPr>
        <w:t xml:space="preserve"> et des bureaux genre ont été </w:t>
      </w:r>
      <w:proofErr w:type="spellStart"/>
      <w:r w:rsidR="00137DFE">
        <w:rPr>
          <w:rFonts w:ascii="Times New Roman" w:eastAsia="Calibri" w:hAnsi="Times New Roman" w:cs="Times New Roman"/>
          <w:i/>
          <w:iCs/>
          <w:sz w:val="24"/>
          <w:szCs w:val="24"/>
          <w:lang w:val="fr-FR"/>
        </w:rPr>
        <w:t>crée</w:t>
      </w:r>
      <w:proofErr w:type="spellEnd"/>
      <w:r w:rsidR="00137DFE">
        <w:rPr>
          <w:rFonts w:ascii="Times New Roman" w:eastAsia="Calibri" w:hAnsi="Times New Roman" w:cs="Times New Roman"/>
          <w:i/>
          <w:iCs/>
          <w:sz w:val="24"/>
          <w:szCs w:val="24"/>
          <w:lang w:val="fr-FR"/>
        </w:rPr>
        <w:t xml:space="preserve"> dans les commissariats pour faciliter le dépôt de plainte par les victimes de violences </w:t>
      </w:r>
      <w:r w:rsidR="00137DFE">
        <w:rPr>
          <w:rFonts w:ascii="Times New Roman" w:eastAsia="Calibri" w:hAnsi="Times New Roman" w:cs="Times New Roman"/>
          <w:i/>
          <w:iCs/>
          <w:sz w:val="24"/>
          <w:szCs w:val="24"/>
          <w:lang w:val="fr-FR"/>
        </w:rPr>
        <w:lastRenderedPageBreak/>
        <w:t>et d’exploitation sexuelle</w:t>
      </w:r>
      <w:r w:rsidR="00221D5B" w:rsidRPr="00F32061">
        <w:rPr>
          <w:rFonts w:ascii="Times New Roman" w:eastAsia="Calibri" w:hAnsi="Times New Roman" w:cs="Times New Roman"/>
          <w:i/>
          <w:iCs/>
          <w:sz w:val="24"/>
          <w:szCs w:val="24"/>
          <w:lang w:val="fr-FR"/>
        </w:rPr>
        <w:t xml:space="preserve">. </w:t>
      </w:r>
      <w:r w:rsidR="00E84091" w:rsidRPr="00F32061">
        <w:rPr>
          <w:rFonts w:ascii="Times New Roman" w:eastAsia="Calibri" w:hAnsi="Times New Roman" w:cs="Times New Roman"/>
          <w:i/>
          <w:iCs/>
          <w:sz w:val="24"/>
          <w:szCs w:val="24"/>
          <w:lang w:val="fr-FR"/>
        </w:rPr>
        <w:t xml:space="preserve">Les victimes peuvent aussi ester en justice dans les parquets près les tribunaux et par voie d’huissier. </w:t>
      </w:r>
    </w:p>
    <w:p w:rsidR="00680093" w:rsidRDefault="00680093" w:rsidP="00221D5B">
      <w:pPr>
        <w:tabs>
          <w:tab w:val="left" w:pos="960"/>
        </w:tabs>
        <w:spacing w:after="0" w:line="240" w:lineRule="auto"/>
        <w:ind w:left="709" w:firstLine="11"/>
        <w:contextualSpacing/>
        <w:jc w:val="both"/>
        <w:rPr>
          <w:rFonts w:ascii="Times New Roman" w:eastAsia="Calibri" w:hAnsi="Times New Roman" w:cs="Times New Roman"/>
          <w:i/>
          <w:iCs/>
          <w:sz w:val="24"/>
          <w:szCs w:val="24"/>
          <w:lang w:val="fr-FR"/>
        </w:rPr>
      </w:pPr>
    </w:p>
    <w:p w:rsidR="00221D5B" w:rsidRPr="00680093" w:rsidRDefault="00680093" w:rsidP="00221D5B">
      <w:pPr>
        <w:tabs>
          <w:tab w:val="left" w:pos="960"/>
        </w:tabs>
        <w:spacing w:after="0" w:line="240" w:lineRule="auto"/>
        <w:ind w:left="709" w:firstLine="11"/>
        <w:contextualSpacing/>
        <w:jc w:val="both"/>
        <w:rPr>
          <w:rFonts w:ascii="Times New Roman" w:eastAsia="Calibri" w:hAnsi="Times New Roman" w:cs="Times New Roman"/>
          <w:b/>
          <w:i/>
          <w:iCs/>
          <w:sz w:val="24"/>
          <w:szCs w:val="24"/>
          <w:lang w:val="fr-FR"/>
        </w:rPr>
      </w:pPr>
      <w:r w:rsidRPr="00680093">
        <w:rPr>
          <w:rFonts w:ascii="Times New Roman" w:eastAsia="Calibri" w:hAnsi="Times New Roman" w:cs="Times New Roman"/>
          <w:b/>
          <w:i/>
          <w:iCs/>
          <w:sz w:val="24"/>
          <w:szCs w:val="24"/>
          <w:lang w:val="fr-FR"/>
        </w:rPr>
        <w:t xml:space="preserve">Défis </w:t>
      </w:r>
    </w:p>
    <w:p w:rsidR="00680093" w:rsidRDefault="00680093" w:rsidP="00221D5B">
      <w:pPr>
        <w:tabs>
          <w:tab w:val="left" w:pos="960"/>
        </w:tabs>
        <w:spacing w:after="0" w:line="240" w:lineRule="auto"/>
        <w:ind w:left="709" w:firstLine="11"/>
        <w:contextualSpacing/>
        <w:jc w:val="both"/>
        <w:rPr>
          <w:rFonts w:ascii="Times New Roman" w:eastAsia="Calibri" w:hAnsi="Times New Roman" w:cs="Times New Roman"/>
          <w:i/>
          <w:iCs/>
          <w:sz w:val="24"/>
          <w:szCs w:val="24"/>
          <w:lang w:val="fr-FR"/>
        </w:rPr>
      </w:pPr>
      <w:r>
        <w:rPr>
          <w:rFonts w:ascii="Times New Roman" w:eastAsia="Calibri" w:hAnsi="Times New Roman" w:cs="Times New Roman"/>
          <w:i/>
          <w:iCs/>
          <w:sz w:val="24"/>
          <w:szCs w:val="24"/>
          <w:lang w:val="fr-FR"/>
        </w:rPr>
        <w:t xml:space="preserve">1-Méconnaissance des lois et des mécanismes disponibles </w:t>
      </w:r>
    </w:p>
    <w:p w:rsidR="00680093" w:rsidRDefault="00680093" w:rsidP="00221D5B">
      <w:pPr>
        <w:tabs>
          <w:tab w:val="left" w:pos="960"/>
        </w:tabs>
        <w:spacing w:after="0" w:line="240" w:lineRule="auto"/>
        <w:ind w:left="709" w:firstLine="11"/>
        <w:contextualSpacing/>
        <w:jc w:val="both"/>
        <w:rPr>
          <w:rFonts w:ascii="Times New Roman" w:eastAsia="Calibri" w:hAnsi="Times New Roman" w:cs="Times New Roman"/>
          <w:i/>
          <w:iCs/>
          <w:sz w:val="24"/>
          <w:szCs w:val="24"/>
          <w:lang w:val="fr-FR"/>
        </w:rPr>
      </w:pPr>
      <w:r>
        <w:rPr>
          <w:rFonts w:ascii="Times New Roman" w:eastAsia="Calibri" w:hAnsi="Times New Roman" w:cs="Times New Roman"/>
          <w:i/>
          <w:iCs/>
          <w:sz w:val="24"/>
          <w:szCs w:val="24"/>
          <w:lang w:val="fr-FR"/>
        </w:rPr>
        <w:t xml:space="preserve">2-Insuffisance de moyens des organes chargées de la répression </w:t>
      </w:r>
    </w:p>
    <w:p w:rsidR="00680093" w:rsidRDefault="00680093" w:rsidP="00221D5B">
      <w:pPr>
        <w:tabs>
          <w:tab w:val="left" w:pos="960"/>
        </w:tabs>
        <w:spacing w:after="0" w:line="240" w:lineRule="auto"/>
        <w:ind w:left="709" w:firstLine="11"/>
        <w:contextualSpacing/>
        <w:jc w:val="both"/>
        <w:rPr>
          <w:rFonts w:ascii="Times New Roman" w:eastAsia="Calibri" w:hAnsi="Times New Roman" w:cs="Times New Roman"/>
          <w:i/>
          <w:iCs/>
          <w:sz w:val="24"/>
          <w:szCs w:val="24"/>
          <w:lang w:val="fr-FR"/>
        </w:rPr>
      </w:pPr>
      <w:r>
        <w:rPr>
          <w:rFonts w:ascii="Times New Roman" w:eastAsia="Calibri" w:hAnsi="Times New Roman" w:cs="Times New Roman"/>
          <w:i/>
          <w:iCs/>
          <w:sz w:val="24"/>
          <w:szCs w:val="24"/>
          <w:lang w:val="fr-FR"/>
        </w:rPr>
        <w:t>3-Migration traditionnelle des pays frontaliers et libre circulation des personnes dans l’espace CEDEAO</w:t>
      </w:r>
    </w:p>
    <w:p w:rsidR="00680093" w:rsidRDefault="00680093" w:rsidP="00221D5B">
      <w:pPr>
        <w:tabs>
          <w:tab w:val="left" w:pos="960"/>
        </w:tabs>
        <w:spacing w:after="0" w:line="240" w:lineRule="auto"/>
        <w:ind w:left="709" w:firstLine="11"/>
        <w:contextualSpacing/>
        <w:jc w:val="both"/>
        <w:rPr>
          <w:rFonts w:ascii="Times New Roman" w:eastAsia="Calibri" w:hAnsi="Times New Roman" w:cs="Times New Roman"/>
          <w:i/>
          <w:iCs/>
          <w:sz w:val="24"/>
          <w:szCs w:val="24"/>
          <w:lang w:val="fr-FR"/>
        </w:rPr>
      </w:pPr>
      <w:r>
        <w:rPr>
          <w:rFonts w:ascii="Times New Roman" w:eastAsia="Calibri" w:hAnsi="Times New Roman" w:cs="Times New Roman"/>
          <w:i/>
          <w:iCs/>
          <w:sz w:val="24"/>
          <w:szCs w:val="24"/>
          <w:lang w:val="fr-FR"/>
        </w:rPr>
        <w:t>4-Développement d’Internet qui facilite les infractions sur le Net</w:t>
      </w:r>
    </w:p>
    <w:p w:rsidR="00680093" w:rsidRDefault="00680093" w:rsidP="00221D5B">
      <w:pPr>
        <w:tabs>
          <w:tab w:val="left" w:pos="960"/>
        </w:tabs>
        <w:spacing w:after="0" w:line="240" w:lineRule="auto"/>
        <w:ind w:left="709" w:firstLine="11"/>
        <w:contextualSpacing/>
        <w:jc w:val="both"/>
        <w:rPr>
          <w:rFonts w:ascii="Times New Roman" w:eastAsia="Calibri" w:hAnsi="Times New Roman" w:cs="Times New Roman"/>
          <w:i/>
          <w:iCs/>
          <w:sz w:val="24"/>
          <w:szCs w:val="24"/>
          <w:lang w:val="fr-FR"/>
        </w:rPr>
      </w:pPr>
      <w:r>
        <w:rPr>
          <w:rFonts w:ascii="Times New Roman" w:eastAsia="Calibri" w:hAnsi="Times New Roman" w:cs="Times New Roman"/>
          <w:i/>
          <w:iCs/>
          <w:sz w:val="24"/>
          <w:szCs w:val="24"/>
          <w:lang w:val="fr-FR"/>
        </w:rPr>
        <w:t>5-Recherche de profits et développement de la criminalité transfrontalière</w:t>
      </w:r>
    </w:p>
    <w:p w:rsidR="00125E6B" w:rsidRPr="000B7168" w:rsidRDefault="00125E6B" w:rsidP="007270F2">
      <w:pPr>
        <w:spacing w:after="0" w:line="240" w:lineRule="auto"/>
        <w:ind w:left="720"/>
        <w:contextualSpacing/>
        <w:jc w:val="both"/>
        <w:rPr>
          <w:rFonts w:ascii="Times New Roman" w:eastAsia="Calibri" w:hAnsi="Times New Roman" w:cs="Times New Roman"/>
          <w:i/>
          <w:sz w:val="24"/>
          <w:szCs w:val="24"/>
          <w:u w:val="single"/>
          <w:lang w:val="fr-FR"/>
        </w:rPr>
      </w:pPr>
    </w:p>
    <w:p w:rsidR="007270F2" w:rsidRPr="00F32061" w:rsidRDefault="007270F2" w:rsidP="007270F2">
      <w:pPr>
        <w:spacing w:after="0" w:line="240" w:lineRule="auto"/>
        <w:ind w:left="720"/>
        <w:contextualSpacing/>
        <w:jc w:val="both"/>
        <w:rPr>
          <w:rFonts w:ascii="Times New Roman" w:eastAsia="Calibri" w:hAnsi="Times New Roman" w:cs="Times New Roman"/>
          <w:b/>
          <w:bCs/>
          <w:sz w:val="24"/>
          <w:szCs w:val="24"/>
          <w:lang w:val="fr-FR"/>
        </w:rPr>
      </w:pPr>
      <w:r w:rsidRPr="00F32061">
        <w:rPr>
          <w:rStyle w:val="tlid-translation"/>
          <w:b/>
          <w:bCs/>
          <w:u w:val="single"/>
          <w:lang w:val="fr-FR"/>
        </w:rPr>
        <w:t>Données et suivi</w:t>
      </w:r>
      <w:r w:rsidRPr="00F32061">
        <w:rPr>
          <w:rStyle w:val="tlid-translation"/>
          <w:b/>
          <w:bCs/>
          <w:lang w:val="fr-FR"/>
        </w:rPr>
        <w:t xml:space="preserve"> : quelle est l'efficacité des outils et des systèmes de suivi actuels, y compris la collecte, l'analyse et la publication de données de routine, dans la prévention de la vente et de l'exploitation des enfants et la lutte contre ce phénomène ?</w:t>
      </w:r>
    </w:p>
    <w:p w:rsidR="00175017" w:rsidRPr="00F32061" w:rsidRDefault="00175017" w:rsidP="00E84091">
      <w:pPr>
        <w:tabs>
          <w:tab w:val="left" w:pos="960"/>
        </w:tabs>
        <w:spacing w:after="0" w:line="240" w:lineRule="auto"/>
        <w:ind w:left="709" w:firstLine="11"/>
        <w:contextualSpacing/>
        <w:jc w:val="both"/>
        <w:rPr>
          <w:lang w:val="fr-FR"/>
        </w:rPr>
      </w:pPr>
    </w:p>
    <w:p w:rsidR="00D53954" w:rsidRDefault="00D53954" w:rsidP="00E84091">
      <w:pPr>
        <w:tabs>
          <w:tab w:val="left" w:pos="960"/>
        </w:tabs>
        <w:spacing w:after="0" w:line="240" w:lineRule="auto"/>
        <w:ind w:left="709" w:firstLine="11"/>
        <w:contextualSpacing/>
        <w:jc w:val="both"/>
        <w:rPr>
          <w:rFonts w:ascii="Times New Roman" w:eastAsia="Calibri" w:hAnsi="Times New Roman" w:cs="Times New Roman"/>
          <w:i/>
          <w:iCs/>
          <w:sz w:val="24"/>
          <w:szCs w:val="24"/>
          <w:lang w:val="fr-FR"/>
        </w:rPr>
      </w:pPr>
      <w:r>
        <w:rPr>
          <w:rFonts w:ascii="Times New Roman" w:eastAsia="Calibri" w:hAnsi="Times New Roman" w:cs="Times New Roman"/>
          <w:i/>
          <w:iCs/>
          <w:sz w:val="24"/>
          <w:szCs w:val="24"/>
          <w:lang w:val="fr-FR"/>
        </w:rPr>
        <w:tab/>
        <w:t>Il existe des problèmes</w:t>
      </w:r>
      <w:r w:rsidR="00175017" w:rsidRPr="00F32061">
        <w:rPr>
          <w:rFonts w:ascii="Times New Roman" w:eastAsia="Calibri" w:hAnsi="Times New Roman" w:cs="Times New Roman"/>
          <w:i/>
          <w:iCs/>
          <w:sz w:val="24"/>
          <w:szCs w:val="24"/>
          <w:lang w:val="fr-FR"/>
        </w:rPr>
        <w:t xml:space="preserve"> de coordination entre les acteurs clés du sy</w:t>
      </w:r>
      <w:r>
        <w:rPr>
          <w:rFonts w:ascii="Times New Roman" w:eastAsia="Calibri" w:hAnsi="Times New Roman" w:cs="Times New Roman"/>
          <w:i/>
          <w:iCs/>
          <w:sz w:val="24"/>
          <w:szCs w:val="24"/>
          <w:lang w:val="fr-FR"/>
        </w:rPr>
        <w:t xml:space="preserve">stème de protection de l’enfant et de </w:t>
      </w:r>
      <w:r w:rsidR="00175017" w:rsidRPr="00F32061">
        <w:rPr>
          <w:rFonts w:ascii="Times New Roman" w:eastAsia="Calibri" w:hAnsi="Times New Roman" w:cs="Times New Roman"/>
          <w:i/>
          <w:iCs/>
          <w:sz w:val="24"/>
          <w:szCs w:val="24"/>
          <w:lang w:val="fr-FR"/>
        </w:rPr>
        <w:t xml:space="preserve">collecte des données de routine. </w:t>
      </w:r>
    </w:p>
    <w:p w:rsidR="00E84091" w:rsidRPr="00F32061" w:rsidRDefault="00D53954" w:rsidP="00E84091">
      <w:pPr>
        <w:tabs>
          <w:tab w:val="left" w:pos="960"/>
        </w:tabs>
        <w:spacing w:after="0" w:line="240" w:lineRule="auto"/>
        <w:ind w:left="709" w:firstLine="11"/>
        <w:contextualSpacing/>
        <w:jc w:val="both"/>
        <w:rPr>
          <w:rFonts w:ascii="Times New Roman" w:eastAsia="Calibri" w:hAnsi="Times New Roman" w:cs="Times New Roman"/>
          <w:i/>
          <w:iCs/>
          <w:sz w:val="24"/>
          <w:szCs w:val="24"/>
          <w:lang w:val="fr-FR"/>
        </w:rPr>
      </w:pPr>
      <w:r>
        <w:rPr>
          <w:rFonts w:ascii="Times New Roman" w:eastAsia="Calibri" w:hAnsi="Times New Roman" w:cs="Times New Roman"/>
          <w:i/>
          <w:iCs/>
          <w:sz w:val="24"/>
          <w:szCs w:val="24"/>
          <w:lang w:val="fr-FR"/>
        </w:rPr>
        <w:tab/>
      </w:r>
      <w:r w:rsidR="00F3627E">
        <w:rPr>
          <w:rFonts w:ascii="Times New Roman" w:eastAsia="Calibri" w:hAnsi="Times New Roman" w:cs="Times New Roman"/>
          <w:i/>
          <w:iCs/>
          <w:sz w:val="24"/>
          <w:szCs w:val="24"/>
          <w:lang w:val="fr-FR"/>
        </w:rPr>
        <w:t>Cependant l’E</w:t>
      </w:r>
      <w:r w:rsidR="00175017" w:rsidRPr="00F32061">
        <w:rPr>
          <w:rFonts w:ascii="Times New Roman" w:eastAsia="Calibri" w:hAnsi="Times New Roman" w:cs="Times New Roman"/>
          <w:i/>
          <w:iCs/>
          <w:sz w:val="24"/>
          <w:szCs w:val="24"/>
          <w:lang w:val="fr-FR"/>
        </w:rPr>
        <w:t xml:space="preserve">tat </w:t>
      </w:r>
      <w:r>
        <w:rPr>
          <w:rFonts w:ascii="Times New Roman" w:eastAsia="Calibri" w:hAnsi="Times New Roman" w:cs="Times New Roman"/>
          <w:i/>
          <w:iCs/>
          <w:sz w:val="24"/>
          <w:szCs w:val="24"/>
          <w:lang w:val="fr-FR"/>
        </w:rPr>
        <w:t xml:space="preserve">ivoirien </w:t>
      </w:r>
      <w:r w:rsidR="00175017" w:rsidRPr="00F32061">
        <w:rPr>
          <w:rFonts w:ascii="Times New Roman" w:eastAsia="Calibri" w:hAnsi="Times New Roman" w:cs="Times New Roman"/>
          <w:i/>
          <w:iCs/>
          <w:sz w:val="24"/>
          <w:szCs w:val="24"/>
          <w:lang w:val="fr-FR"/>
        </w:rPr>
        <w:t xml:space="preserve">a </w:t>
      </w:r>
      <w:r w:rsidR="00E84091" w:rsidRPr="00F32061">
        <w:rPr>
          <w:rFonts w:ascii="Times New Roman" w:eastAsia="Calibri" w:hAnsi="Times New Roman" w:cs="Times New Roman"/>
          <w:i/>
          <w:iCs/>
          <w:sz w:val="24"/>
          <w:szCs w:val="24"/>
          <w:lang w:val="fr-FR"/>
        </w:rPr>
        <w:t>signé un accord avec le Ghana en août 2016 portant création, organisation et fonctionnement de la Commission Permanente de Suivie de l’Accord de coopération en matière de lutte contre la traite transfrontalière des enfants</w:t>
      </w:r>
      <w:r w:rsidR="00175017" w:rsidRPr="00F32061">
        <w:rPr>
          <w:rFonts w:ascii="Times New Roman" w:eastAsia="Calibri" w:hAnsi="Times New Roman" w:cs="Times New Roman"/>
          <w:i/>
          <w:iCs/>
          <w:sz w:val="24"/>
          <w:szCs w:val="24"/>
          <w:lang w:val="fr-FR"/>
        </w:rPr>
        <w:t xml:space="preserve">. </w:t>
      </w:r>
    </w:p>
    <w:p w:rsidR="00175017" w:rsidRPr="00F32061" w:rsidRDefault="00175017" w:rsidP="00E84091">
      <w:pPr>
        <w:tabs>
          <w:tab w:val="left" w:pos="960"/>
        </w:tabs>
        <w:spacing w:after="0" w:line="240" w:lineRule="auto"/>
        <w:ind w:left="709" w:firstLine="11"/>
        <w:contextualSpacing/>
        <w:jc w:val="both"/>
        <w:rPr>
          <w:rFonts w:ascii="Times New Roman" w:eastAsia="Calibri" w:hAnsi="Times New Roman" w:cs="Times New Roman"/>
          <w:i/>
          <w:iCs/>
          <w:sz w:val="24"/>
          <w:szCs w:val="24"/>
          <w:lang w:val="fr-FR"/>
        </w:rPr>
      </w:pPr>
    </w:p>
    <w:p w:rsidR="00F3627E" w:rsidRDefault="00D53954" w:rsidP="00D53954">
      <w:pPr>
        <w:tabs>
          <w:tab w:val="left" w:pos="960"/>
        </w:tabs>
        <w:spacing w:after="0" w:line="240" w:lineRule="auto"/>
        <w:ind w:left="709"/>
        <w:contextualSpacing/>
        <w:jc w:val="both"/>
        <w:rPr>
          <w:rFonts w:ascii="Times New Roman" w:eastAsia="Calibri" w:hAnsi="Times New Roman" w:cs="Times New Roman"/>
          <w:i/>
          <w:iCs/>
          <w:sz w:val="24"/>
          <w:szCs w:val="24"/>
          <w:lang w:val="fr-FR"/>
        </w:rPr>
      </w:pPr>
      <w:r>
        <w:rPr>
          <w:rFonts w:ascii="Times New Roman" w:eastAsia="Calibri" w:hAnsi="Times New Roman" w:cs="Times New Roman"/>
          <w:i/>
          <w:iCs/>
          <w:sz w:val="24"/>
          <w:szCs w:val="24"/>
          <w:lang w:val="fr-FR"/>
        </w:rPr>
        <w:t xml:space="preserve">Par ailleurs, le </w:t>
      </w:r>
      <w:r w:rsidR="00175017" w:rsidRPr="00F32061">
        <w:rPr>
          <w:rFonts w:ascii="Times New Roman" w:eastAsia="Calibri" w:hAnsi="Times New Roman" w:cs="Times New Roman"/>
          <w:i/>
          <w:iCs/>
          <w:sz w:val="24"/>
          <w:szCs w:val="24"/>
          <w:lang w:val="fr-FR"/>
        </w:rPr>
        <w:t xml:space="preserve"> Comité National de Surveillances des actions de lutte contre la traite</w:t>
      </w:r>
      <w:r>
        <w:rPr>
          <w:rFonts w:ascii="Times New Roman" w:eastAsia="Calibri" w:hAnsi="Times New Roman" w:cs="Times New Roman"/>
          <w:i/>
          <w:iCs/>
          <w:sz w:val="24"/>
          <w:szCs w:val="24"/>
          <w:lang w:val="fr-FR"/>
        </w:rPr>
        <w:t xml:space="preserve"> et l’exploitation des enfants (CNS) présidée par la première Dame ,</w:t>
      </w:r>
      <w:r w:rsidR="00175017" w:rsidRPr="00F32061">
        <w:rPr>
          <w:rFonts w:ascii="Times New Roman" w:eastAsia="Calibri" w:hAnsi="Times New Roman" w:cs="Times New Roman"/>
          <w:i/>
          <w:iCs/>
          <w:sz w:val="24"/>
          <w:szCs w:val="24"/>
          <w:lang w:val="fr-FR"/>
        </w:rPr>
        <w:t xml:space="preserve"> mis en place en 2011, en même temps qu’un Comité interministériel chargé notamment de coordonner au niveau national les différents projets</w:t>
      </w:r>
      <w:r>
        <w:rPr>
          <w:rFonts w:ascii="Times New Roman" w:eastAsia="Calibri" w:hAnsi="Times New Roman" w:cs="Times New Roman"/>
          <w:i/>
          <w:iCs/>
          <w:sz w:val="24"/>
          <w:szCs w:val="24"/>
          <w:lang w:val="fr-FR"/>
        </w:rPr>
        <w:t xml:space="preserve"> multiplie</w:t>
      </w:r>
      <w:r w:rsidR="0087482C">
        <w:rPr>
          <w:rFonts w:ascii="Times New Roman" w:eastAsia="Calibri" w:hAnsi="Times New Roman" w:cs="Times New Roman"/>
          <w:i/>
          <w:iCs/>
          <w:sz w:val="24"/>
          <w:szCs w:val="24"/>
          <w:lang w:val="fr-FR"/>
        </w:rPr>
        <w:t>nt</w:t>
      </w:r>
      <w:r>
        <w:rPr>
          <w:rFonts w:ascii="Times New Roman" w:eastAsia="Calibri" w:hAnsi="Times New Roman" w:cs="Times New Roman"/>
          <w:i/>
          <w:iCs/>
          <w:sz w:val="24"/>
          <w:szCs w:val="24"/>
          <w:lang w:val="fr-FR"/>
        </w:rPr>
        <w:t xml:space="preserve"> les actions de sensibilisation, plaidoyer et protection des enfants victimes</w:t>
      </w:r>
      <w:r w:rsidR="00175017" w:rsidRPr="00F32061">
        <w:rPr>
          <w:rFonts w:ascii="Times New Roman" w:eastAsia="Calibri" w:hAnsi="Times New Roman" w:cs="Times New Roman"/>
          <w:i/>
          <w:iCs/>
          <w:sz w:val="24"/>
          <w:szCs w:val="24"/>
          <w:lang w:val="fr-FR"/>
        </w:rPr>
        <w:t xml:space="preserve">. </w:t>
      </w:r>
    </w:p>
    <w:p w:rsidR="00175017" w:rsidRPr="00F32061" w:rsidRDefault="00175017" w:rsidP="00D53954">
      <w:pPr>
        <w:tabs>
          <w:tab w:val="left" w:pos="960"/>
        </w:tabs>
        <w:spacing w:after="0" w:line="240" w:lineRule="auto"/>
        <w:ind w:left="709"/>
        <w:contextualSpacing/>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Ces deux comités ont ainsi notamment contribué à l’élaborati</w:t>
      </w:r>
      <w:r w:rsidR="0087482C">
        <w:rPr>
          <w:rFonts w:ascii="Times New Roman" w:eastAsia="Calibri" w:hAnsi="Times New Roman" w:cs="Times New Roman"/>
          <w:i/>
          <w:iCs/>
          <w:sz w:val="24"/>
          <w:szCs w:val="24"/>
          <w:lang w:val="fr-FR"/>
        </w:rPr>
        <w:t xml:space="preserve">on des plans d’action nationaux, au renforcement de capacités des acteurs de la répression et de la protection ; En </w:t>
      </w:r>
      <w:r w:rsidR="00F3627E">
        <w:rPr>
          <w:rFonts w:ascii="Times New Roman" w:eastAsia="Calibri" w:hAnsi="Times New Roman" w:cs="Times New Roman"/>
          <w:i/>
          <w:iCs/>
          <w:sz w:val="24"/>
          <w:szCs w:val="24"/>
          <w:lang w:val="fr-FR"/>
        </w:rPr>
        <w:t>2017,</w:t>
      </w:r>
      <w:r w:rsidR="0087482C">
        <w:rPr>
          <w:rFonts w:ascii="Times New Roman" w:eastAsia="Calibri" w:hAnsi="Times New Roman" w:cs="Times New Roman"/>
          <w:i/>
          <w:iCs/>
          <w:sz w:val="24"/>
          <w:szCs w:val="24"/>
          <w:lang w:val="fr-FR"/>
        </w:rPr>
        <w:t xml:space="preserve"> le CNS a organisé une rencontre sous régionale des premières dames d’Afrique sur la traite et l’exploitation des enfants.</w:t>
      </w:r>
    </w:p>
    <w:p w:rsidR="00360137" w:rsidRPr="00F32061" w:rsidRDefault="00360137" w:rsidP="00360137">
      <w:pPr>
        <w:spacing w:line="240" w:lineRule="auto"/>
        <w:ind w:left="360"/>
        <w:jc w:val="both"/>
        <w:rPr>
          <w:rFonts w:ascii="Times New Roman" w:eastAsia="Calibri" w:hAnsi="Times New Roman" w:cs="Times New Roman"/>
          <w:sz w:val="24"/>
          <w:szCs w:val="24"/>
          <w:lang w:val="fr-FR"/>
        </w:rPr>
      </w:pPr>
    </w:p>
    <w:p w:rsidR="00A339E2" w:rsidRDefault="00A339E2" w:rsidP="00A339E2">
      <w:pPr>
        <w:spacing w:after="0" w:line="240" w:lineRule="auto"/>
        <w:ind w:left="720"/>
        <w:contextualSpacing/>
        <w:jc w:val="both"/>
        <w:rPr>
          <w:rStyle w:val="tlid-translation"/>
          <w:b/>
          <w:bCs/>
          <w:lang w:val="fr-FR"/>
        </w:rPr>
      </w:pPr>
      <w:r w:rsidRPr="00F32061">
        <w:rPr>
          <w:rStyle w:val="tlid-translation"/>
          <w:b/>
          <w:bCs/>
          <w:u w:val="single"/>
          <w:lang w:val="fr-FR"/>
        </w:rPr>
        <w:t>Responsabilité institutionnelle</w:t>
      </w:r>
      <w:r w:rsidRPr="00F32061">
        <w:rPr>
          <w:rStyle w:val="tlid-translation"/>
          <w:b/>
          <w:bCs/>
          <w:lang w:val="fr-FR"/>
        </w:rPr>
        <w:t xml:space="preserve"> : Dans quelle mesure la responsabilité et la responsabilité de chacun des acteurs concernés sont-elles mises en œuvre et respectées (y compris les sociétés du secteur des technologies, des voyages et du tourisme et autres) ?</w:t>
      </w:r>
    </w:p>
    <w:p w:rsidR="007C11A5" w:rsidRDefault="007C11A5" w:rsidP="00A339E2">
      <w:pPr>
        <w:spacing w:after="0" w:line="240" w:lineRule="auto"/>
        <w:ind w:left="720"/>
        <w:contextualSpacing/>
        <w:jc w:val="both"/>
        <w:rPr>
          <w:rStyle w:val="tlid-translation"/>
          <w:b/>
          <w:bCs/>
          <w:lang w:val="fr-FR"/>
        </w:rPr>
      </w:pPr>
    </w:p>
    <w:p w:rsidR="007C11A5" w:rsidRPr="00D15CE6" w:rsidRDefault="007C11A5" w:rsidP="00D15CE6">
      <w:pPr>
        <w:spacing w:after="0" w:line="240" w:lineRule="auto"/>
        <w:ind w:left="720" w:firstLine="720"/>
        <w:contextualSpacing/>
        <w:jc w:val="both"/>
        <w:rPr>
          <w:rStyle w:val="tlid-translation"/>
          <w:bCs/>
          <w:lang w:val="fr-FR"/>
        </w:rPr>
      </w:pPr>
      <w:r w:rsidRPr="00D15CE6">
        <w:rPr>
          <w:rStyle w:val="tlid-translation"/>
          <w:bCs/>
          <w:lang w:val="fr-FR"/>
        </w:rPr>
        <w:t>Le cadre juridique a été renforcé par l’adoption de lois et des mécanismes ont été créés pour assurer la protection des victimes et la répression des criminels </w:t>
      </w:r>
      <w:r w:rsidR="0087482C" w:rsidRPr="00D15CE6">
        <w:rPr>
          <w:rStyle w:val="tlid-translation"/>
          <w:bCs/>
          <w:lang w:val="fr-FR"/>
        </w:rPr>
        <w:t>qu’ils soient des acteurs étatiques , de la société civile</w:t>
      </w:r>
      <w:r w:rsidR="00D15CE6" w:rsidRPr="00D15CE6">
        <w:rPr>
          <w:rStyle w:val="tlid-translation"/>
          <w:bCs/>
          <w:lang w:val="fr-FR"/>
        </w:rPr>
        <w:t xml:space="preserve">, des personnes morales de droit public ou privée  banque et établissement financiers, fournisseurs d’accès internet </w:t>
      </w:r>
      <w:proofErr w:type="spellStart"/>
      <w:r w:rsidR="00D15CE6" w:rsidRPr="00D15CE6">
        <w:rPr>
          <w:rStyle w:val="tlid-translation"/>
          <w:bCs/>
          <w:lang w:val="fr-FR"/>
        </w:rPr>
        <w:t>etc</w:t>
      </w:r>
      <w:proofErr w:type="spellEnd"/>
      <w:r w:rsidR="00D15CE6" w:rsidRPr="00D15CE6">
        <w:rPr>
          <w:rStyle w:val="tlid-translation"/>
          <w:bCs/>
          <w:lang w:val="fr-FR"/>
        </w:rPr>
        <w:t xml:space="preserve">  ou des simples particuliers</w:t>
      </w:r>
      <w:r w:rsidRPr="00D15CE6">
        <w:rPr>
          <w:rStyle w:val="tlid-translation"/>
          <w:bCs/>
          <w:lang w:val="fr-FR"/>
        </w:rPr>
        <w:t>:</w:t>
      </w:r>
    </w:p>
    <w:p w:rsidR="001E020C" w:rsidRPr="00F32061" w:rsidRDefault="001E020C" w:rsidP="00A339E2">
      <w:pPr>
        <w:spacing w:after="0" w:line="240" w:lineRule="auto"/>
        <w:ind w:left="720"/>
        <w:contextualSpacing/>
        <w:jc w:val="both"/>
        <w:rPr>
          <w:rStyle w:val="tlid-translation"/>
          <w:lang w:val="fr-FR"/>
        </w:rPr>
      </w:pPr>
    </w:p>
    <w:p w:rsidR="001E020C" w:rsidRPr="00125E6B" w:rsidRDefault="001E020C" w:rsidP="00125E6B">
      <w:pPr>
        <w:pStyle w:val="Paragraphedeliste"/>
        <w:numPr>
          <w:ilvl w:val="0"/>
          <w:numId w:val="3"/>
        </w:numPr>
        <w:spacing w:after="0" w:line="240" w:lineRule="auto"/>
        <w:jc w:val="both"/>
        <w:rPr>
          <w:rFonts w:ascii="Times New Roman" w:eastAsia="Calibri" w:hAnsi="Times New Roman" w:cs="Times New Roman"/>
          <w:i/>
          <w:iCs/>
          <w:sz w:val="24"/>
          <w:szCs w:val="24"/>
          <w:lang w:val="fr-FR"/>
        </w:rPr>
      </w:pPr>
      <w:r w:rsidRPr="00125E6B">
        <w:rPr>
          <w:rFonts w:ascii="Times New Roman" w:eastAsia="Calibri" w:hAnsi="Times New Roman" w:cs="Times New Roman"/>
          <w:i/>
          <w:iCs/>
          <w:sz w:val="24"/>
          <w:szCs w:val="24"/>
          <w:u w:val="single"/>
          <w:lang w:val="fr-FR"/>
        </w:rPr>
        <w:t>La</w:t>
      </w:r>
      <w:r w:rsidR="007C11A5" w:rsidRPr="00125E6B">
        <w:rPr>
          <w:rFonts w:ascii="Times New Roman" w:eastAsia="Calibri" w:hAnsi="Times New Roman" w:cs="Times New Roman"/>
          <w:i/>
          <w:iCs/>
          <w:sz w:val="24"/>
          <w:szCs w:val="24"/>
          <w:u w:val="single"/>
          <w:lang w:val="fr-FR"/>
        </w:rPr>
        <w:t xml:space="preserve"> </w:t>
      </w:r>
      <w:r w:rsidRPr="00125E6B">
        <w:rPr>
          <w:rFonts w:ascii="Times New Roman" w:eastAsia="Calibri" w:hAnsi="Times New Roman" w:cs="Times New Roman"/>
          <w:i/>
          <w:iCs/>
          <w:sz w:val="24"/>
          <w:szCs w:val="24"/>
          <w:u w:val="single"/>
          <w:lang w:val="fr-FR"/>
        </w:rPr>
        <w:t>loi 2013</w:t>
      </w:r>
      <w:r w:rsidR="00DB5B83" w:rsidRPr="00125E6B">
        <w:rPr>
          <w:rFonts w:ascii="Times New Roman" w:eastAsia="Calibri" w:hAnsi="Times New Roman" w:cs="Times New Roman"/>
          <w:i/>
          <w:iCs/>
          <w:sz w:val="24"/>
          <w:szCs w:val="24"/>
          <w:u w:val="single"/>
          <w:lang w:val="fr-FR"/>
        </w:rPr>
        <w:t>-451 du 19 juin 2013 relative à la lutte contre la cybercriminalité</w:t>
      </w:r>
      <w:r w:rsidR="005E3CC4" w:rsidRPr="00125E6B">
        <w:rPr>
          <w:rFonts w:ascii="Times New Roman" w:eastAsia="Calibri" w:hAnsi="Times New Roman" w:cs="Times New Roman"/>
          <w:i/>
          <w:iCs/>
          <w:sz w:val="24"/>
          <w:szCs w:val="24"/>
          <w:lang w:val="fr-FR"/>
        </w:rPr>
        <w:t xml:space="preserve"> rend les personnes morales (fournisseur d’accès internet, établissement bancaire ou financier etc.) responsable des infractions en cas non-respect des interdictions</w:t>
      </w:r>
      <w:r w:rsidRPr="00125E6B">
        <w:rPr>
          <w:rFonts w:ascii="Times New Roman" w:eastAsia="Calibri" w:hAnsi="Times New Roman" w:cs="Times New Roman"/>
          <w:i/>
          <w:iCs/>
          <w:sz w:val="24"/>
          <w:szCs w:val="24"/>
          <w:lang w:val="fr-FR"/>
        </w:rPr>
        <w:t xml:space="preserve"> liés à la protection des données personnelles, aux flux financier et internet transnationaux</w:t>
      </w:r>
      <w:r w:rsidR="005E3CC4" w:rsidRPr="00125E6B">
        <w:rPr>
          <w:rFonts w:ascii="Times New Roman" w:eastAsia="Calibri" w:hAnsi="Times New Roman" w:cs="Times New Roman"/>
          <w:i/>
          <w:iCs/>
          <w:sz w:val="24"/>
          <w:szCs w:val="24"/>
          <w:lang w:val="fr-FR"/>
        </w:rPr>
        <w:t xml:space="preserve">. </w:t>
      </w:r>
    </w:p>
    <w:p w:rsidR="007C11A5" w:rsidRPr="00F32061" w:rsidRDefault="007C11A5" w:rsidP="00A339E2">
      <w:pPr>
        <w:spacing w:after="0" w:line="240" w:lineRule="auto"/>
        <w:ind w:left="720"/>
        <w:contextualSpacing/>
        <w:jc w:val="both"/>
        <w:rPr>
          <w:rFonts w:ascii="Times New Roman" w:eastAsia="Calibri" w:hAnsi="Times New Roman" w:cs="Times New Roman"/>
          <w:i/>
          <w:iCs/>
          <w:sz w:val="24"/>
          <w:szCs w:val="24"/>
          <w:lang w:val="fr-FR"/>
        </w:rPr>
      </w:pPr>
    </w:p>
    <w:p w:rsidR="007C11A5" w:rsidRPr="00E231ED" w:rsidRDefault="005E3CC4" w:rsidP="00E231ED">
      <w:pPr>
        <w:pStyle w:val="Paragraphedeliste"/>
        <w:numPr>
          <w:ilvl w:val="0"/>
          <w:numId w:val="3"/>
        </w:numPr>
        <w:spacing w:after="0" w:line="240" w:lineRule="auto"/>
        <w:jc w:val="both"/>
        <w:rPr>
          <w:rFonts w:ascii="Times New Roman" w:eastAsia="Calibri" w:hAnsi="Times New Roman" w:cs="Times New Roman"/>
          <w:i/>
          <w:iCs/>
          <w:sz w:val="24"/>
          <w:szCs w:val="24"/>
          <w:lang w:val="fr-FR"/>
        </w:rPr>
      </w:pPr>
      <w:r w:rsidRPr="00125E6B">
        <w:rPr>
          <w:rFonts w:ascii="Times New Roman" w:eastAsia="Calibri" w:hAnsi="Times New Roman" w:cs="Times New Roman"/>
          <w:i/>
          <w:iCs/>
          <w:sz w:val="24"/>
          <w:szCs w:val="24"/>
          <w:u w:val="single"/>
          <w:lang w:val="fr-FR"/>
        </w:rPr>
        <w:t xml:space="preserve">La loi </w:t>
      </w:r>
      <w:r w:rsidR="00636393" w:rsidRPr="00125E6B">
        <w:rPr>
          <w:rFonts w:ascii="Times New Roman" w:eastAsia="Calibri" w:hAnsi="Times New Roman" w:cs="Times New Roman"/>
          <w:i/>
          <w:iCs/>
          <w:sz w:val="24"/>
          <w:szCs w:val="24"/>
          <w:u w:val="single"/>
          <w:lang w:val="fr-FR"/>
        </w:rPr>
        <w:t>No. 2014-139 du 23 mars 2014 portant code du tourisme</w:t>
      </w:r>
      <w:r w:rsidR="00636393" w:rsidRPr="00125E6B">
        <w:rPr>
          <w:rFonts w:ascii="Times New Roman" w:eastAsia="Calibri" w:hAnsi="Times New Roman" w:cs="Times New Roman"/>
          <w:i/>
          <w:iCs/>
          <w:sz w:val="24"/>
          <w:szCs w:val="24"/>
          <w:lang w:val="fr-FR"/>
        </w:rPr>
        <w:t xml:space="preserve"> en son article 54 stipule que « le touriste est tenu d’</w:t>
      </w:r>
      <w:r w:rsidR="001E020C" w:rsidRPr="00125E6B">
        <w:rPr>
          <w:rFonts w:ascii="Times New Roman" w:eastAsia="Calibri" w:hAnsi="Times New Roman" w:cs="Times New Roman"/>
          <w:i/>
          <w:iCs/>
          <w:sz w:val="24"/>
          <w:szCs w:val="24"/>
          <w:lang w:val="fr-FR"/>
        </w:rPr>
        <w:t>éviter</w:t>
      </w:r>
      <w:r w:rsidR="00636393" w:rsidRPr="00125E6B">
        <w:rPr>
          <w:rFonts w:ascii="Times New Roman" w:eastAsia="Calibri" w:hAnsi="Times New Roman" w:cs="Times New Roman"/>
          <w:i/>
          <w:iCs/>
          <w:sz w:val="24"/>
          <w:szCs w:val="24"/>
          <w:lang w:val="fr-FR"/>
        </w:rPr>
        <w:t xml:space="preserve"> l’exploitation des </w:t>
      </w:r>
      <w:r w:rsidR="001E020C" w:rsidRPr="00125E6B">
        <w:rPr>
          <w:rFonts w:ascii="Times New Roman" w:eastAsia="Calibri" w:hAnsi="Times New Roman" w:cs="Times New Roman"/>
          <w:i/>
          <w:iCs/>
          <w:sz w:val="24"/>
          <w:szCs w:val="24"/>
          <w:lang w:val="fr-FR"/>
        </w:rPr>
        <w:t>êtres</w:t>
      </w:r>
      <w:r w:rsidR="007C11A5" w:rsidRPr="00125E6B">
        <w:rPr>
          <w:rFonts w:ascii="Times New Roman" w:eastAsia="Calibri" w:hAnsi="Times New Roman" w:cs="Times New Roman"/>
          <w:i/>
          <w:iCs/>
          <w:sz w:val="24"/>
          <w:szCs w:val="24"/>
          <w:lang w:val="fr-FR"/>
        </w:rPr>
        <w:t xml:space="preserve"> </w:t>
      </w:r>
      <w:r w:rsidR="001E020C" w:rsidRPr="00125E6B">
        <w:rPr>
          <w:rFonts w:ascii="Times New Roman" w:eastAsia="Calibri" w:hAnsi="Times New Roman" w:cs="Times New Roman"/>
          <w:i/>
          <w:iCs/>
          <w:sz w:val="24"/>
          <w:szCs w:val="24"/>
          <w:lang w:val="fr-FR"/>
        </w:rPr>
        <w:t xml:space="preserve">humains, sous toute forme notamment Sexuelle spécifiquement lorsqu’elle s’applique aux enfants » cependant cette loi n’engage la responsabilité pénale des établissements et service touristique. </w:t>
      </w:r>
    </w:p>
    <w:p w:rsidR="00D15CE6" w:rsidRDefault="001E020C" w:rsidP="007C11A5">
      <w:pPr>
        <w:spacing w:after="0" w:line="240" w:lineRule="auto"/>
        <w:ind w:left="720" w:firstLine="720"/>
        <w:contextualSpacing/>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lastRenderedPageBreak/>
        <w:t xml:space="preserve">L’article 93 </w:t>
      </w:r>
      <w:r w:rsidR="00F32061" w:rsidRPr="00F32061">
        <w:rPr>
          <w:rFonts w:ascii="Times New Roman" w:eastAsia="Calibri" w:hAnsi="Times New Roman" w:cs="Times New Roman"/>
          <w:i/>
          <w:iCs/>
          <w:sz w:val="24"/>
          <w:szCs w:val="24"/>
          <w:lang w:val="fr-FR"/>
        </w:rPr>
        <w:t>du code pénal</w:t>
      </w:r>
      <w:r w:rsidRPr="00F32061">
        <w:rPr>
          <w:rFonts w:ascii="Times New Roman" w:eastAsia="Calibri" w:hAnsi="Times New Roman" w:cs="Times New Roman"/>
          <w:i/>
          <w:iCs/>
          <w:sz w:val="24"/>
          <w:szCs w:val="24"/>
          <w:lang w:val="fr-FR"/>
        </w:rPr>
        <w:t xml:space="preserve"> énonce les conditions pour </w:t>
      </w:r>
      <w:r w:rsidR="00F32061" w:rsidRPr="00F32061">
        <w:rPr>
          <w:rFonts w:ascii="Times New Roman" w:eastAsia="Calibri" w:hAnsi="Times New Roman" w:cs="Times New Roman"/>
          <w:i/>
          <w:iCs/>
          <w:sz w:val="24"/>
          <w:szCs w:val="24"/>
          <w:lang w:val="fr-FR"/>
        </w:rPr>
        <w:t>imputer</w:t>
      </w:r>
      <w:r w:rsidRPr="00F32061">
        <w:rPr>
          <w:rFonts w:ascii="Times New Roman" w:eastAsia="Calibri" w:hAnsi="Times New Roman" w:cs="Times New Roman"/>
          <w:i/>
          <w:iCs/>
          <w:sz w:val="24"/>
          <w:szCs w:val="24"/>
          <w:lang w:val="fr-FR"/>
        </w:rPr>
        <w:t xml:space="preserve"> la responsabilité pénale à une personne morale.</w:t>
      </w:r>
    </w:p>
    <w:p w:rsidR="001E020C" w:rsidRDefault="001E020C" w:rsidP="007C11A5">
      <w:pPr>
        <w:spacing w:after="0" w:line="240" w:lineRule="auto"/>
        <w:ind w:left="720" w:firstLine="720"/>
        <w:contextualSpacing/>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 xml:space="preserve"> </w:t>
      </w:r>
    </w:p>
    <w:p w:rsidR="007C11A5" w:rsidRPr="00F32061" w:rsidRDefault="007C11A5" w:rsidP="007C11A5">
      <w:pPr>
        <w:spacing w:after="0" w:line="240" w:lineRule="auto"/>
        <w:ind w:left="720" w:firstLine="720"/>
        <w:contextualSpacing/>
        <w:jc w:val="both"/>
        <w:rPr>
          <w:rFonts w:ascii="Times New Roman" w:eastAsia="Calibri" w:hAnsi="Times New Roman" w:cs="Times New Roman"/>
          <w:i/>
          <w:iCs/>
          <w:sz w:val="24"/>
          <w:szCs w:val="24"/>
          <w:lang w:val="fr-FR"/>
        </w:rPr>
      </w:pPr>
      <w:r>
        <w:rPr>
          <w:rFonts w:ascii="Times New Roman" w:eastAsia="Calibri" w:hAnsi="Times New Roman" w:cs="Times New Roman"/>
          <w:i/>
          <w:iCs/>
          <w:sz w:val="24"/>
          <w:szCs w:val="24"/>
          <w:lang w:val="fr-FR"/>
        </w:rPr>
        <w:t>Le CNS, le CIM, les ONG nationales et internationales interviennent  dans la sensibilisation des populations et la mobilisation communautaire, le renforcement de capacités des acteurs chargés de la répression.</w:t>
      </w:r>
    </w:p>
    <w:p w:rsidR="00287239" w:rsidRPr="00F32061" w:rsidRDefault="00287239" w:rsidP="00A339E2">
      <w:pPr>
        <w:spacing w:after="0" w:line="240" w:lineRule="auto"/>
        <w:ind w:left="720"/>
        <w:contextualSpacing/>
        <w:jc w:val="both"/>
        <w:rPr>
          <w:rFonts w:ascii="Times New Roman" w:eastAsia="Calibri" w:hAnsi="Times New Roman" w:cs="Times New Roman"/>
          <w:sz w:val="24"/>
          <w:szCs w:val="24"/>
          <w:lang w:val="fr-FR"/>
        </w:rPr>
      </w:pPr>
    </w:p>
    <w:p w:rsidR="00360137" w:rsidRPr="00F32061" w:rsidRDefault="00A339E2" w:rsidP="00B108DE">
      <w:pPr>
        <w:ind w:left="360"/>
        <w:rPr>
          <w:rStyle w:val="tlid-translation"/>
          <w:b/>
          <w:bCs/>
          <w:lang w:val="fr-FR"/>
        </w:rPr>
      </w:pPr>
      <w:r w:rsidRPr="00F32061">
        <w:rPr>
          <w:rStyle w:val="tlid-translation"/>
          <w:b/>
          <w:bCs/>
          <w:u w:val="single"/>
          <w:lang w:val="fr-FR"/>
        </w:rPr>
        <w:t>La voie à suivre</w:t>
      </w:r>
      <w:r w:rsidRPr="00F32061">
        <w:rPr>
          <w:rStyle w:val="tlid-translation"/>
          <w:b/>
          <w:bCs/>
          <w:lang w:val="fr-FR"/>
        </w:rPr>
        <w:t xml:space="preserve"> : comment l'impact du mandat peut-il être encore renforcé à l’avenir ? Où sont les principales lacunes en matière de plaidoyer et de sensibilisation ?</w:t>
      </w:r>
    </w:p>
    <w:p w:rsidR="003D157B" w:rsidRPr="00F32061" w:rsidRDefault="007C11A5" w:rsidP="00820C38">
      <w:pPr>
        <w:tabs>
          <w:tab w:val="left" w:pos="960"/>
        </w:tabs>
        <w:spacing w:after="0" w:line="240" w:lineRule="auto"/>
        <w:ind w:left="709" w:firstLine="11"/>
        <w:contextualSpacing/>
        <w:jc w:val="both"/>
        <w:rPr>
          <w:rFonts w:ascii="Times New Roman" w:eastAsia="Calibri" w:hAnsi="Times New Roman" w:cs="Times New Roman"/>
          <w:i/>
          <w:iCs/>
          <w:sz w:val="24"/>
          <w:szCs w:val="24"/>
          <w:lang w:val="fr-FR"/>
        </w:rPr>
      </w:pPr>
      <w:r>
        <w:rPr>
          <w:rFonts w:ascii="Times New Roman" w:eastAsia="Calibri" w:hAnsi="Times New Roman" w:cs="Times New Roman"/>
          <w:i/>
          <w:iCs/>
          <w:sz w:val="24"/>
          <w:szCs w:val="24"/>
          <w:lang w:val="fr-FR"/>
        </w:rPr>
        <w:t>Le renforcement des capacités et des structures de lutte</w:t>
      </w:r>
      <w:r w:rsidR="003D157B" w:rsidRPr="00F32061">
        <w:rPr>
          <w:rFonts w:ascii="Times New Roman" w:eastAsia="Calibri" w:hAnsi="Times New Roman" w:cs="Times New Roman"/>
          <w:i/>
          <w:iCs/>
          <w:sz w:val="24"/>
          <w:szCs w:val="24"/>
          <w:lang w:val="fr-FR"/>
        </w:rPr>
        <w:t xml:space="preserve"> nous permettr</w:t>
      </w:r>
      <w:r w:rsidR="00F32061" w:rsidRPr="00F32061">
        <w:rPr>
          <w:rFonts w:ascii="Times New Roman" w:eastAsia="Calibri" w:hAnsi="Times New Roman" w:cs="Times New Roman"/>
          <w:i/>
          <w:iCs/>
          <w:sz w:val="24"/>
          <w:szCs w:val="24"/>
          <w:lang w:val="fr-FR"/>
        </w:rPr>
        <w:t>a</w:t>
      </w:r>
      <w:r>
        <w:rPr>
          <w:rFonts w:ascii="Times New Roman" w:eastAsia="Calibri" w:hAnsi="Times New Roman" w:cs="Times New Roman"/>
          <w:i/>
          <w:iCs/>
          <w:sz w:val="24"/>
          <w:szCs w:val="24"/>
          <w:lang w:val="fr-FR"/>
        </w:rPr>
        <w:t xml:space="preserve"> </w:t>
      </w:r>
      <w:r w:rsidR="00F32061" w:rsidRPr="00F32061">
        <w:rPr>
          <w:rFonts w:ascii="Times New Roman" w:eastAsia="Calibri" w:hAnsi="Times New Roman" w:cs="Times New Roman"/>
          <w:i/>
          <w:iCs/>
          <w:sz w:val="24"/>
          <w:szCs w:val="24"/>
          <w:lang w:val="fr-FR"/>
        </w:rPr>
        <w:t>de:</w:t>
      </w:r>
    </w:p>
    <w:p w:rsidR="003D157B" w:rsidRPr="00F32061" w:rsidRDefault="00820C38" w:rsidP="00820C38">
      <w:pPr>
        <w:pStyle w:val="Paragraphedeliste"/>
        <w:numPr>
          <w:ilvl w:val="0"/>
          <w:numId w:val="5"/>
        </w:numPr>
        <w:tabs>
          <w:tab w:val="left" w:pos="960"/>
        </w:tabs>
        <w:spacing w:after="0" w:line="240" w:lineRule="auto"/>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Renforcer</w:t>
      </w:r>
      <w:r w:rsidR="003D157B" w:rsidRPr="00F32061">
        <w:rPr>
          <w:rFonts w:ascii="Times New Roman" w:eastAsia="Calibri" w:hAnsi="Times New Roman" w:cs="Times New Roman"/>
          <w:i/>
          <w:iCs/>
          <w:sz w:val="24"/>
          <w:szCs w:val="24"/>
          <w:lang w:val="fr-FR"/>
        </w:rPr>
        <w:t xml:space="preserve"> la lutte contre la vente, la traite et l’exploitation sexuelle des enfants en </w:t>
      </w:r>
      <w:r w:rsidR="005E3CC4" w:rsidRPr="00F32061">
        <w:rPr>
          <w:rFonts w:ascii="Times New Roman" w:eastAsia="Calibri" w:hAnsi="Times New Roman" w:cs="Times New Roman"/>
          <w:i/>
          <w:iCs/>
          <w:sz w:val="24"/>
          <w:szCs w:val="24"/>
          <w:lang w:val="fr-FR"/>
        </w:rPr>
        <w:t>construisant</w:t>
      </w:r>
      <w:r w:rsidR="007C11A5">
        <w:rPr>
          <w:rFonts w:ascii="Times New Roman" w:eastAsia="Calibri" w:hAnsi="Times New Roman" w:cs="Times New Roman"/>
          <w:i/>
          <w:iCs/>
          <w:sz w:val="24"/>
          <w:szCs w:val="24"/>
          <w:lang w:val="fr-FR"/>
        </w:rPr>
        <w:t xml:space="preserve"> </w:t>
      </w:r>
      <w:r w:rsidRPr="00F32061">
        <w:rPr>
          <w:rFonts w:ascii="Times New Roman" w:eastAsia="Calibri" w:hAnsi="Times New Roman" w:cs="Times New Roman"/>
          <w:i/>
          <w:iCs/>
          <w:sz w:val="24"/>
          <w:szCs w:val="24"/>
          <w:lang w:val="fr-FR"/>
        </w:rPr>
        <w:t>des infrastructures adaptées</w:t>
      </w:r>
      <w:r w:rsidR="003D157B" w:rsidRPr="00F32061">
        <w:rPr>
          <w:rFonts w:ascii="Times New Roman" w:eastAsia="Calibri" w:hAnsi="Times New Roman" w:cs="Times New Roman"/>
          <w:i/>
          <w:iCs/>
          <w:sz w:val="24"/>
          <w:szCs w:val="24"/>
          <w:lang w:val="fr-FR"/>
        </w:rPr>
        <w:t xml:space="preserve"> à la prise exploitation en charge des victimes</w:t>
      </w:r>
      <w:r w:rsidR="005E3CC4" w:rsidRPr="00F32061">
        <w:rPr>
          <w:rFonts w:ascii="Times New Roman" w:eastAsia="Calibri" w:hAnsi="Times New Roman" w:cs="Times New Roman"/>
          <w:i/>
          <w:iCs/>
          <w:sz w:val="24"/>
          <w:szCs w:val="24"/>
          <w:lang w:val="fr-FR"/>
        </w:rPr>
        <w:t> ;</w:t>
      </w:r>
    </w:p>
    <w:p w:rsidR="00820C38" w:rsidRPr="00F32061" w:rsidRDefault="003D157B" w:rsidP="00820C38">
      <w:pPr>
        <w:pStyle w:val="Paragraphedeliste"/>
        <w:numPr>
          <w:ilvl w:val="0"/>
          <w:numId w:val="5"/>
        </w:numPr>
        <w:tabs>
          <w:tab w:val="left" w:pos="960"/>
        </w:tabs>
        <w:spacing w:after="0" w:line="240" w:lineRule="auto"/>
        <w:jc w:val="both"/>
        <w:rPr>
          <w:rFonts w:ascii="Times New Roman" w:eastAsia="Calibri" w:hAnsi="Times New Roman" w:cs="Times New Roman"/>
          <w:i/>
          <w:iCs/>
          <w:sz w:val="24"/>
          <w:szCs w:val="24"/>
          <w:lang w:val="fr-FR"/>
        </w:rPr>
      </w:pPr>
      <w:r w:rsidRPr="00F32061">
        <w:rPr>
          <w:rFonts w:ascii="Times New Roman" w:eastAsia="Calibri" w:hAnsi="Times New Roman" w:cs="Times New Roman"/>
          <w:i/>
          <w:iCs/>
          <w:sz w:val="24"/>
          <w:szCs w:val="24"/>
          <w:lang w:val="fr-FR"/>
        </w:rPr>
        <w:t xml:space="preserve">Renforcer </w:t>
      </w:r>
      <w:r w:rsidR="00820C38" w:rsidRPr="00F32061">
        <w:rPr>
          <w:rFonts w:ascii="Times New Roman" w:eastAsia="Calibri" w:hAnsi="Times New Roman" w:cs="Times New Roman"/>
          <w:i/>
          <w:iCs/>
          <w:sz w:val="24"/>
          <w:szCs w:val="24"/>
          <w:lang w:val="fr-FR"/>
        </w:rPr>
        <w:t>le dispositif légal</w:t>
      </w:r>
      <w:r w:rsidRPr="00F32061">
        <w:rPr>
          <w:rFonts w:ascii="Times New Roman" w:eastAsia="Calibri" w:hAnsi="Times New Roman" w:cs="Times New Roman"/>
          <w:i/>
          <w:iCs/>
          <w:sz w:val="24"/>
          <w:szCs w:val="24"/>
          <w:lang w:val="fr-FR"/>
        </w:rPr>
        <w:t xml:space="preserve"> de protection des enfants contre la vente, la traite et l’exploitation sexuelle</w:t>
      </w:r>
      <w:r w:rsidR="00820C38" w:rsidRPr="00F32061">
        <w:rPr>
          <w:rFonts w:ascii="Times New Roman" w:eastAsia="Calibri" w:hAnsi="Times New Roman" w:cs="Times New Roman"/>
          <w:i/>
          <w:iCs/>
          <w:sz w:val="24"/>
          <w:szCs w:val="24"/>
          <w:lang w:val="fr-FR"/>
        </w:rPr>
        <w:t xml:space="preserve"> en prenant en compte la spécificité de cette </w:t>
      </w:r>
      <w:r w:rsidR="00F32061" w:rsidRPr="00F32061">
        <w:rPr>
          <w:rFonts w:ascii="Times New Roman" w:eastAsia="Calibri" w:hAnsi="Times New Roman" w:cs="Times New Roman"/>
          <w:i/>
          <w:iCs/>
          <w:sz w:val="24"/>
          <w:szCs w:val="24"/>
          <w:lang w:val="fr-FR"/>
        </w:rPr>
        <w:t>violence ;</w:t>
      </w:r>
    </w:p>
    <w:p w:rsidR="003D157B" w:rsidRPr="00F32061" w:rsidRDefault="00820C38" w:rsidP="00820C38">
      <w:pPr>
        <w:pStyle w:val="Paragraphedeliste"/>
        <w:numPr>
          <w:ilvl w:val="0"/>
          <w:numId w:val="5"/>
        </w:numPr>
        <w:tabs>
          <w:tab w:val="left" w:pos="960"/>
        </w:tabs>
        <w:spacing w:after="0" w:line="240" w:lineRule="auto"/>
        <w:jc w:val="both"/>
        <w:rPr>
          <w:rFonts w:ascii="Times New Roman" w:eastAsia="Calibri" w:hAnsi="Times New Roman" w:cs="Times New Roman"/>
          <w:sz w:val="24"/>
          <w:szCs w:val="24"/>
          <w:lang w:val="fr-FR"/>
        </w:rPr>
      </w:pPr>
      <w:r w:rsidRPr="00F32061">
        <w:rPr>
          <w:rFonts w:ascii="Times New Roman" w:eastAsia="Calibri" w:hAnsi="Times New Roman" w:cs="Times New Roman"/>
          <w:i/>
          <w:iCs/>
          <w:sz w:val="24"/>
          <w:szCs w:val="24"/>
          <w:lang w:val="fr-FR"/>
        </w:rPr>
        <w:t xml:space="preserve"> Renforcer les capacités des acteurs</w:t>
      </w:r>
      <w:r w:rsidR="00287239" w:rsidRPr="00F32061">
        <w:rPr>
          <w:rFonts w:ascii="Times New Roman" w:eastAsia="Calibri" w:hAnsi="Times New Roman" w:cs="Times New Roman"/>
          <w:i/>
          <w:iCs/>
          <w:sz w:val="24"/>
          <w:szCs w:val="24"/>
          <w:lang w:val="fr-FR"/>
        </w:rPr>
        <w:t xml:space="preserve"> (magistrat</w:t>
      </w:r>
      <w:r w:rsidRPr="00F32061">
        <w:rPr>
          <w:rFonts w:ascii="Times New Roman" w:eastAsia="Calibri" w:hAnsi="Times New Roman" w:cs="Times New Roman"/>
          <w:i/>
          <w:iCs/>
          <w:sz w:val="24"/>
          <w:szCs w:val="24"/>
          <w:lang w:val="fr-FR"/>
        </w:rPr>
        <w:t xml:space="preserve">, officier de police </w:t>
      </w:r>
      <w:r w:rsidR="00287239" w:rsidRPr="00F32061">
        <w:rPr>
          <w:rFonts w:ascii="Times New Roman" w:eastAsia="Calibri" w:hAnsi="Times New Roman" w:cs="Times New Roman"/>
          <w:i/>
          <w:iCs/>
          <w:sz w:val="24"/>
          <w:szCs w:val="24"/>
          <w:lang w:val="fr-FR"/>
        </w:rPr>
        <w:t>judiciaire</w:t>
      </w:r>
      <w:r w:rsidRPr="00F32061">
        <w:rPr>
          <w:rFonts w:ascii="Times New Roman" w:eastAsia="Calibri" w:hAnsi="Times New Roman" w:cs="Times New Roman"/>
          <w:i/>
          <w:iCs/>
          <w:sz w:val="24"/>
          <w:szCs w:val="24"/>
          <w:lang w:val="fr-FR"/>
        </w:rPr>
        <w:t xml:space="preserve">, travailleur sociaux, personnel de la </w:t>
      </w:r>
      <w:r w:rsidR="00287239" w:rsidRPr="00F32061">
        <w:rPr>
          <w:rFonts w:ascii="Times New Roman" w:eastAsia="Calibri" w:hAnsi="Times New Roman" w:cs="Times New Roman"/>
          <w:i/>
          <w:iCs/>
          <w:sz w:val="24"/>
          <w:szCs w:val="24"/>
          <w:lang w:val="fr-FR"/>
        </w:rPr>
        <w:t>protection</w:t>
      </w:r>
      <w:r w:rsidRPr="00F32061">
        <w:rPr>
          <w:rFonts w:ascii="Times New Roman" w:eastAsia="Calibri" w:hAnsi="Times New Roman" w:cs="Times New Roman"/>
          <w:i/>
          <w:iCs/>
          <w:sz w:val="24"/>
          <w:szCs w:val="24"/>
          <w:lang w:val="fr-FR"/>
        </w:rPr>
        <w:t xml:space="preserve"> judiciaire de l’enfant et de la </w:t>
      </w:r>
      <w:r w:rsidR="00287239" w:rsidRPr="00F32061">
        <w:rPr>
          <w:rFonts w:ascii="Times New Roman" w:eastAsia="Calibri" w:hAnsi="Times New Roman" w:cs="Times New Roman"/>
          <w:i/>
          <w:iCs/>
          <w:sz w:val="24"/>
          <w:szCs w:val="24"/>
          <w:lang w:val="fr-FR"/>
        </w:rPr>
        <w:t>j</w:t>
      </w:r>
      <w:r w:rsidRPr="00F32061">
        <w:rPr>
          <w:rFonts w:ascii="Times New Roman" w:eastAsia="Calibri" w:hAnsi="Times New Roman" w:cs="Times New Roman"/>
          <w:i/>
          <w:iCs/>
          <w:sz w:val="24"/>
          <w:szCs w:val="24"/>
          <w:lang w:val="fr-FR"/>
        </w:rPr>
        <w:t>eunesse) intervenant dans la protection sur l’OPSC et la prise en charge des victimes</w:t>
      </w:r>
      <w:r w:rsidRPr="00F32061">
        <w:rPr>
          <w:rFonts w:ascii="Times New Roman" w:eastAsia="Calibri" w:hAnsi="Times New Roman" w:cs="Times New Roman"/>
          <w:sz w:val="24"/>
          <w:szCs w:val="24"/>
          <w:lang w:val="fr-FR"/>
        </w:rPr>
        <w:t xml:space="preserve">. </w:t>
      </w:r>
    </w:p>
    <w:p w:rsidR="00287239" w:rsidRPr="00F32061" w:rsidRDefault="00287239" w:rsidP="00287239">
      <w:pPr>
        <w:tabs>
          <w:tab w:val="left" w:pos="960"/>
        </w:tabs>
        <w:spacing w:after="0" w:line="240" w:lineRule="auto"/>
        <w:ind w:left="1080"/>
        <w:jc w:val="both"/>
        <w:rPr>
          <w:rFonts w:ascii="Times New Roman" w:eastAsia="Calibri" w:hAnsi="Times New Roman" w:cs="Times New Roman"/>
          <w:sz w:val="24"/>
          <w:szCs w:val="24"/>
          <w:lang w:val="fr-FR"/>
        </w:rPr>
      </w:pPr>
    </w:p>
    <w:p w:rsidR="00FE389B" w:rsidRPr="00F32061" w:rsidRDefault="00FE389B" w:rsidP="00FE389B">
      <w:pPr>
        <w:ind w:firstLine="360"/>
        <w:jc w:val="both"/>
        <w:rPr>
          <w:rFonts w:ascii="Times New Roman" w:hAnsi="Times New Roman" w:cs="Times New Roman"/>
          <w:sz w:val="24"/>
          <w:szCs w:val="24"/>
        </w:rPr>
      </w:pPr>
      <w:r w:rsidRPr="00F32061">
        <w:rPr>
          <w:rFonts w:ascii="Times New Roman" w:hAnsi="Times New Roman" w:cs="Times New Roman"/>
          <w:sz w:val="24"/>
          <w:szCs w:val="24"/>
        </w:rPr>
        <w:t>Responses may be addressed to the Special Rapporteur at the Office of the U</w:t>
      </w:r>
      <w:r w:rsidR="00E26097" w:rsidRPr="00F32061">
        <w:rPr>
          <w:rFonts w:ascii="Times New Roman" w:hAnsi="Times New Roman" w:cs="Times New Roman"/>
          <w:sz w:val="24"/>
          <w:szCs w:val="24"/>
        </w:rPr>
        <w:t xml:space="preserve">nited </w:t>
      </w:r>
      <w:r w:rsidRPr="00F32061">
        <w:rPr>
          <w:rFonts w:ascii="Times New Roman" w:hAnsi="Times New Roman" w:cs="Times New Roman"/>
          <w:sz w:val="24"/>
          <w:szCs w:val="24"/>
        </w:rPr>
        <w:t>N</w:t>
      </w:r>
      <w:r w:rsidR="00E26097" w:rsidRPr="00F32061">
        <w:rPr>
          <w:rFonts w:ascii="Times New Roman" w:hAnsi="Times New Roman" w:cs="Times New Roman"/>
          <w:sz w:val="24"/>
          <w:szCs w:val="24"/>
        </w:rPr>
        <w:t>ations</w:t>
      </w:r>
      <w:r w:rsidRPr="00F32061">
        <w:rPr>
          <w:rFonts w:ascii="Times New Roman" w:hAnsi="Times New Roman" w:cs="Times New Roman"/>
          <w:sz w:val="24"/>
          <w:szCs w:val="24"/>
        </w:rPr>
        <w:t xml:space="preserve"> High Commissioner for Human Rights </w:t>
      </w:r>
      <w:r w:rsidR="00B16B3A" w:rsidRPr="00F32061">
        <w:rPr>
          <w:rFonts w:ascii="Times New Roman" w:hAnsi="Times New Roman" w:cs="Times New Roman"/>
          <w:sz w:val="24"/>
          <w:szCs w:val="24"/>
        </w:rPr>
        <w:t>by email to</w:t>
      </w:r>
      <w:hyperlink r:id="rId13" w:history="1">
        <w:r w:rsidR="00B16B3A" w:rsidRPr="00F32061">
          <w:rPr>
            <w:rStyle w:val="Lienhypertexte"/>
            <w:rFonts w:ascii="Times New Roman" w:hAnsi="Times New Roman" w:cs="Times New Roman"/>
            <w:b/>
            <w:color w:val="auto"/>
            <w:sz w:val="24"/>
            <w:szCs w:val="24"/>
          </w:rPr>
          <w:t>srsaleofchildren@ohchr.org</w:t>
        </w:r>
      </w:hyperlink>
      <w:r w:rsidR="00B16B3A" w:rsidRPr="00F32061">
        <w:rPr>
          <w:rFonts w:ascii="Times New Roman" w:hAnsi="Times New Roman" w:cs="Times New Roman"/>
          <w:sz w:val="24"/>
          <w:szCs w:val="24"/>
        </w:rPr>
        <w:t xml:space="preserve"> before </w:t>
      </w:r>
      <w:r w:rsidR="00E748FE" w:rsidRPr="00F32061">
        <w:rPr>
          <w:rStyle w:val="lev"/>
          <w:rFonts w:ascii="Times New Roman" w:hAnsi="Times New Roman" w:cs="Times New Roman"/>
          <w:sz w:val="24"/>
          <w:szCs w:val="24"/>
          <w:u w:val="single"/>
        </w:rPr>
        <w:t xml:space="preserve">30 </w:t>
      </w:r>
      <w:r w:rsidR="00235C54" w:rsidRPr="00F32061">
        <w:rPr>
          <w:rStyle w:val="lev"/>
          <w:rFonts w:ascii="Times New Roman" w:hAnsi="Times New Roman" w:cs="Times New Roman"/>
          <w:sz w:val="24"/>
          <w:szCs w:val="24"/>
          <w:u w:val="single"/>
        </w:rPr>
        <w:t>September</w:t>
      </w:r>
      <w:r w:rsidR="00B16B3A" w:rsidRPr="00F32061">
        <w:rPr>
          <w:rStyle w:val="lev"/>
          <w:rFonts w:ascii="Times New Roman" w:hAnsi="Times New Roman" w:cs="Times New Roman"/>
          <w:sz w:val="24"/>
          <w:szCs w:val="24"/>
          <w:u w:val="single"/>
        </w:rPr>
        <w:t xml:space="preserve"> 2019</w:t>
      </w:r>
      <w:r w:rsidR="00B16B3A" w:rsidRPr="00F32061">
        <w:rPr>
          <w:rFonts w:ascii="Times New Roman" w:hAnsi="Times New Roman" w:cs="Times New Roman"/>
          <w:sz w:val="24"/>
          <w:szCs w:val="24"/>
        </w:rPr>
        <w:t xml:space="preserve">. Reports, academic studies and other types of background materials can be attached as an annex to the submission. If not stated otherwise in your submission, the responses received will be published on the </w:t>
      </w:r>
      <w:hyperlink r:id="rId14" w:history="1">
        <w:r w:rsidR="00B16B3A" w:rsidRPr="00F32061">
          <w:rPr>
            <w:rStyle w:val="Lienhypertexte"/>
            <w:rFonts w:ascii="Times New Roman" w:hAnsi="Times New Roman" w:cs="Times New Roman"/>
            <w:color w:val="auto"/>
            <w:sz w:val="24"/>
            <w:szCs w:val="24"/>
          </w:rPr>
          <w:t>website</w:t>
        </w:r>
      </w:hyperlink>
      <w:r w:rsidR="00B16B3A" w:rsidRPr="00F32061">
        <w:rPr>
          <w:rFonts w:ascii="Times New Roman" w:hAnsi="Times New Roman" w:cs="Times New Roman"/>
          <w:sz w:val="24"/>
          <w:szCs w:val="24"/>
        </w:rPr>
        <w:t xml:space="preserve"> of the Special Rapporteur.</w:t>
      </w:r>
    </w:p>
    <w:p w:rsidR="00FE389B" w:rsidRPr="00F32061" w:rsidRDefault="001A211C" w:rsidP="00FE389B">
      <w:pPr>
        <w:pStyle w:val="Default"/>
        <w:ind w:firstLine="360"/>
        <w:jc w:val="both"/>
        <w:rPr>
          <w:i/>
          <w:color w:val="auto"/>
        </w:rPr>
      </w:pPr>
      <w:r w:rsidRPr="00F32061">
        <w:rPr>
          <w:color w:val="auto"/>
        </w:rPr>
        <w:t xml:space="preserve">As a follow-up to the call for input, </w:t>
      </w:r>
      <w:r w:rsidR="00E122C3" w:rsidRPr="00F32061">
        <w:rPr>
          <w:color w:val="auto"/>
        </w:rPr>
        <w:t>I</w:t>
      </w:r>
      <w:r w:rsidRPr="00F32061">
        <w:rPr>
          <w:color w:val="auto"/>
        </w:rPr>
        <w:t xml:space="preserve"> will be holding a one day consultation </w:t>
      </w:r>
      <w:r w:rsidR="003C7750" w:rsidRPr="00F32061">
        <w:rPr>
          <w:color w:val="auto"/>
        </w:rPr>
        <w:t xml:space="preserve">in Geneva </w:t>
      </w:r>
      <w:r w:rsidRPr="00F32061">
        <w:rPr>
          <w:color w:val="auto"/>
        </w:rPr>
        <w:t>with States and relevant stak</w:t>
      </w:r>
      <w:r w:rsidR="009D6843" w:rsidRPr="00F32061">
        <w:rPr>
          <w:color w:val="auto"/>
        </w:rPr>
        <w:t>eholders on the margin of the 42</w:t>
      </w:r>
      <w:r w:rsidR="009D6843" w:rsidRPr="00F32061">
        <w:rPr>
          <w:color w:val="auto"/>
          <w:vertAlign w:val="superscript"/>
        </w:rPr>
        <w:t>nd</w:t>
      </w:r>
      <w:r w:rsidRPr="00F32061">
        <w:rPr>
          <w:color w:val="auto"/>
        </w:rPr>
        <w:t>session of the HRC on 23rd September,</w:t>
      </w:r>
      <w:r w:rsidR="009E6DDD" w:rsidRPr="00F32061">
        <w:rPr>
          <w:color w:val="auto"/>
        </w:rPr>
        <w:t xml:space="preserve"> followed by a two-</w:t>
      </w:r>
      <w:r w:rsidRPr="00F32061">
        <w:rPr>
          <w:color w:val="auto"/>
        </w:rPr>
        <w:t xml:space="preserve">day expert group consultation </w:t>
      </w:r>
      <w:r w:rsidR="003C7750" w:rsidRPr="00F32061">
        <w:rPr>
          <w:color w:val="auto"/>
        </w:rPr>
        <w:t xml:space="preserve">in Florence </w:t>
      </w:r>
      <w:r w:rsidRPr="00F32061">
        <w:rPr>
          <w:color w:val="auto"/>
        </w:rPr>
        <w:t xml:space="preserve">on 24 and 25 September, organised in partnership with the UNICEF Office of Research – </w:t>
      </w:r>
      <w:proofErr w:type="spellStart"/>
      <w:r w:rsidRPr="00F32061">
        <w:rPr>
          <w:color w:val="auto"/>
        </w:rPr>
        <w:t>Innocenti</w:t>
      </w:r>
      <w:proofErr w:type="spellEnd"/>
      <w:r w:rsidRPr="00F32061">
        <w:rPr>
          <w:color w:val="auto"/>
        </w:rPr>
        <w:t xml:space="preserve">. </w:t>
      </w:r>
      <w:r w:rsidRPr="00F32061">
        <w:rPr>
          <w:i/>
          <w:color w:val="auto"/>
        </w:rPr>
        <w:t xml:space="preserve">Additional information on both consultations will be sent in due course. </w:t>
      </w:r>
    </w:p>
    <w:p w:rsidR="00FE389B" w:rsidRPr="00F32061" w:rsidRDefault="00FE389B" w:rsidP="00FE389B">
      <w:pPr>
        <w:pStyle w:val="Default"/>
        <w:ind w:firstLine="360"/>
        <w:jc w:val="both"/>
        <w:rPr>
          <w:i/>
          <w:color w:val="auto"/>
        </w:rPr>
      </w:pPr>
    </w:p>
    <w:p w:rsidR="001C6170" w:rsidRPr="00F32061" w:rsidRDefault="001C6170" w:rsidP="00FE389B">
      <w:pPr>
        <w:pStyle w:val="Default"/>
        <w:ind w:firstLine="360"/>
        <w:jc w:val="both"/>
        <w:rPr>
          <w:color w:val="auto"/>
        </w:rPr>
      </w:pPr>
      <w:r w:rsidRPr="00F32061">
        <w:rPr>
          <w:color w:val="auto"/>
        </w:rPr>
        <w:t>For further question on the call for input</w:t>
      </w:r>
      <w:r w:rsidR="00FE389B" w:rsidRPr="00F32061">
        <w:rPr>
          <w:color w:val="auto"/>
        </w:rPr>
        <w:t>s</w:t>
      </w:r>
      <w:r w:rsidRPr="00F32061">
        <w:rPr>
          <w:color w:val="auto"/>
        </w:rPr>
        <w:t xml:space="preserve"> and participation in the </w:t>
      </w:r>
      <w:r w:rsidR="001A211C" w:rsidRPr="00F32061">
        <w:rPr>
          <w:color w:val="auto"/>
        </w:rPr>
        <w:t xml:space="preserve">above </w:t>
      </w:r>
      <w:r w:rsidRPr="00F32061">
        <w:rPr>
          <w:color w:val="auto"/>
        </w:rPr>
        <w:t xml:space="preserve">consultations, please do not hesitate to contact me through the Office of the United Nations High Commissioner for Human Rights </w:t>
      </w:r>
      <w:r w:rsidR="00641917" w:rsidRPr="00F32061">
        <w:rPr>
          <w:color w:val="auto"/>
        </w:rPr>
        <w:t xml:space="preserve">by phone: + 41 22 917 99 84 and email at: </w:t>
      </w:r>
      <w:hyperlink r:id="rId15" w:history="1">
        <w:r w:rsidRPr="00F32061">
          <w:rPr>
            <w:color w:val="auto"/>
          </w:rPr>
          <w:t>srsaleofchildren@ohchr.org</w:t>
        </w:r>
      </w:hyperlink>
      <w:r w:rsidR="00641917" w:rsidRPr="00F32061">
        <w:rPr>
          <w:color w:val="auto"/>
        </w:rPr>
        <w:t>.</w:t>
      </w:r>
    </w:p>
    <w:p w:rsidR="000A6224" w:rsidRPr="00F32061" w:rsidRDefault="000A6224" w:rsidP="00FE389B">
      <w:pPr>
        <w:pStyle w:val="Default"/>
        <w:ind w:firstLine="360"/>
        <w:jc w:val="both"/>
        <w:rPr>
          <w:color w:val="auto"/>
        </w:rPr>
      </w:pPr>
    </w:p>
    <w:p w:rsidR="000A6224" w:rsidRPr="00F32061" w:rsidRDefault="000A6224" w:rsidP="000A6224">
      <w:pPr>
        <w:pStyle w:val="Default"/>
        <w:ind w:firstLine="360"/>
        <w:jc w:val="center"/>
        <w:rPr>
          <w:color w:val="auto"/>
        </w:rPr>
      </w:pPr>
      <w:r w:rsidRPr="00F32061">
        <w:rPr>
          <w:color w:val="auto"/>
        </w:rPr>
        <w:t>With regards,</w:t>
      </w:r>
    </w:p>
    <w:p w:rsidR="000A6224" w:rsidRPr="00F32061" w:rsidRDefault="000A6224" w:rsidP="000A6224">
      <w:pPr>
        <w:jc w:val="center"/>
        <w:rPr>
          <w:b/>
          <w:sz w:val="24"/>
          <w:szCs w:val="24"/>
        </w:rPr>
      </w:pPr>
      <w:r w:rsidRPr="00F32061">
        <w:rPr>
          <w:b/>
          <w:noProof/>
          <w:sz w:val="24"/>
          <w:szCs w:val="24"/>
          <w:lang w:val="fr-FR" w:eastAsia="fr-FR"/>
        </w:rPr>
        <w:drawing>
          <wp:inline distT="0" distB="0" distL="0" distR="0">
            <wp:extent cx="2047875" cy="495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 of children (De Boer-Buquicchio).jpg"/>
                    <pic:cNvPicPr/>
                  </pic:nvPicPr>
                  <pic:blipFill>
                    <a:blip r:embed="rId16">
                      <a:extLst>
                        <a:ext uri="{28A0092B-C50C-407E-A947-70E740481C1C}">
                          <a14:useLocalDpi xmlns:a14="http://schemas.microsoft.com/office/drawing/2010/main" val="0"/>
                        </a:ext>
                      </a:extLst>
                    </a:blip>
                    <a:stretch>
                      <a:fillRect/>
                    </a:stretch>
                  </pic:blipFill>
                  <pic:spPr>
                    <a:xfrm>
                      <a:off x="0" y="0"/>
                      <a:ext cx="2047875" cy="495300"/>
                    </a:xfrm>
                    <a:prstGeom prst="rect">
                      <a:avLst/>
                    </a:prstGeom>
                  </pic:spPr>
                </pic:pic>
              </a:graphicData>
            </a:graphic>
          </wp:inline>
        </w:drawing>
      </w:r>
    </w:p>
    <w:p w:rsidR="000A6224" w:rsidRPr="00F32061" w:rsidRDefault="000A6224" w:rsidP="00504A30">
      <w:pPr>
        <w:jc w:val="center"/>
        <w:rPr>
          <w:rFonts w:ascii="Times New Roman" w:eastAsia="Calibri" w:hAnsi="Times New Roman" w:cs="Times New Roman"/>
          <w:bCs/>
          <w:sz w:val="24"/>
          <w:szCs w:val="24"/>
        </w:rPr>
      </w:pPr>
      <w:bookmarkStart w:id="1" w:name="rapporteur"/>
      <w:bookmarkEnd w:id="1"/>
      <w:r w:rsidRPr="00F32061">
        <w:rPr>
          <w:rFonts w:ascii="Times New Roman" w:eastAsia="Calibri" w:hAnsi="Times New Roman" w:cs="Times New Roman"/>
          <w:bCs/>
          <w:sz w:val="24"/>
          <w:szCs w:val="24"/>
        </w:rPr>
        <w:t>Maud De Boer-</w:t>
      </w:r>
      <w:proofErr w:type="spellStart"/>
      <w:r w:rsidRPr="00F32061">
        <w:rPr>
          <w:rFonts w:ascii="Times New Roman" w:eastAsia="Calibri" w:hAnsi="Times New Roman" w:cs="Times New Roman"/>
          <w:bCs/>
          <w:sz w:val="24"/>
          <w:szCs w:val="24"/>
        </w:rPr>
        <w:t>Buquicchio</w:t>
      </w:r>
      <w:proofErr w:type="spellEnd"/>
    </w:p>
    <w:p w:rsidR="001C6170" w:rsidRPr="00F32061" w:rsidRDefault="00504A30" w:rsidP="00AF1C1F">
      <w:pPr>
        <w:jc w:val="center"/>
        <w:rPr>
          <w:rFonts w:ascii="Times New Roman" w:eastAsia="Calibri" w:hAnsi="Times New Roman" w:cs="Times New Roman"/>
          <w:sz w:val="24"/>
          <w:szCs w:val="24"/>
        </w:rPr>
      </w:pPr>
      <w:r w:rsidRPr="00F32061">
        <w:rPr>
          <w:rFonts w:ascii="Times New Roman" w:eastAsia="Calibri" w:hAnsi="Times New Roman" w:cs="Times New Roman"/>
          <w:bCs/>
          <w:sz w:val="24"/>
          <w:szCs w:val="24"/>
        </w:rPr>
        <w:t>Special Rapporteur on the sale and sexual exploitation of children, including child prostitution, child pornography and other child sexual abuse material</w:t>
      </w:r>
    </w:p>
    <w:sectPr w:rsidR="001C6170" w:rsidRPr="00F32061" w:rsidSect="00B5162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618" w:rsidRDefault="00163618" w:rsidP="003B3BA9">
      <w:pPr>
        <w:spacing w:after="0" w:line="240" w:lineRule="auto"/>
      </w:pPr>
      <w:r>
        <w:separator/>
      </w:r>
    </w:p>
  </w:endnote>
  <w:endnote w:type="continuationSeparator" w:id="0">
    <w:p w:rsidR="00163618" w:rsidRDefault="00163618" w:rsidP="003B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802832"/>
      <w:docPartObj>
        <w:docPartGallery w:val="Page Numbers (Bottom of Page)"/>
        <w:docPartUnique/>
      </w:docPartObj>
    </w:sdtPr>
    <w:sdtEndPr/>
    <w:sdtContent>
      <w:p w:rsidR="00125E6B" w:rsidRDefault="00125E6B">
        <w:pPr>
          <w:pStyle w:val="Pieddepage"/>
          <w:jc w:val="right"/>
        </w:pPr>
        <w:r>
          <w:fldChar w:fldCharType="begin"/>
        </w:r>
        <w:r>
          <w:instrText>PAGE   \* MERGEFORMAT</w:instrText>
        </w:r>
        <w:r>
          <w:fldChar w:fldCharType="separate"/>
        </w:r>
        <w:r w:rsidR="00956702" w:rsidRPr="00956702">
          <w:rPr>
            <w:noProof/>
            <w:lang w:val="fr-FR"/>
          </w:rPr>
          <w:t>8</w:t>
        </w:r>
        <w:r>
          <w:fldChar w:fldCharType="end"/>
        </w:r>
      </w:p>
    </w:sdtContent>
  </w:sdt>
  <w:p w:rsidR="00125E6B" w:rsidRDefault="00125E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618" w:rsidRDefault="00163618" w:rsidP="003B3BA9">
      <w:pPr>
        <w:spacing w:after="0" w:line="240" w:lineRule="auto"/>
      </w:pPr>
      <w:r>
        <w:separator/>
      </w:r>
    </w:p>
  </w:footnote>
  <w:footnote w:type="continuationSeparator" w:id="0">
    <w:p w:rsidR="00163618" w:rsidRDefault="00163618" w:rsidP="003B3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7A"/>
    <w:multiLevelType w:val="hybridMultilevel"/>
    <w:tmpl w:val="B86220E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2237C35"/>
    <w:multiLevelType w:val="hybridMultilevel"/>
    <w:tmpl w:val="2A2AEA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5FA57C5"/>
    <w:multiLevelType w:val="hybridMultilevel"/>
    <w:tmpl w:val="7F74FC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284DAD"/>
    <w:multiLevelType w:val="hybridMultilevel"/>
    <w:tmpl w:val="57B882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BDF2884"/>
    <w:multiLevelType w:val="hybridMultilevel"/>
    <w:tmpl w:val="4BC63C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8A1DF0"/>
    <w:multiLevelType w:val="hybridMultilevel"/>
    <w:tmpl w:val="796221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FE0726E"/>
    <w:multiLevelType w:val="hybridMultilevel"/>
    <w:tmpl w:val="5884595C"/>
    <w:lvl w:ilvl="0" w:tplc="853E02C2">
      <w:start w:val="53"/>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644F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8D0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C46C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2A23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03D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D8E8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7623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1281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A168E5"/>
    <w:multiLevelType w:val="hybridMultilevel"/>
    <w:tmpl w:val="ECEA68E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856B10"/>
    <w:multiLevelType w:val="hybridMultilevel"/>
    <w:tmpl w:val="1880618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1"/>
  </w:num>
  <w:num w:numId="6">
    <w:abstractNumId w:val="8"/>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96"/>
    <w:rsid w:val="0005782C"/>
    <w:rsid w:val="000A6224"/>
    <w:rsid w:val="000B7168"/>
    <w:rsid w:val="000D5534"/>
    <w:rsid w:val="0011030B"/>
    <w:rsid w:val="001146B0"/>
    <w:rsid w:val="00115DBC"/>
    <w:rsid w:val="00125E6B"/>
    <w:rsid w:val="0013762C"/>
    <w:rsid w:val="00137DFE"/>
    <w:rsid w:val="00163618"/>
    <w:rsid w:val="00175017"/>
    <w:rsid w:val="001773E0"/>
    <w:rsid w:val="001A211C"/>
    <w:rsid w:val="001A3558"/>
    <w:rsid w:val="001C6170"/>
    <w:rsid w:val="001C61C4"/>
    <w:rsid w:val="001E020C"/>
    <w:rsid w:val="002059B2"/>
    <w:rsid w:val="00221D5B"/>
    <w:rsid w:val="00235C54"/>
    <w:rsid w:val="00287239"/>
    <w:rsid w:val="002A58B9"/>
    <w:rsid w:val="002B24E5"/>
    <w:rsid w:val="002D0C65"/>
    <w:rsid w:val="002E2C66"/>
    <w:rsid w:val="002E3617"/>
    <w:rsid w:val="00314496"/>
    <w:rsid w:val="00360137"/>
    <w:rsid w:val="00387A49"/>
    <w:rsid w:val="00390DEB"/>
    <w:rsid w:val="003B3BA9"/>
    <w:rsid w:val="003C1D49"/>
    <w:rsid w:val="003C737B"/>
    <w:rsid w:val="003C7750"/>
    <w:rsid w:val="003D157B"/>
    <w:rsid w:val="003D26D4"/>
    <w:rsid w:val="003F1903"/>
    <w:rsid w:val="003F5931"/>
    <w:rsid w:val="00452171"/>
    <w:rsid w:val="00456E4F"/>
    <w:rsid w:val="00461091"/>
    <w:rsid w:val="00472E99"/>
    <w:rsid w:val="004C3D25"/>
    <w:rsid w:val="00504A30"/>
    <w:rsid w:val="00511248"/>
    <w:rsid w:val="00511C70"/>
    <w:rsid w:val="00591F81"/>
    <w:rsid w:val="005B748F"/>
    <w:rsid w:val="005E0564"/>
    <w:rsid w:val="005E3CC4"/>
    <w:rsid w:val="006128C3"/>
    <w:rsid w:val="006218D8"/>
    <w:rsid w:val="00634505"/>
    <w:rsid w:val="00636393"/>
    <w:rsid w:val="00641917"/>
    <w:rsid w:val="00680093"/>
    <w:rsid w:val="006D650E"/>
    <w:rsid w:val="007270F2"/>
    <w:rsid w:val="00731B8A"/>
    <w:rsid w:val="007730B4"/>
    <w:rsid w:val="0077744F"/>
    <w:rsid w:val="007C11A5"/>
    <w:rsid w:val="008071FD"/>
    <w:rsid w:val="00813E3D"/>
    <w:rsid w:val="00820C38"/>
    <w:rsid w:val="0087482C"/>
    <w:rsid w:val="00944BBB"/>
    <w:rsid w:val="00956702"/>
    <w:rsid w:val="009861AE"/>
    <w:rsid w:val="009865A4"/>
    <w:rsid w:val="009918AC"/>
    <w:rsid w:val="009B649A"/>
    <w:rsid w:val="009D6843"/>
    <w:rsid w:val="009E6DDD"/>
    <w:rsid w:val="00A10961"/>
    <w:rsid w:val="00A26404"/>
    <w:rsid w:val="00A339E2"/>
    <w:rsid w:val="00A43489"/>
    <w:rsid w:val="00A43A77"/>
    <w:rsid w:val="00A47C92"/>
    <w:rsid w:val="00A71099"/>
    <w:rsid w:val="00AF1C1F"/>
    <w:rsid w:val="00AF2D97"/>
    <w:rsid w:val="00B05EFE"/>
    <w:rsid w:val="00B108DE"/>
    <w:rsid w:val="00B16B3A"/>
    <w:rsid w:val="00B2208F"/>
    <w:rsid w:val="00B51621"/>
    <w:rsid w:val="00B7718E"/>
    <w:rsid w:val="00B87180"/>
    <w:rsid w:val="00BB5499"/>
    <w:rsid w:val="00C025A4"/>
    <w:rsid w:val="00C41C41"/>
    <w:rsid w:val="00C56BF7"/>
    <w:rsid w:val="00C7791F"/>
    <w:rsid w:val="00CB7191"/>
    <w:rsid w:val="00CC0016"/>
    <w:rsid w:val="00CD27E3"/>
    <w:rsid w:val="00D04B30"/>
    <w:rsid w:val="00D15CE6"/>
    <w:rsid w:val="00D21A3C"/>
    <w:rsid w:val="00D22E5D"/>
    <w:rsid w:val="00D53954"/>
    <w:rsid w:val="00D57E96"/>
    <w:rsid w:val="00D927E6"/>
    <w:rsid w:val="00D94FFB"/>
    <w:rsid w:val="00DA3D54"/>
    <w:rsid w:val="00DB5B83"/>
    <w:rsid w:val="00DC0F96"/>
    <w:rsid w:val="00DF60EC"/>
    <w:rsid w:val="00E01C86"/>
    <w:rsid w:val="00E06F6A"/>
    <w:rsid w:val="00E122C3"/>
    <w:rsid w:val="00E231ED"/>
    <w:rsid w:val="00E26097"/>
    <w:rsid w:val="00E72338"/>
    <w:rsid w:val="00E72C99"/>
    <w:rsid w:val="00E748FE"/>
    <w:rsid w:val="00E84091"/>
    <w:rsid w:val="00EC25F9"/>
    <w:rsid w:val="00EC6317"/>
    <w:rsid w:val="00ED0CEC"/>
    <w:rsid w:val="00F02C69"/>
    <w:rsid w:val="00F23486"/>
    <w:rsid w:val="00F23B73"/>
    <w:rsid w:val="00F269F9"/>
    <w:rsid w:val="00F32061"/>
    <w:rsid w:val="00F3627E"/>
    <w:rsid w:val="00F648C7"/>
    <w:rsid w:val="00F908FF"/>
    <w:rsid w:val="00FA194B"/>
    <w:rsid w:val="00FD3257"/>
    <w:rsid w:val="00FD776F"/>
    <w:rsid w:val="00FE389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B18C4"/>
  <w15:docId w15:val="{77F63E7E-F063-41B1-A984-561A188A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6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0137"/>
    <w:pPr>
      <w:ind w:left="720"/>
      <w:contextualSpacing/>
    </w:pPr>
  </w:style>
  <w:style w:type="character" w:styleId="Lienhypertexte">
    <w:name w:val="Hyperlink"/>
    <w:basedOn w:val="Policepardfaut"/>
    <w:uiPriority w:val="99"/>
    <w:unhideWhenUsed/>
    <w:rsid w:val="00360137"/>
    <w:rPr>
      <w:color w:val="0563C1" w:themeColor="hyperlink"/>
      <w:u w:val="single"/>
    </w:rPr>
  </w:style>
  <w:style w:type="paragraph" w:styleId="Textedebulles">
    <w:name w:val="Balloon Text"/>
    <w:basedOn w:val="Normal"/>
    <w:link w:val="TextedebullesCar"/>
    <w:uiPriority w:val="99"/>
    <w:semiHidden/>
    <w:unhideWhenUsed/>
    <w:rsid w:val="001773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73E0"/>
    <w:rPr>
      <w:rFonts w:ascii="Segoe UI" w:hAnsi="Segoe UI" w:cs="Segoe UI"/>
      <w:sz w:val="18"/>
      <w:szCs w:val="18"/>
    </w:rPr>
  </w:style>
  <w:style w:type="character" w:styleId="Accentuation">
    <w:name w:val="Emphasis"/>
    <w:basedOn w:val="Policepardfaut"/>
    <w:uiPriority w:val="20"/>
    <w:qFormat/>
    <w:rsid w:val="00B16B3A"/>
    <w:rPr>
      <w:i/>
      <w:iCs/>
    </w:rPr>
  </w:style>
  <w:style w:type="paragraph" w:styleId="NormalWeb">
    <w:name w:val="Normal (Web)"/>
    <w:basedOn w:val="Normal"/>
    <w:uiPriority w:val="99"/>
    <w:unhideWhenUsed/>
    <w:rsid w:val="00B16B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B16B3A"/>
    <w:rPr>
      <w:b/>
      <w:bCs/>
    </w:rPr>
  </w:style>
  <w:style w:type="paragraph" w:customStyle="1" w:styleId="Default">
    <w:name w:val="Default"/>
    <w:rsid w:val="001C6170"/>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suivivisit">
    <w:name w:val="FollowedHyperlink"/>
    <w:basedOn w:val="Policepardfaut"/>
    <w:uiPriority w:val="99"/>
    <w:semiHidden/>
    <w:unhideWhenUsed/>
    <w:rsid w:val="0011030B"/>
    <w:rPr>
      <w:color w:val="954F72" w:themeColor="followedHyperlink"/>
      <w:u w:val="single"/>
    </w:rPr>
  </w:style>
  <w:style w:type="character" w:styleId="Marquedecommentaire">
    <w:name w:val="annotation reference"/>
    <w:basedOn w:val="Policepardfaut"/>
    <w:uiPriority w:val="99"/>
    <w:semiHidden/>
    <w:unhideWhenUsed/>
    <w:rsid w:val="00C56BF7"/>
    <w:rPr>
      <w:sz w:val="16"/>
      <w:szCs w:val="16"/>
    </w:rPr>
  </w:style>
  <w:style w:type="paragraph" w:styleId="Commentaire">
    <w:name w:val="annotation text"/>
    <w:basedOn w:val="Normal"/>
    <w:link w:val="CommentaireCar"/>
    <w:uiPriority w:val="99"/>
    <w:semiHidden/>
    <w:unhideWhenUsed/>
    <w:rsid w:val="00C56BF7"/>
    <w:pPr>
      <w:spacing w:line="240" w:lineRule="auto"/>
    </w:pPr>
    <w:rPr>
      <w:sz w:val="20"/>
      <w:szCs w:val="20"/>
    </w:rPr>
  </w:style>
  <w:style w:type="character" w:customStyle="1" w:styleId="CommentaireCar">
    <w:name w:val="Commentaire Car"/>
    <w:basedOn w:val="Policepardfaut"/>
    <w:link w:val="Commentaire"/>
    <w:uiPriority w:val="99"/>
    <w:semiHidden/>
    <w:rsid w:val="00C56BF7"/>
    <w:rPr>
      <w:sz w:val="20"/>
      <w:szCs w:val="20"/>
    </w:rPr>
  </w:style>
  <w:style w:type="paragraph" w:styleId="Objetducommentaire">
    <w:name w:val="annotation subject"/>
    <w:basedOn w:val="Commentaire"/>
    <w:next w:val="Commentaire"/>
    <w:link w:val="ObjetducommentaireCar"/>
    <w:uiPriority w:val="99"/>
    <w:semiHidden/>
    <w:unhideWhenUsed/>
    <w:rsid w:val="00C56BF7"/>
    <w:rPr>
      <w:b/>
      <w:bCs/>
    </w:rPr>
  </w:style>
  <w:style w:type="character" w:customStyle="1" w:styleId="ObjetducommentaireCar">
    <w:name w:val="Objet du commentaire Car"/>
    <w:basedOn w:val="CommentaireCar"/>
    <w:link w:val="Objetducommentaire"/>
    <w:uiPriority w:val="99"/>
    <w:semiHidden/>
    <w:rsid w:val="00C56BF7"/>
    <w:rPr>
      <w:b/>
      <w:bCs/>
      <w:sz w:val="20"/>
      <w:szCs w:val="20"/>
    </w:rPr>
  </w:style>
  <w:style w:type="paragraph" w:styleId="Notedebasdepage">
    <w:name w:val="footnote text"/>
    <w:basedOn w:val="Normal"/>
    <w:link w:val="NotedebasdepageCar"/>
    <w:uiPriority w:val="99"/>
    <w:semiHidden/>
    <w:unhideWhenUsed/>
    <w:rsid w:val="003B3BA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3BA9"/>
    <w:rPr>
      <w:sz w:val="20"/>
      <w:szCs w:val="20"/>
    </w:rPr>
  </w:style>
  <w:style w:type="character" w:styleId="Appelnotedebasdep">
    <w:name w:val="footnote reference"/>
    <w:basedOn w:val="Policepardfaut"/>
    <w:uiPriority w:val="99"/>
    <w:semiHidden/>
    <w:unhideWhenUsed/>
    <w:rsid w:val="003B3BA9"/>
    <w:rPr>
      <w:vertAlign w:val="superscript"/>
    </w:rPr>
  </w:style>
  <w:style w:type="character" w:customStyle="1" w:styleId="tlid-translation">
    <w:name w:val="tlid-translation"/>
    <w:basedOn w:val="Policepardfaut"/>
    <w:rsid w:val="007270F2"/>
  </w:style>
  <w:style w:type="paragraph" w:styleId="En-tte">
    <w:name w:val="header"/>
    <w:basedOn w:val="Normal"/>
    <w:link w:val="En-tteCar"/>
    <w:uiPriority w:val="99"/>
    <w:unhideWhenUsed/>
    <w:rsid w:val="00125E6B"/>
    <w:pPr>
      <w:tabs>
        <w:tab w:val="center" w:pos="4536"/>
        <w:tab w:val="right" w:pos="9072"/>
      </w:tabs>
      <w:spacing w:after="0" w:line="240" w:lineRule="auto"/>
    </w:pPr>
  </w:style>
  <w:style w:type="character" w:customStyle="1" w:styleId="En-tteCar">
    <w:name w:val="En-tête Car"/>
    <w:basedOn w:val="Policepardfaut"/>
    <w:link w:val="En-tte"/>
    <w:uiPriority w:val="99"/>
    <w:rsid w:val="00125E6B"/>
  </w:style>
  <w:style w:type="paragraph" w:styleId="Pieddepage">
    <w:name w:val="footer"/>
    <w:basedOn w:val="Normal"/>
    <w:link w:val="PieddepageCar"/>
    <w:uiPriority w:val="99"/>
    <w:unhideWhenUsed/>
    <w:rsid w:val="00125E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5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1443">
      <w:bodyDiv w:val="1"/>
      <w:marLeft w:val="0"/>
      <w:marRight w:val="0"/>
      <w:marTop w:val="0"/>
      <w:marBottom w:val="0"/>
      <w:divBdr>
        <w:top w:val="none" w:sz="0" w:space="0" w:color="auto"/>
        <w:left w:val="none" w:sz="0" w:space="0" w:color="auto"/>
        <w:bottom w:val="none" w:sz="0" w:space="0" w:color="auto"/>
        <w:right w:val="none" w:sz="0" w:space="0" w:color="auto"/>
      </w:divBdr>
    </w:div>
    <w:div w:id="108479661">
      <w:bodyDiv w:val="1"/>
      <w:marLeft w:val="0"/>
      <w:marRight w:val="0"/>
      <w:marTop w:val="0"/>
      <w:marBottom w:val="0"/>
      <w:divBdr>
        <w:top w:val="none" w:sz="0" w:space="0" w:color="auto"/>
        <w:left w:val="none" w:sz="0" w:space="0" w:color="auto"/>
        <w:bottom w:val="none" w:sz="0" w:space="0" w:color="auto"/>
        <w:right w:val="none" w:sz="0" w:space="0" w:color="auto"/>
      </w:divBdr>
    </w:div>
    <w:div w:id="676615182">
      <w:bodyDiv w:val="1"/>
      <w:marLeft w:val="0"/>
      <w:marRight w:val="0"/>
      <w:marTop w:val="0"/>
      <w:marBottom w:val="0"/>
      <w:divBdr>
        <w:top w:val="none" w:sz="0" w:space="0" w:color="auto"/>
        <w:left w:val="none" w:sz="0" w:space="0" w:color="auto"/>
        <w:bottom w:val="none" w:sz="0" w:space="0" w:color="auto"/>
        <w:right w:val="none" w:sz="0" w:space="0" w:color="auto"/>
      </w:divBdr>
    </w:div>
    <w:div w:id="1103695860">
      <w:bodyDiv w:val="1"/>
      <w:marLeft w:val="0"/>
      <w:marRight w:val="0"/>
      <w:marTop w:val="0"/>
      <w:marBottom w:val="0"/>
      <w:divBdr>
        <w:top w:val="none" w:sz="0" w:space="0" w:color="auto"/>
        <w:left w:val="none" w:sz="0" w:space="0" w:color="auto"/>
        <w:bottom w:val="none" w:sz="0" w:space="0" w:color="auto"/>
        <w:right w:val="none" w:sz="0" w:space="0" w:color="auto"/>
      </w:divBdr>
    </w:div>
    <w:div w:id="1123110691">
      <w:bodyDiv w:val="1"/>
      <w:marLeft w:val="0"/>
      <w:marRight w:val="0"/>
      <w:marTop w:val="0"/>
      <w:marBottom w:val="0"/>
      <w:divBdr>
        <w:top w:val="none" w:sz="0" w:space="0" w:color="auto"/>
        <w:left w:val="none" w:sz="0" w:space="0" w:color="auto"/>
        <w:bottom w:val="none" w:sz="0" w:space="0" w:color="auto"/>
        <w:right w:val="none" w:sz="0" w:space="0" w:color="auto"/>
      </w:divBdr>
      <w:divsChild>
        <w:div w:id="2063558932">
          <w:marLeft w:val="0"/>
          <w:marRight w:val="0"/>
          <w:marTop w:val="0"/>
          <w:marBottom w:val="0"/>
          <w:divBdr>
            <w:top w:val="none" w:sz="0" w:space="0" w:color="auto"/>
            <w:left w:val="none" w:sz="0" w:space="0" w:color="auto"/>
            <w:bottom w:val="none" w:sz="0" w:space="0" w:color="auto"/>
            <w:right w:val="none" w:sz="0" w:space="0" w:color="auto"/>
          </w:divBdr>
          <w:divsChild>
            <w:div w:id="783621986">
              <w:marLeft w:val="0"/>
              <w:marRight w:val="0"/>
              <w:marTop w:val="0"/>
              <w:marBottom w:val="0"/>
              <w:divBdr>
                <w:top w:val="none" w:sz="0" w:space="0" w:color="auto"/>
                <w:left w:val="none" w:sz="0" w:space="0" w:color="auto"/>
                <w:bottom w:val="none" w:sz="0" w:space="0" w:color="auto"/>
                <w:right w:val="none" w:sz="0" w:space="0" w:color="auto"/>
              </w:divBdr>
              <w:divsChild>
                <w:div w:id="615714925">
                  <w:marLeft w:val="0"/>
                  <w:marRight w:val="0"/>
                  <w:marTop w:val="0"/>
                  <w:marBottom w:val="0"/>
                  <w:divBdr>
                    <w:top w:val="none" w:sz="0" w:space="0" w:color="auto"/>
                    <w:left w:val="none" w:sz="0" w:space="0" w:color="auto"/>
                    <w:bottom w:val="none" w:sz="0" w:space="0" w:color="auto"/>
                    <w:right w:val="none" w:sz="0" w:space="0" w:color="auto"/>
                  </w:divBdr>
                  <w:divsChild>
                    <w:div w:id="1477140808">
                      <w:marLeft w:val="0"/>
                      <w:marRight w:val="0"/>
                      <w:marTop w:val="0"/>
                      <w:marBottom w:val="0"/>
                      <w:divBdr>
                        <w:top w:val="none" w:sz="0" w:space="0" w:color="auto"/>
                        <w:left w:val="none" w:sz="0" w:space="0" w:color="auto"/>
                        <w:bottom w:val="none" w:sz="0" w:space="0" w:color="auto"/>
                        <w:right w:val="none" w:sz="0" w:space="0" w:color="auto"/>
                      </w:divBdr>
                      <w:divsChild>
                        <w:div w:id="12853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rsaleofchildren@ohch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2.ohchr.org/french/law/crc-sale.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ohchr.org/french/law/crc-conflict.htm" TargetMode="External"/><Relationship Id="rId5" Type="http://schemas.openxmlformats.org/officeDocument/2006/relationships/numbering" Target="numbering.xml"/><Relationship Id="rId15" Type="http://schemas.openxmlformats.org/officeDocument/2006/relationships/hyperlink" Target="mailto:srsaleofchildren@ohchr.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Issues/Children/Pages/Children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EEA3A-007A-4F5F-89AE-17C46A53898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F1FD812-D55D-4426-B43D-A40983497AC8}">
  <ds:schemaRefs>
    <ds:schemaRef ds:uri="http://schemas.microsoft.com/sharepoint/v3/contenttype/forms"/>
  </ds:schemaRefs>
</ds:datastoreItem>
</file>

<file path=customXml/itemProps3.xml><?xml version="1.0" encoding="utf-8"?>
<ds:datastoreItem xmlns:ds="http://schemas.openxmlformats.org/officeDocument/2006/customXml" ds:itemID="{D0B36240-7FA3-4838-B6D8-95B008E5E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2B1673-EF41-4A52-92A2-09455F95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3701</Words>
  <Characters>20361</Characters>
  <Application>Microsoft Office Word</Application>
  <DocSecurity>0</DocSecurity>
  <Lines>169</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Dorian</dc:creator>
  <cp:lastModifiedBy>dpjej RCI</cp:lastModifiedBy>
  <cp:revision>12</cp:revision>
  <dcterms:created xsi:type="dcterms:W3CDTF">2019-09-23T09:20:00Z</dcterms:created>
  <dcterms:modified xsi:type="dcterms:W3CDTF">2019-09-25T10:41:00Z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