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C7D0" w14:textId="4FFC1036" w:rsidR="00551974" w:rsidRDefault="008F7017">
      <w:pPr>
        <w:spacing w:after="21" w:line="259" w:lineRule="auto"/>
        <w:ind w:left="66" w:firstLine="0"/>
        <w:jc w:val="center"/>
      </w:pPr>
      <w:r>
        <w:rPr>
          <w:noProof/>
        </w:rPr>
        <w:drawing>
          <wp:inline distT="0" distB="0" distL="0" distR="0" wp14:anchorId="144C7507" wp14:editId="543250D4">
            <wp:extent cx="1007110" cy="10071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007110" cy="1007110"/>
                    </a:xfrm>
                    <a:prstGeom prst="rect">
                      <a:avLst/>
                    </a:prstGeom>
                  </pic:spPr>
                </pic:pic>
              </a:graphicData>
            </a:graphic>
          </wp:inline>
        </w:drawing>
      </w:r>
      <w:r>
        <w:rPr>
          <w:rFonts w:ascii="Calibri" w:eastAsia="Calibri" w:hAnsi="Calibri" w:cs="Calibri"/>
        </w:rPr>
        <w:t xml:space="preserve"> </w:t>
      </w:r>
      <w:r w:rsidR="00337867">
        <w:rPr>
          <w:rFonts w:ascii="Calibri" w:eastAsia="Calibri" w:hAnsi="Calibri" w:cs="Calibri"/>
        </w:rPr>
        <w:t xml:space="preserve">                                         </w:t>
      </w:r>
      <w:r w:rsidR="002F0A1E">
        <w:rPr>
          <w:noProof/>
        </w:rPr>
        <w:drawing>
          <wp:inline distT="0" distB="0" distL="0" distR="0" wp14:anchorId="18AD078C" wp14:editId="1C7B6EAF">
            <wp:extent cx="2857500" cy="117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7329" cy="1198805"/>
                    </a:xfrm>
                    <a:prstGeom prst="rect">
                      <a:avLst/>
                    </a:prstGeom>
                    <a:noFill/>
                    <a:ln>
                      <a:noFill/>
                    </a:ln>
                  </pic:spPr>
                </pic:pic>
              </a:graphicData>
            </a:graphic>
          </wp:inline>
        </w:drawing>
      </w:r>
    </w:p>
    <w:p w14:paraId="105541F2" w14:textId="77777777" w:rsidR="00551974" w:rsidRDefault="008F7017">
      <w:pPr>
        <w:spacing w:after="162" w:line="259" w:lineRule="auto"/>
        <w:ind w:left="17" w:firstLine="0"/>
      </w:pPr>
      <w:r>
        <w:rPr>
          <w:rFonts w:ascii="MetaBold-Roman" w:eastAsia="MetaBold-Roman" w:hAnsi="MetaBold-Roman" w:cs="MetaBold-Roman"/>
          <w:b/>
          <w:sz w:val="32"/>
        </w:rPr>
        <w:t xml:space="preserve"> </w:t>
      </w:r>
    </w:p>
    <w:p w14:paraId="31CF8A0D" w14:textId="77777777" w:rsidR="00337867" w:rsidRDefault="008F7017" w:rsidP="00337867">
      <w:pPr>
        <w:spacing w:after="1" w:line="260" w:lineRule="auto"/>
        <w:ind w:left="50" w:right="26"/>
        <w:jc w:val="center"/>
        <w:rPr>
          <w:rFonts w:ascii="MetaBold-Roman" w:eastAsia="MetaBold-Roman" w:hAnsi="MetaBold-Roman" w:cs="MetaBold-Roman"/>
          <w:b/>
          <w:sz w:val="32"/>
        </w:rPr>
      </w:pPr>
      <w:r>
        <w:rPr>
          <w:rFonts w:ascii="MetaBold-Roman" w:eastAsia="MetaBold-Roman" w:hAnsi="MetaBold-Roman" w:cs="MetaBold-Roman"/>
          <w:b/>
          <w:sz w:val="32"/>
        </w:rPr>
        <w:t xml:space="preserve">Submission to the </w:t>
      </w:r>
      <w:r w:rsidR="00337867" w:rsidRPr="00337867">
        <w:rPr>
          <w:rFonts w:ascii="MetaBold-Roman" w:eastAsia="MetaBold-Roman" w:hAnsi="MetaBold-Roman" w:cs="MetaBold-Roman"/>
          <w:b/>
          <w:sz w:val="32"/>
        </w:rPr>
        <w:t>Special Rapporteur on the sale and sexual exploitation of children</w:t>
      </w:r>
    </w:p>
    <w:p w14:paraId="01EFE3DA" w14:textId="77777777" w:rsidR="00551974" w:rsidRPr="00E70587" w:rsidRDefault="008F7017">
      <w:pPr>
        <w:spacing w:after="159" w:line="260" w:lineRule="auto"/>
        <w:ind w:left="50" w:right="25"/>
        <w:jc w:val="center"/>
        <w:rPr>
          <w:i/>
        </w:rPr>
      </w:pPr>
      <w:r w:rsidRPr="00E70587">
        <w:rPr>
          <w:rFonts w:ascii="MetaBold-Roman" w:eastAsia="MetaBold-Roman" w:hAnsi="MetaBold-Roman" w:cs="MetaBold-Roman"/>
          <w:b/>
          <w:i/>
          <w:sz w:val="32"/>
        </w:rPr>
        <w:t xml:space="preserve"> </w:t>
      </w:r>
    </w:p>
    <w:p w14:paraId="6B04CE7A" w14:textId="77777777" w:rsidR="00551974" w:rsidRPr="00E70587" w:rsidRDefault="00337867">
      <w:pPr>
        <w:spacing w:after="53" w:line="260" w:lineRule="auto"/>
        <w:ind w:left="50"/>
        <w:jc w:val="center"/>
        <w:rPr>
          <w:i/>
        </w:rPr>
      </w:pPr>
      <w:r w:rsidRPr="00E70587">
        <w:rPr>
          <w:rFonts w:ascii="MetaBold-Roman" w:eastAsia="MetaBold-Roman" w:hAnsi="MetaBold-Roman" w:cs="MetaBold-Roman"/>
          <w:b/>
          <w:i/>
          <w:sz w:val="32"/>
        </w:rPr>
        <w:t>Inputs on safeguards for the protection of the rights of children born from surrogacy arrangements</w:t>
      </w:r>
      <w:r w:rsidR="008F7017" w:rsidRPr="00E70587">
        <w:rPr>
          <w:rFonts w:ascii="MetaBold-Roman" w:eastAsia="MetaBold-Roman" w:hAnsi="MetaBold-Roman" w:cs="MetaBold-Roman"/>
          <w:b/>
          <w:i/>
          <w:sz w:val="32"/>
        </w:rPr>
        <w:t xml:space="preserve"> </w:t>
      </w:r>
    </w:p>
    <w:p w14:paraId="32720593" w14:textId="77777777" w:rsidR="00551974" w:rsidRDefault="008F7017">
      <w:pPr>
        <w:spacing w:after="67" w:line="259" w:lineRule="auto"/>
        <w:ind w:left="66" w:firstLine="0"/>
        <w:jc w:val="center"/>
      </w:pPr>
      <w:r>
        <w:rPr>
          <w:rFonts w:ascii="Calibri" w:eastAsia="Calibri" w:hAnsi="Calibri" w:cs="Calibri"/>
        </w:rPr>
        <w:t xml:space="preserve"> </w:t>
      </w:r>
    </w:p>
    <w:p w14:paraId="5B4CAE7E" w14:textId="77777777" w:rsidR="00551974" w:rsidRDefault="00337867">
      <w:pPr>
        <w:spacing w:after="0" w:line="259" w:lineRule="auto"/>
        <w:ind w:left="19" w:firstLine="0"/>
        <w:jc w:val="center"/>
      </w:pPr>
      <w:r>
        <w:rPr>
          <w:rFonts w:ascii="MetaBold-Roman" w:eastAsia="MetaBold-Roman" w:hAnsi="MetaBold-Roman" w:cs="MetaBold-Roman"/>
          <w:b/>
          <w:sz w:val="28"/>
        </w:rPr>
        <w:t>May 2019</w:t>
      </w:r>
      <w:r w:rsidR="008F7017">
        <w:rPr>
          <w:rFonts w:ascii="MetaBold-Roman" w:eastAsia="MetaBold-Roman" w:hAnsi="MetaBold-Roman" w:cs="MetaBold-Roman"/>
          <w:b/>
          <w:sz w:val="28"/>
        </w:rPr>
        <w:t xml:space="preserve"> </w:t>
      </w:r>
    </w:p>
    <w:p w14:paraId="27CF0CAA" w14:textId="77777777" w:rsidR="00551974" w:rsidRDefault="008F7017">
      <w:pPr>
        <w:spacing w:after="0" w:line="259" w:lineRule="auto"/>
        <w:ind w:left="67" w:firstLine="0"/>
        <w:jc w:val="center"/>
      </w:pPr>
      <w:r>
        <w:t xml:space="preserve"> </w:t>
      </w:r>
    </w:p>
    <w:p w14:paraId="4D259705" w14:textId="3DDE3F4E" w:rsidR="00337867" w:rsidRDefault="002F0A1E">
      <w:pPr>
        <w:ind w:left="12"/>
      </w:pPr>
      <w:r>
        <w:t xml:space="preserve">International Women’s Health Coalition </w:t>
      </w:r>
      <w:r w:rsidR="00337867">
        <w:t xml:space="preserve">and </w:t>
      </w:r>
      <w:r w:rsidR="008F7017">
        <w:t xml:space="preserve">Human Rights Watch welcome the opportunity to provide input to the </w:t>
      </w:r>
      <w:r w:rsidR="00337867">
        <w:t>Special Rapporteur on the sale and sexual exploitation of children on the topic of safeguards for the protection of the rights of children born from surrogacy arrangements.</w:t>
      </w:r>
    </w:p>
    <w:p w14:paraId="361F7CAC" w14:textId="77777777" w:rsidR="00337867" w:rsidRDefault="00337867">
      <w:pPr>
        <w:ind w:left="12"/>
      </w:pPr>
    </w:p>
    <w:p w14:paraId="70FEB4DD" w14:textId="47449AE8" w:rsidR="00551974" w:rsidRDefault="00337867">
      <w:pPr>
        <w:ind w:left="12"/>
      </w:pPr>
      <w:r>
        <w:t xml:space="preserve">We appreciate the Special Rapporteur’s attention to new issues arising from innovations </w:t>
      </w:r>
      <w:r w:rsidR="00F17564">
        <w:t xml:space="preserve">around </w:t>
      </w:r>
      <w:r>
        <w:t>assisted reproducti</w:t>
      </w:r>
      <w:r w:rsidR="00F17564">
        <w:t>on</w:t>
      </w:r>
      <w:r w:rsidR="00C90292">
        <w:t>.</w:t>
      </w:r>
      <w:r w:rsidR="006B57DA">
        <w:t xml:space="preserve"> We share the view</w:t>
      </w:r>
      <w:r>
        <w:t xml:space="preserve"> that these developments raise important human rights issues.</w:t>
      </w:r>
      <w:r w:rsidR="008F7017">
        <w:t xml:space="preserve"> </w:t>
      </w:r>
    </w:p>
    <w:p w14:paraId="766D6F14" w14:textId="77777777" w:rsidR="00337867" w:rsidRDefault="00337867">
      <w:pPr>
        <w:ind w:left="12"/>
      </w:pPr>
    </w:p>
    <w:p w14:paraId="66F4D402" w14:textId="1426939D" w:rsidR="002F0A1E" w:rsidRDefault="002F0A1E" w:rsidP="002F0A1E">
      <w:pPr>
        <w:ind w:left="12"/>
      </w:pPr>
      <w:r>
        <w:t>International Women’s Health Coalition</w:t>
      </w:r>
      <w:r w:rsidR="00337867">
        <w:t xml:space="preserve"> and Human Rights Watch have decades of experience examining issues relevant to this topic in countries around the world. </w:t>
      </w:r>
      <w:r w:rsidRPr="002F0A1E">
        <w:t xml:space="preserve">IWHC has a long history advocating to advance sexual and reproductive rights at the global and regional levels. </w:t>
      </w:r>
      <w:r>
        <w:t xml:space="preserve">The organization </w:t>
      </w:r>
      <w:r w:rsidRPr="002F0A1E">
        <w:t>currently support</w:t>
      </w:r>
      <w:r>
        <w:t>s</w:t>
      </w:r>
      <w:r w:rsidRPr="002F0A1E">
        <w:t xml:space="preserve"> grantee partners’ advocacy on these issues in Argentina, Brazil, Cameroon, Egypt, Fiji, India, Kenya, Lebanon, Nigeria, Pakistan, Peru, Poland, South Africa, Turkey and Uruguay.</w:t>
      </w:r>
      <w:r>
        <w:t xml:space="preserve"> </w:t>
      </w:r>
      <w:r w:rsidR="00DA4A51">
        <w:t>We are</w:t>
      </w:r>
      <w:r>
        <w:t xml:space="preserve"> also </w:t>
      </w:r>
      <w:r>
        <w:t xml:space="preserve">currently doing documentation work on the impact of the global gag rule in Nepal, Nigeria, Kenya and South Africa, as well as documentation on the impact of refusals to provide care on the ground of conscience in Chile. </w:t>
      </w:r>
    </w:p>
    <w:p w14:paraId="68F6FAE4" w14:textId="77777777" w:rsidR="002F0A1E" w:rsidRDefault="002F0A1E">
      <w:pPr>
        <w:ind w:left="12"/>
      </w:pPr>
    </w:p>
    <w:p w14:paraId="5F4B4893" w14:textId="51302900" w:rsidR="006B57DA" w:rsidRDefault="002F0A1E">
      <w:pPr>
        <w:ind w:left="12"/>
      </w:pPr>
      <w:r>
        <w:t xml:space="preserve">Human Rights Watch has </w:t>
      </w:r>
      <w:r w:rsidR="00337867">
        <w:t xml:space="preserve">extensive experience documenting human rights abuses including trafficking of children and women, sexual exploitation of children and women, </w:t>
      </w:r>
      <w:r w:rsidR="006B57DA">
        <w:t>violations of</w:t>
      </w:r>
      <w:r w:rsidR="00337867">
        <w:t xml:space="preserve"> the </w:t>
      </w:r>
      <w:r w:rsidR="00F17564">
        <w:t xml:space="preserve">sexual and </w:t>
      </w:r>
      <w:r w:rsidR="00337867">
        <w:t>reproductive rights of women and girls</w:t>
      </w:r>
      <w:r w:rsidR="00E70587">
        <w:t xml:space="preserve">, and criminalization of sexual and reproductive </w:t>
      </w:r>
      <w:r w:rsidR="00F17564">
        <w:t>actions a</w:t>
      </w:r>
      <w:bookmarkStart w:id="0" w:name="_GoBack"/>
      <w:bookmarkEnd w:id="0"/>
      <w:r w:rsidR="00F17564">
        <w:t>nd decisions</w:t>
      </w:r>
      <w:r w:rsidR="006B57DA">
        <w:t>.</w:t>
      </w:r>
      <w:r w:rsidR="00E70587">
        <w:t xml:space="preserve"> We have conducted research on these topics in Afghanistan, </w:t>
      </w:r>
      <w:r w:rsidR="00F17564">
        <w:t xml:space="preserve"> </w:t>
      </w:r>
      <w:r w:rsidR="00A05396">
        <w:t xml:space="preserve">Bangladesh, </w:t>
      </w:r>
      <w:r w:rsidR="00E70587">
        <w:t xml:space="preserve">Brazil, </w:t>
      </w:r>
      <w:r w:rsidR="00B546A4">
        <w:t xml:space="preserve">Burkina Faso, </w:t>
      </w:r>
      <w:r w:rsidR="007C0E8E">
        <w:t xml:space="preserve">Chile, </w:t>
      </w:r>
      <w:r w:rsidR="00F17564">
        <w:t xml:space="preserve">China, </w:t>
      </w:r>
      <w:r w:rsidR="00D54EEC">
        <w:t xml:space="preserve">Colombia, </w:t>
      </w:r>
      <w:r w:rsidR="00E70587">
        <w:t xml:space="preserve">Dominican Republic, Ecuador, </w:t>
      </w:r>
      <w:r w:rsidR="00B546A4">
        <w:t xml:space="preserve">El Salvador, </w:t>
      </w:r>
      <w:r w:rsidR="00E70587">
        <w:t xml:space="preserve">Honduras, </w:t>
      </w:r>
      <w:r w:rsidR="00F17564">
        <w:t xml:space="preserve">Indonesia, </w:t>
      </w:r>
      <w:r w:rsidR="00E70587">
        <w:t>Ireland, Maur</w:t>
      </w:r>
      <w:r w:rsidR="00C90292">
        <w:t>i</w:t>
      </w:r>
      <w:r w:rsidR="00E70587">
        <w:t xml:space="preserve">tania, </w:t>
      </w:r>
      <w:r w:rsidR="007C322C">
        <w:t xml:space="preserve">Mexico, </w:t>
      </w:r>
      <w:r w:rsidR="00E70587">
        <w:t xml:space="preserve">Myanmar, </w:t>
      </w:r>
      <w:r>
        <w:t xml:space="preserve">Nepal, </w:t>
      </w:r>
      <w:r w:rsidR="00E70587">
        <w:t xml:space="preserve">Nicaragua, </w:t>
      </w:r>
      <w:r w:rsidR="007C322C">
        <w:t xml:space="preserve">Ireland, </w:t>
      </w:r>
      <w:r w:rsidR="00F17564">
        <w:t xml:space="preserve">Papua New Guinea, </w:t>
      </w:r>
      <w:r w:rsidR="00CC1F02">
        <w:t xml:space="preserve">Poland, </w:t>
      </w:r>
      <w:r w:rsidR="00E70587">
        <w:t>South Africa</w:t>
      </w:r>
      <w:r w:rsidR="00CC1F02">
        <w:t>,</w:t>
      </w:r>
      <w:r w:rsidR="00B546A4">
        <w:t xml:space="preserve"> Sierra Leone,</w:t>
      </w:r>
      <w:r w:rsidR="00CC1F02">
        <w:t xml:space="preserve"> </w:t>
      </w:r>
      <w:r w:rsidR="00F17564">
        <w:t>the United States of America</w:t>
      </w:r>
      <w:r w:rsidR="00B546A4">
        <w:t xml:space="preserve"> and Zimbabwe</w:t>
      </w:r>
      <w:r w:rsidR="00F17564">
        <w:t>.</w:t>
      </w:r>
      <w:r w:rsidR="00E70587">
        <w:t xml:space="preserve"> </w:t>
      </w:r>
    </w:p>
    <w:p w14:paraId="662C2869" w14:textId="77777777" w:rsidR="006B57DA" w:rsidRDefault="006B57DA">
      <w:pPr>
        <w:ind w:left="12"/>
      </w:pPr>
    </w:p>
    <w:p w14:paraId="47172B65" w14:textId="60AE2352" w:rsidR="006B57DA" w:rsidRDefault="007C69FD">
      <w:pPr>
        <w:ind w:left="12"/>
      </w:pPr>
      <w:r>
        <w:t>The</w:t>
      </w:r>
      <w:r w:rsidR="006B57DA">
        <w:t xml:space="preserve"> issue of surrogacy arrangements, particularly </w:t>
      </w:r>
      <w:r w:rsidR="00F17564">
        <w:t xml:space="preserve">compensated </w:t>
      </w:r>
      <w:r w:rsidR="006B57DA">
        <w:t xml:space="preserve">surrogacy arrangements, requires careful consideration of </w:t>
      </w:r>
      <w:r w:rsidR="00C90292">
        <w:t xml:space="preserve">several sets </w:t>
      </w:r>
      <w:r w:rsidR="006B57DA">
        <w:t xml:space="preserve">of </w:t>
      </w:r>
      <w:r>
        <w:t xml:space="preserve">intersecting </w:t>
      </w:r>
      <w:r w:rsidR="006B57DA">
        <w:t>rights, and the interests of multiple rights holders.</w:t>
      </w:r>
      <w:r w:rsidR="00F17564">
        <w:t xml:space="preserve"> This </w:t>
      </w:r>
      <w:r w:rsidR="00984618">
        <w:t xml:space="preserve">is particularly important given that human rights analysis around surrogacy is </w:t>
      </w:r>
      <w:r>
        <w:t xml:space="preserve">relatively </w:t>
      </w:r>
      <w:r w:rsidR="00984618">
        <w:t>nascent and given the key principles of universality and interdependence of human rights.</w:t>
      </w:r>
      <w:r w:rsidR="007D53A1">
        <w:t xml:space="preserve"> We have reviewed the Special Rapporteur’s previous work on this issue and appreciate the strong focus that work has brought to the rights and interest</w:t>
      </w:r>
      <w:r w:rsidR="00450EDB">
        <w:t>s</w:t>
      </w:r>
      <w:r w:rsidR="007D53A1">
        <w:t xml:space="preserve"> of children born of surrogacy </w:t>
      </w:r>
      <w:r w:rsidR="007D53A1">
        <w:lastRenderedPageBreak/>
        <w:t xml:space="preserve">arrangements. Our goal, in this submission, is to </w:t>
      </w:r>
      <w:r w:rsidR="00450EDB">
        <w:t>highlight the other rights and rights holders also essential to this discussion.</w:t>
      </w:r>
    </w:p>
    <w:p w14:paraId="2434E992" w14:textId="1CF1414F" w:rsidR="002326A9" w:rsidRDefault="002326A9">
      <w:pPr>
        <w:ind w:left="12"/>
      </w:pPr>
    </w:p>
    <w:p w14:paraId="6E63412C" w14:textId="004339BA" w:rsidR="002326A9" w:rsidRPr="00C11B66" w:rsidRDefault="002326A9">
      <w:pPr>
        <w:ind w:left="12"/>
      </w:pPr>
      <w:r>
        <w:t xml:space="preserve">We </w:t>
      </w:r>
      <w:r w:rsidR="00C81C00">
        <w:t>are concerned by</w:t>
      </w:r>
      <w:r>
        <w:t xml:space="preserve"> an</w:t>
      </w:r>
      <w:r w:rsidR="00442801">
        <w:t>y</w:t>
      </w:r>
      <w:r>
        <w:t xml:space="preserve"> over-broad view of the applicability of the prohibition on the sale of children to surrogacy</w:t>
      </w:r>
      <w:r w:rsidR="001F6D7E">
        <w:t xml:space="preserve"> that would unnecessarily, disproportionately or in a discriminatory fashion limit the options of surrogacy as a means of founding a family and exercising reproductive rights</w:t>
      </w:r>
      <w:r>
        <w:t>. The optional protocol prohibits “</w:t>
      </w:r>
      <w:r w:rsidRPr="002326A9">
        <w:t>any act or transaction whereby a child is transfer</w:t>
      </w:r>
      <w:r w:rsidRPr="00C11B66">
        <w:t xml:space="preserve">red by any person or group of persons to another for remuneration or any other consideration.” People acting as surrogates </w:t>
      </w:r>
      <w:r w:rsidR="007C69FD" w:rsidRPr="00C11B66">
        <w:t>may</w:t>
      </w:r>
      <w:r w:rsidRPr="00C11B66">
        <w:t xml:space="preserve"> do so for no </w:t>
      </w:r>
      <w:r w:rsidR="007C322C" w:rsidRPr="00C11B66">
        <w:t xml:space="preserve">remuneration (money paid for work or a service) or </w:t>
      </w:r>
      <w:r w:rsidR="00AD7298" w:rsidRPr="00C11B66">
        <w:t xml:space="preserve">no </w:t>
      </w:r>
      <w:r w:rsidR="007C322C" w:rsidRPr="00C11B66">
        <w:t>consideration (money in exchange for benefits, goods, or services)</w:t>
      </w:r>
      <w:r w:rsidRPr="00C11B66">
        <w:t xml:space="preserve">, and in other cases may receive compensation that constitutes fair recompense for lost wages and other opportunity costs, health care and nutrition expenses, and restitution for the significant </w:t>
      </w:r>
      <w:r w:rsidR="00442801" w:rsidRPr="00C11B66">
        <w:t xml:space="preserve">burdens and risks associated with pregnancy. </w:t>
      </w:r>
      <w:r w:rsidR="00AD7298" w:rsidRPr="00C11B66">
        <w:t>We submit that s</w:t>
      </w:r>
      <w:r w:rsidR="00442801" w:rsidRPr="00C11B66">
        <w:t xml:space="preserve">uch </w:t>
      </w:r>
      <w:r w:rsidR="00662CDF" w:rsidRPr="00C11B66">
        <w:t xml:space="preserve">arrangements </w:t>
      </w:r>
      <w:r w:rsidR="00AD7298" w:rsidRPr="00C11B66">
        <w:t xml:space="preserve">do not and should </w:t>
      </w:r>
      <w:r w:rsidR="00442801" w:rsidRPr="00C11B66">
        <w:t>not</w:t>
      </w:r>
      <w:r w:rsidR="00662CDF" w:rsidRPr="00C11B66">
        <w:t xml:space="preserve"> in and of themselves</w:t>
      </w:r>
      <w:r w:rsidR="00442801" w:rsidRPr="00C11B66">
        <w:t xml:space="preserve"> constitute sale of children under the optional protocol.</w:t>
      </w:r>
    </w:p>
    <w:p w14:paraId="5EE8A711" w14:textId="77777777" w:rsidR="006B57DA" w:rsidRPr="00C11B66" w:rsidRDefault="006B57DA">
      <w:pPr>
        <w:ind w:left="12"/>
      </w:pPr>
    </w:p>
    <w:p w14:paraId="1E5E2E2A" w14:textId="500063F9" w:rsidR="006B57DA" w:rsidRPr="00C11B66" w:rsidRDefault="006B57DA">
      <w:pPr>
        <w:ind w:left="12"/>
      </w:pPr>
      <w:r w:rsidRPr="00C11B66">
        <w:t xml:space="preserve">In this submission we outline our recommendations regarding: </w:t>
      </w:r>
      <w:bookmarkStart w:id="1" w:name="_Hlk8384660"/>
      <w:r w:rsidRPr="00C11B66">
        <w:t xml:space="preserve">1) relevant </w:t>
      </w:r>
      <w:r w:rsidR="00984618" w:rsidRPr="00C11B66">
        <w:t xml:space="preserve">human </w:t>
      </w:r>
      <w:r w:rsidRPr="00C11B66">
        <w:t>rights that should inform discussion</w:t>
      </w:r>
      <w:r w:rsidR="00984618" w:rsidRPr="00C11B66">
        <w:t>s</w:t>
      </w:r>
      <w:r w:rsidRPr="00C11B66">
        <w:t xml:space="preserve"> </w:t>
      </w:r>
      <w:r w:rsidR="00984618" w:rsidRPr="00C11B66">
        <w:t xml:space="preserve">around </w:t>
      </w:r>
      <w:r w:rsidRPr="00C11B66">
        <w:t>surrogacy</w:t>
      </w:r>
      <w:bookmarkEnd w:id="1"/>
      <w:r w:rsidRPr="00C11B66">
        <w:t xml:space="preserve">; 2) </w:t>
      </w:r>
      <w:bookmarkStart w:id="2" w:name="_Hlk8389380"/>
      <w:r w:rsidRPr="00C11B66">
        <w:t xml:space="preserve">relevant rights holders who </w:t>
      </w:r>
      <w:r w:rsidR="007C69FD" w:rsidRPr="00C11B66">
        <w:t xml:space="preserve">should </w:t>
      </w:r>
      <w:r w:rsidRPr="00C11B66">
        <w:t xml:space="preserve">be part of discussions </w:t>
      </w:r>
      <w:r w:rsidR="00C7482E" w:rsidRPr="00C11B66">
        <w:t>regarding surrogacy</w:t>
      </w:r>
      <w:bookmarkEnd w:id="2"/>
      <w:r w:rsidRPr="00C11B66">
        <w:t xml:space="preserve">; and </w:t>
      </w:r>
      <w:bookmarkStart w:id="3" w:name="_Hlk8390072"/>
      <w:r w:rsidRPr="00C11B66">
        <w:t xml:space="preserve">3) </w:t>
      </w:r>
      <w:r w:rsidR="00984618" w:rsidRPr="00C11B66">
        <w:t xml:space="preserve">longstanding human rights </w:t>
      </w:r>
      <w:r w:rsidRPr="00C11B66">
        <w:t>principles that should</w:t>
      </w:r>
      <w:r w:rsidR="008B2033" w:rsidRPr="00C11B66">
        <w:t xml:space="preserve"> guide and inform legal and policy framework development</w:t>
      </w:r>
      <w:r w:rsidRPr="00C11B66">
        <w:t xml:space="preserve"> on this issue</w:t>
      </w:r>
      <w:bookmarkEnd w:id="3"/>
      <w:r w:rsidRPr="00C11B66">
        <w:t xml:space="preserve">.   </w:t>
      </w:r>
    </w:p>
    <w:p w14:paraId="1E1DC5D2" w14:textId="77777777" w:rsidR="006B57DA" w:rsidRPr="00C11B66" w:rsidRDefault="006B57DA">
      <w:pPr>
        <w:ind w:left="12"/>
        <w:rPr>
          <w:b/>
          <w:u w:val="single"/>
        </w:rPr>
      </w:pPr>
    </w:p>
    <w:p w14:paraId="773AC47B" w14:textId="3C064517" w:rsidR="00337867" w:rsidRPr="00C11B66" w:rsidRDefault="00C7482E" w:rsidP="008C197B">
      <w:pPr>
        <w:pStyle w:val="ListParagraph"/>
        <w:numPr>
          <w:ilvl w:val="0"/>
          <w:numId w:val="2"/>
        </w:numPr>
        <w:rPr>
          <w:b/>
          <w:u w:val="single"/>
        </w:rPr>
      </w:pPr>
      <w:r w:rsidRPr="00C11B66">
        <w:rPr>
          <w:b/>
          <w:u w:val="single"/>
        </w:rPr>
        <w:t>Relevant h</w:t>
      </w:r>
      <w:r w:rsidR="008C197B" w:rsidRPr="00C11B66">
        <w:rPr>
          <w:b/>
          <w:u w:val="single"/>
        </w:rPr>
        <w:t>uman rights</w:t>
      </w:r>
      <w:r w:rsidR="006B57DA" w:rsidRPr="00C11B66">
        <w:rPr>
          <w:b/>
          <w:u w:val="single"/>
        </w:rPr>
        <w:t xml:space="preserve"> that should inform a</w:t>
      </w:r>
      <w:r w:rsidR="008C197B" w:rsidRPr="00C11B66">
        <w:rPr>
          <w:b/>
          <w:u w:val="single"/>
        </w:rPr>
        <w:t>ny</w:t>
      </w:r>
      <w:r w:rsidR="006B57DA" w:rsidRPr="00C11B66">
        <w:rPr>
          <w:b/>
          <w:u w:val="single"/>
        </w:rPr>
        <w:t xml:space="preserve"> discussion</w:t>
      </w:r>
      <w:r w:rsidR="00984618" w:rsidRPr="00C11B66">
        <w:rPr>
          <w:b/>
          <w:u w:val="single"/>
        </w:rPr>
        <w:t>s</w:t>
      </w:r>
      <w:r w:rsidR="006B57DA" w:rsidRPr="00C11B66">
        <w:rPr>
          <w:b/>
          <w:u w:val="single"/>
        </w:rPr>
        <w:t xml:space="preserve"> </w:t>
      </w:r>
      <w:r w:rsidR="00984618" w:rsidRPr="00C11B66">
        <w:rPr>
          <w:b/>
          <w:u w:val="single"/>
        </w:rPr>
        <w:t xml:space="preserve">around </w:t>
      </w:r>
      <w:r w:rsidR="006B57DA" w:rsidRPr="00C11B66">
        <w:rPr>
          <w:b/>
          <w:u w:val="single"/>
        </w:rPr>
        <w:t>surrogacy</w:t>
      </w:r>
    </w:p>
    <w:p w14:paraId="24908F8E" w14:textId="77777777" w:rsidR="008C197B" w:rsidRPr="00C11B66" w:rsidRDefault="008C197B" w:rsidP="008C197B">
      <w:pPr>
        <w:rPr>
          <w:b/>
          <w:u w:val="single"/>
        </w:rPr>
      </w:pPr>
    </w:p>
    <w:p w14:paraId="58E01194" w14:textId="77777777" w:rsidR="008C197B" w:rsidRPr="00C11B66" w:rsidRDefault="008C197B" w:rsidP="008C197B">
      <w:r w:rsidRPr="00C11B66">
        <w:t>The call for inputs listed the following as “The core standards guiding the Special Rapporteur in the context of surrogacy”:</w:t>
      </w:r>
    </w:p>
    <w:p w14:paraId="270F3030" w14:textId="77777777" w:rsidR="008C197B" w:rsidRPr="00C11B66" w:rsidRDefault="008C197B" w:rsidP="008C197B"/>
    <w:p w14:paraId="0CB8579D" w14:textId="024AA934" w:rsidR="008C197B" w:rsidRDefault="008C197B" w:rsidP="008C197B">
      <w:pPr>
        <w:pStyle w:val="ListParagraph"/>
        <w:numPr>
          <w:ilvl w:val="0"/>
          <w:numId w:val="3"/>
        </w:numPr>
      </w:pPr>
      <w:r w:rsidRPr="00C11B66">
        <w:t>Best interests of the child as a primary consideration ((CRC art. 3, para. 1)</w:t>
      </w:r>
      <w:r>
        <w:t xml:space="preserve"> and General </w:t>
      </w:r>
      <w:r w:rsidR="00C45BA0">
        <w:t>C</w:t>
      </w:r>
      <w:r>
        <w:t>omment No. 14 (2013));</w:t>
      </w:r>
    </w:p>
    <w:p w14:paraId="57BCDEAA" w14:textId="3D297D4E" w:rsidR="008C197B" w:rsidRDefault="008C197B" w:rsidP="008B2033">
      <w:pPr>
        <w:pStyle w:val="ListParagraph"/>
        <w:numPr>
          <w:ilvl w:val="0"/>
          <w:numId w:val="3"/>
        </w:numPr>
      </w:pPr>
      <w:r>
        <w:t>Identity rights, access to origins and family environment (CRC art</w:t>
      </w:r>
      <w:r w:rsidR="00034BE6">
        <w:t>s</w:t>
      </w:r>
      <w:r>
        <w:t>. 7, 8, 9, 10, 20);</w:t>
      </w:r>
    </w:p>
    <w:p w14:paraId="03B6FB79" w14:textId="7E1A6507" w:rsidR="008C197B" w:rsidRDefault="008C197B" w:rsidP="008C197B">
      <w:pPr>
        <w:pStyle w:val="ListParagraph"/>
        <w:numPr>
          <w:ilvl w:val="0"/>
          <w:numId w:val="3"/>
        </w:numPr>
      </w:pPr>
      <w:r>
        <w:t xml:space="preserve">Prohibition of sale of children (CRC </w:t>
      </w:r>
      <w:r w:rsidR="00034BE6">
        <w:t>a</w:t>
      </w:r>
      <w:r>
        <w:t xml:space="preserve">rt. 35 and OPSC) and child trafficking (CRC </w:t>
      </w:r>
      <w:r w:rsidR="00034BE6">
        <w:t>a</w:t>
      </w:r>
      <w:r>
        <w:t>rt. 35;</w:t>
      </w:r>
    </w:p>
    <w:p w14:paraId="1DDA1106" w14:textId="77777777" w:rsidR="008C197B" w:rsidRDefault="008C197B" w:rsidP="008C197B">
      <w:pPr>
        <w:pStyle w:val="ListParagraph"/>
        <w:numPr>
          <w:ilvl w:val="0"/>
          <w:numId w:val="3"/>
        </w:numPr>
      </w:pPr>
      <w:r>
        <w:t>Protocol to Prevent, Suppress and Punish Trafficking in Persons Especially Women and Children, supplementing the United Nations Convention against Transnational Organized Crime (Palermo Protocol)).</w:t>
      </w:r>
    </w:p>
    <w:p w14:paraId="51CBD245" w14:textId="77777777" w:rsidR="00EE6353" w:rsidRDefault="00EE6353" w:rsidP="00EE6353"/>
    <w:p w14:paraId="134E78A9" w14:textId="0975DA3C" w:rsidR="00EE6353" w:rsidRDefault="00EE6353" w:rsidP="00AD7298">
      <w:r>
        <w:t>We agree that these standards are relevant and important</w:t>
      </w:r>
      <w:r w:rsidR="00593E86">
        <w:t xml:space="preserve">. </w:t>
      </w:r>
      <w:r w:rsidR="00984618">
        <w:t xml:space="preserve">However, these standards </w:t>
      </w:r>
      <w:r w:rsidR="00C81C00">
        <w:t>essentially address</w:t>
      </w:r>
      <w:r w:rsidR="00984618">
        <w:t xml:space="preserve"> </w:t>
      </w:r>
      <w:r w:rsidR="00C81C00">
        <w:t>the rights of</w:t>
      </w:r>
      <w:r w:rsidR="00984618">
        <w:t xml:space="preserve"> children</w:t>
      </w:r>
      <w:r w:rsidR="008B2033">
        <w:t xml:space="preserve"> </w:t>
      </w:r>
      <w:r w:rsidR="00C81C00">
        <w:t>and</w:t>
      </w:r>
      <w:r w:rsidR="008B2033">
        <w:t>,</w:t>
      </w:r>
      <w:r w:rsidR="00984618">
        <w:t xml:space="preserve"> in reality, surrogacy arrangements involve various stakeholders and at least two other rights holders (those seeking to provide surrogacy services and intending parents</w:t>
      </w:r>
      <w:r w:rsidR="00EC3C5C">
        <w:t>)</w:t>
      </w:r>
      <w:r w:rsidR="00984618">
        <w:t xml:space="preserve">. While the substantive focus of the Special Rapporteur’s report is the rights of children born of surrogacy, </w:t>
      </w:r>
      <w:r w:rsidR="009318CE">
        <w:t xml:space="preserve">they should not be viewed in isolation but </w:t>
      </w:r>
      <w:r w:rsidR="00AD7298">
        <w:t xml:space="preserve">subject to </w:t>
      </w:r>
      <w:r w:rsidR="00984618">
        <w:t xml:space="preserve">principles of universality and </w:t>
      </w:r>
      <w:r w:rsidR="008F28E8">
        <w:t>indivisibility</w:t>
      </w:r>
      <w:r w:rsidR="00984618">
        <w:t xml:space="preserve"> of rights,</w:t>
      </w:r>
      <w:r w:rsidR="00EC3C5C">
        <w:t xml:space="preserve"> </w:t>
      </w:r>
      <w:r w:rsidR="009318CE" w:rsidRPr="00175B93">
        <w:t>equality and non-discrimination</w:t>
      </w:r>
      <w:r w:rsidR="00AD7298">
        <w:t xml:space="preserve">, and proportionality when examining the rights of other stakeholders. </w:t>
      </w:r>
      <w:r w:rsidR="00EC3C5C">
        <w:t>Moreover, providing in-depth analysis of the rights, principles and considerations at issue in surrogacy arrangements will only serve to enrich the Special Rapporteur’s guidance and analysis. Along these lines, set forth below are</w:t>
      </w:r>
      <w:r>
        <w:t xml:space="preserve"> </w:t>
      </w:r>
      <w:r w:rsidR="00AD7298">
        <w:t xml:space="preserve">non-exhaustive examples of </w:t>
      </w:r>
      <w:r w:rsidR="00C90292">
        <w:t xml:space="preserve">applicable </w:t>
      </w:r>
      <w:r w:rsidR="00EC3C5C">
        <w:t xml:space="preserve">human rights and </w:t>
      </w:r>
      <w:r w:rsidR="00984618">
        <w:t>relevant, persuasive and informative human rights</w:t>
      </w:r>
      <w:r>
        <w:t xml:space="preserve"> standards that </w:t>
      </w:r>
      <w:r w:rsidR="009318CE">
        <w:t xml:space="preserve">should </w:t>
      </w:r>
      <w:r>
        <w:t>be considered</w:t>
      </w:r>
      <w:r w:rsidR="00EC3C5C">
        <w:t xml:space="preserve"> in the Special Rapporteur’s report</w:t>
      </w:r>
      <w:r w:rsidR="00386C7A">
        <w:t>.</w:t>
      </w:r>
    </w:p>
    <w:p w14:paraId="114636FE" w14:textId="4DB85BAE" w:rsidR="00EC3C5C" w:rsidRDefault="00EC3C5C" w:rsidP="00EE6353"/>
    <w:p w14:paraId="34A1FEE6" w14:textId="7DD04F7C" w:rsidR="00EC3C5C" w:rsidRPr="00175B93" w:rsidRDefault="00EC3C5C" w:rsidP="00EE6353">
      <w:pPr>
        <w:rPr>
          <w:b/>
        </w:rPr>
      </w:pPr>
      <w:r w:rsidRPr="00175B93">
        <w:rPr>
          <w:b/>
        </w:rPr>
        <w:t xml:space="preserve">Human </w:t>
      </w:r>
      <w:r w:rsidR="00386C7A">
        <w:rPr>
          <w:b/>
        </w:rPr>
        <w:t>r</w:t>
      </w:r>
      <w:r w:rsidRPr="00175B93">
        <w:rPr>
          <w:b/>
        </w:rPr>
        <w:t xml:space="preserve">ights </w:t>
      </w:r>
      <w:r w:rsidR="00386C7A">
        <w:rPr>
          <w:b/>
        </w:rPr>
        <w:t>i</w:t>
      </w:r>
      <w:r w:rsidRPr="00175B93">
        <w:rPr>
          <w:b/>
        </w:rPr>
        <w:t xml:space="preserve">mplicated by </w:t>
      </w:r>
      <w:r w:rsidR="00386C7A">
        <w:rPr>
          <w:b/>
        </w:rPr>
        <w:t>s</w:t>
      </w:r>
      <w:r w:rsidRPr="00175B93">
        <w:rPr>
          <w:b/>
        </w:rPr>
        <w:t xml:space="preserve">urrogacy </w:t>
      </w:r>
      <w:r w:rsidR="00386C7A">
        <w:rPr>
          <w:b/>
        </w:rPr>
        <w:t>a</w:t>
      </w:r>
      <w:r w:rsidRPr="00175B93">
        <w:rPr>
          <w:b/>
        </w:rPr>
        <w:t>rrangements:</w:t>
      </w:r>
    </w:p>
    <w:p w14:paraId="4477ABD5" w14:textId="77777777" w:rsidR="00EE6353" w:rsidRDefault="00EE6353" w:rsidP="00EE6353"/>
    <w:p w14:paraId="3E07EC50" w14:textId="533D4C5E" w:rsidR="00545F6A" w:rsidRDefault="00EE6353" w:rsidP="00EE6353">
      <w:pPr>
        <w:pStyle w:val="ListParagraph"/>
        <w:numPr>
          <w:ilvl w:val="0"/>
          <w:numId w:val="4"/>
        </w:numPr>
      </w:pPr>
      <w:r>
        <w:t>Right to equality and non-discrimination (</w:t>
      </w:r>
      <w:r w:rsidR="001F6D7E">
        <w:t xml:space="preserve">e.g. </w:t>
      </w:r>
      <w:r>
        <w:t xml:space="preserve">UDHR </w:t>
      </w:r>
      <w:r w:rsidR="00C45BA0">
        <w:t>a</w:t>
      </w:r>
      <w:r>
        <w:t>rt. 2; ICCPR</w:t>
      </w:r>
      <w:r w:rsidR="00C45BA0">
        <w:t xml:space="preserve"> a</w:t>
      </w:r>
      <w:r>
        <w:t xml:space="preserve">rt. 26; </w:t>
      </w:r>
      <w:r w:rsidR="00545F6A">
        <w:t>ICESCR</w:t>
      </w:r>
      <w:r w:rsidR="00C45BA0">
        <w:t xml:space="preserve"> a</w:t>
      </w:r>
      <w:r w:rsidR="00545F6A">
        <w:t>rt. 2</w:t>
      </w:r>
      <w:r w:rsidR="001343E6">
        <w:t>;</w:t>
      </w:r>
      <w:r w:rsidR="00D7420B">
        <w:t xml:space="preserve"> </w:t>
      </w:r>
      <w:r w:rsidR="007C322C">
        <w:t xml:space="preserve">CEDAW art. 2, </w:t>
      </w:r>
      <w:r w:rsidR="00D7420B">
        <w:t xml:space="preserve">CRPD </w:t>
      </w:r>
      <w:r w:rsidR="00C45BA0">
        <w:t>a</w:t>
      </w:r>
      <w:r w:rsidR="00D7420B">
        <w:t>rt</w:t>
      </w:r>
      <w:r w:rsidR="00E74A3B">
        <w:t>s.</w:t>
      </w:r>
      <w:r w:rsidR="00D7420B">
        <w:t xml:space="preserve"> 5 and </w:t>
      </w:r>
      <w:r w:rsidR="00CA22D7">
        <w:t>6</w:t>
      </w:r>
      <w:r w:rsidR="00545F6A">
        <w:t>);</w:t>
      </w:r>
    </w:p>
    <w:p w14:paraId="25876684" w14:textId="0E537D00" w:rsidR="002E1C6F" w:rsidRDefault="002E1C6F" w:rsidP="00EE6353">
      <w:pPr>
        <w:pStyle w:val="ListParagraph"/>
        <w:numPr>
          <w:ilvl w:val="0"/>
          <w:numId w:val="4"/>
        </w:numPr>
      </w:pPr>
      <w:r>
        <w:lastRenderedPageBreak/>
        <w:t>Right to health (</w:t>
      </w:r>
      <w:r w:rsidR="001F6D7E">
        <w:t xml:space="preserve">e.g. </w:t>
      </w:r>
      <w:r w:rsidR="00A33844">
        <w:t>UDHR</w:t>
      </w:r>
      <w:r w:rsidR="00C45BA0">
        <w:t xml:space="preserve"> a</w:t>
      </w:r>
      <w:r w:rsidR="00A33844">
        <w:t xml:space="preserve">rt. 25, </w:t>
      </w:r>
      <w:r w:rsidR="00C81C00">
        <w:t>ICESCR art. 12</w:t>
      </w:r>
      <w:r w:rsidR="007C322C">
        <w:t>, CEDAW art. 12</w:t>
      </w:r>
      <w:r w:rsidR="00122738">
        <w:t>);</w:t>
      </w:r>
    </w:p>
    <w:p w14:paraId="51017C0C" w14:textId="7A6D65AB" w:rsidR="00EE6353" w:rsidRDefault="00545F6A" w:rsidP="00EE6353">
      <w:pPr>
        <w:pStyle w:val="ListParagraph"/>
        <w:numPr>
          <w:ilvl w:val="0"/>
          <w:numId w:val="4"/>
        </w:numPr>
      </w:pPr>
      <w:r>
        <w:t>Right to privacy (</w:t>
      </w:r>
      <w:r w:rsidR="001F6D7E">
        <w:t xml:space="preserve">e.g. </w:t>
      </w:r>
      <w:r w:rsidR="00E34791">
        <w:t>UDHR</w:t>
      </w:r>
      <w:r w:rsidR="00C45BA0">
        <w:t xml:space="preserve"> a</w:t>
      </w:r>
      <w:r w:rsidR="00E34791">
        <w:t>rt. 12; ICCPR</w:t>
      </w:r>
      <w:r w:rsidR="00C45BA0">
        <w:t xml:space="preserve"> a</w:t>
      </w:r>
      <w:r w:rsidR="00E34791">
        <w:t>rt. 17);</w:t>
      </w:r>
    </w:p>
    <w:p w14:paraId="4100C109" w14:textId="0FE15950" w:rsidR="00B81637" w:rsidRPr="00175B93" w:rsidRDefault="00B81637" w:rsidP="00EE6353">
      <w:pPr>
        <w:pStyle w:val="ListParagraph"/>
        <w:numPr>
          <w:ilvl w:val="0"/>
          <w:numId w:val="4"/>
        </w:numPr>
        <w:rPr>
          <w:lang w:val="fr-FR"/>
        </w:rPr>
      </w:pPr>
      <w:r w:rsidRPr="007C5169">
        <w:t>Bodily autonomy (</w:t>
      </w:r>
      <w:r w:rsidR="001F6D7E" w:rsidRPr="007C5169">
        <w:t xml:space="preserve">e.g. </w:t>
      </w:r>
      <w:r w:rsidRPr="007C5169">
        <w:t>ICCPR</w:t>
      </w:r>
      <w:r w:rsidR="00C45BA0" w:rsidRPr="007C5169">
        <w:t xml:space="preserve"> a</w:t>
      </w:r>
      <w:r w:rsidRPr="007C5169">
        <w:t xml:space="preserve">rts. </w:t>
      </w:r>
      <w:r w:rsidR="00C81C00">
        <w:rPr>
          <w:lang w:val="fr-FR"/>
        </w:rPr>
        <w:t>7</w:t>
      </w:r>
      <w:r w:rsidR="00AD7298">
        <w:rPr>
          <w:lang w:val="fr-FR"/>
        </w:rPr>
        <w:t xml:space="preserve"> and</w:t>
      </w:r>
      <w:r w:rsidR="00C81C00">
        <w:rPr>
          <w:lang w:val="fr-FR"/>
        </w:rPr>
        <w:t xml:space="preserve"> </w:t>
      </w:r>
      <w:r w:rsidRPr="00175B93">
        <w:rPr>
          <w:lang w:val="fr-FR"/>
        </w:rPr>
        <w:t>17</w:t>
      </w:r>
      <w:r w:rsidR="009318CE">
        <w:rPr>
          <w:lang w:val="fr-FR"/>
        </w:rPr>
        <w:t>, CEDAW art. 12 and GR 24</w:t>
      </w:r>
      <w:r w:rsidRPr="00175B93">
        <w:rPr>
          <w:lang w:val="fr-FR"/>
        </w:rPr>
        <w:t>)</w:t>
      </w:r>
    </w:p>
    <w:p w14:paraId="54FA4697" w14:textId="532C0B88" w:rsidR="00B81637" w:rsidRDefault="00B81637" w:rsidP="00EE6353">
      <w:pPr>
        <w:pStyle w:val="ListParagraph"/>
        <w:numPr>
          <w:ilvl w:val="0"/>
          <w:numId w:val="4"/>
        </w:numPr>
        <w:rPr>
          <w:lang w:val="fr-FR"/>
        </w:rPr>
      </w:pPr>
      <w:r w:rsidRPr="00175B93">
        <w:rPr>
          <w:lang w:val="fr-FR"/>
        </w:rPr>
        <w:t xml:space="preserve">Reproductive </w:t>
      </w:r>
      <w:proofErr w:type="spellStart"/>
      <w:r w:rsidRPr="00175B93">
        <w:rPr>
          <w:lang w:val="fr-FR"/>
        </w:rPr>
        <w:t>autonomy</w:t>
      </w:r>
      <w:proofErr w:type="spellEnd"/>
      <w:r w:rsidRPr="00175B93">
        <w:rPr>
          <w:lang w:val="fr-FR"/>
        </w:rPr>
        <w:t xml:space="preserve"> (</w:t>
      </w:r>
      <w:r w:rsidR="001F6D7E">
        <w:rPr>
          <w:lang w:val="fr-FR"/>
        </w:rPr>
        <w:t xml:space="preserve">e.g. </w:t>
      </w:r>
      <w:r w:rsidRPr="00175B93">
        <w:rPr>
          <w:lang w:val="fr-FR"/>
        </w:rPr>
        <w:t>CESCR GC 22</w:t>
      </w:r>
      <w:r w:rsidR="009318CE">
        <w:rPr>
          <w:lang w:val="fr-FR"/>
        </w:rPr>
        <w:t>, CEDAW art. 12 and GR 24</w:t>
      </w:r>
      <w:proofErr w:type="gramStart"/>
      <w:r w:rsidRPr="00175B93">
        <w:rPr>
          <w:lang w:val="fr-FR"/>
        </w:rPr>
        <w:t>);</w:t>
      </w:r>
      <w:proofErr w:type="gramEnd"/>
    </w:p>
    <w:p w14:paraId="22FD55AA" w14:textId="16553C86" w:rsidR="00DC580E" w:rsidRPr="00881AC8" w:rsidRDefault="00DC580E" w:rsidP="00EE6353">
      <w:pPr>
        <w:pStyle w:val="ListParagraph"/>
        <w:numPr>
          <w:ilvl w:val="0"/>
          <w:numId w:val="4"/>
        </w:numPr>
      </w:pPr>
      <w:r w:rsidRPr="00175B93">
        <w:t>Right to decide number and spacing of children</w:t>
      </w:r>
      <w:r w:rsidR="0058624B" w:rsidRPr="00175B93">
        <w:t xml:space="preserve"> (</w:t>
      </w:r>
      <w:r w:rsidR="007A4F4B" w:rsidRPr="00175B93">
        <w:t>CEDAW</w:t>
      </w:r>
      <w:r w:rsidR="00C45BA0">
        <w:t xml:space="preserve"> a</w:t>
      </w:r>
      <w:r w:rsidR="007A4F4B" w:rsidRPr="00175B93">
        <w:t>rt. 16);</w:t>
      </w:r>
    </w:p>
    <w:p w14:paraId="20730445" w14:textId="0D0B7D2D" w:rsidR="00F01B80" w:rsidRDefault="00F01B80" w:rsidP="00EE6353">
      <w:pPr>
        <w:pStyle w:val="ListParagraph"/>
        <w:numPr>
          <w:ilvl w:val="0"/>
          <w:numId w:val="4"/>
        </w:numPr>
      </w:pPr>
      <w:r>
        <w:t xml:space="preserve">Right to </w:t>
      </w:r>
      <w:proofErr w:type="gramStart"/>
      <w:r w:rsidR="009318CE">
        <w:t>found</w:t>
      </w:r>
      <w:proofErr w:type="gramEnd"/>
      <w:r w:rsidR="009318CE">
        <w:t xml:space="preserve"> </w:t>
      </w:r>
      <w:r>
        <w:t>a family (</w:t>
      </w:r>
      <w:r w:rsidR="001F6D7E">
        <w:t xml:space="preserve">e.g. </w:t>
      </w:r>
      <w:r>
        <w:t>UDHR</w:t>
      </w:r>
      <w:r w:rsidR="00C45BA0">
        <w:t xml:space="preserve"> a</w:t>
      </w:r>
      <w:r>
        <w:t xml:space="preserve">rt. 16; </w:t>
      </w:r>
      <w:r w:rsidR="00E74A3B">
        <w:t>CRPD</w:t>
      </w:r>
      <w:r w:rsidR="00C45BA0">
        <w:t xml:space="preserve"> a</w:t>
      </w:r>
      <w:r w:rsidR="00E74A3B">
        <w:t>rt. 23</w:t>
      </w:r>
      <w:r>
        <w:t>);</w:t>
      </w:r>
    </w:p>
    <w:p w14:paraId="41DEE265" w14:textId="192297E8" w:rsidR="001343E6" w:rsidRDefault="001343E6" w:rsidP="00EE6353">
      <w:pPr>
        <w:pStyle w:val="ListParagraph"/>
        <w:numPr>
          <w:ilvl w:val="0"/>
          <w:numId w:val="4"/>
        </w:numPr>
      </w:pPr>
      <w:r>
        <w:t>Right to information (</w:t>
      </w:r>
      <w:r w:rsidR="001F6D7E">
        <w:t xml:space="preserve">e.g. </w:t>
      </w:r>
      <w:r>
        <w:t>U</w:t>
      </w:r>
      <w:r w:rsidR="00C7482E">
        <w:t>DHR</w:t>
      </w:r>
      <w:r w:rsidR="00C45BA0">
        <w:t xml:space="preserve"> a</w:t>
      </w:r>
      <w:r w:rsidR="00C7482E">
        <w:t>rt. 19</w:t>
      </w:r>
      <w:r w:rsidR="007C322C">
        <w:t>; ICCPR art. 19</w:t>
      </w:r>
      <w:r w:rsidR="00C7482E">
        <w:t>)</w:t>
      </w:r>
      <w:r w:rsidR="00AD7298">
        <w:t>;</w:t>
      </w:r>
    </w:p>
    <w:p w14:paraId="1EA021C6" w14:textId="6D72DF7A" w:rsidR="00C7482E" w:rsidRDefault="00C7482E" w:rsidP="00EE6353">
      <w:pPr>
        <w:pStyle w:val="ListParagraph"/>
        <w:numPr>
          <w:ilvl w:val="0"/>
          <w:numId w:val="4"/>
        </w:numPr>
      </w:pPr>
      <w:r>
        <w:t>Right to benefit from scientific progress (</w:t>
      </w:r>
      <w:r w:rsidR="001F6D7E">
        <w:t xml:space="preserve">e.g. </w:t>
      </w:r>
      <w:r w:rsidR="00C90292">
        <w:t>UDHR, art. 27</w:t>
      </w:r>
      <w:r w:rsidR="00AD7298">
        <w:t>, ICESCR, art. 15 (b)</w:t>
      </w:r>
      <w:r>
        <w:t>)</w:t>
      </w:r>
      <w:r w:rsidR="00AD7298">
        <w:t>;</w:t>
      </w:r>
    </w:p>
    <w:p w14:paraId="003C5DAF" w14:textId="7705FF04" w:rsidR="00593E86" w:rsidRDefault="00593E86" w:rsidP="00EE6353">
      <w:pPr>
        <w:pStyle w:val="ListParagraph"/>
        <w:numPr>
          <w:ilvl w:val="0"/>
          <w:numId w:val="4"/>
        </w:numPr>
      </w:pPr>
      <w:r>
        <w:t xml:space="preserve">Rights of </w:t>
      </w:r>
      <w:r w:rsidR="00E74A3B">
        <w:t xml:space="preserve">persons </w:t>
      </w:r>
      <w:r>
        <w:t>with disabilities (</w:t>
      </w:r>
      <w:r w:rsidR="001F6D7E">
        <w:t xml:space="preserve">e.g. </w:t>
      </w:r>
      <w:r>
        <w:t>CRPD</w:t>
      </w:r>
      <w:r w:rsidR="00C45BA0">
        <w:t xml:space="preserve"> a</w:t>
      </w:r>
      <w:r w:rsidR="00E74A3B">
        <w:t>rts. 5, 6, 7, 12, 17, 23</w:t>
      </w:r>
      <w:r>
        <w:t>)</w:t>
      </w:r>
      <w:r w:rsidR="00AD7298">
        <w:t>.</w:t>
      </w:r>
    </w:p>
    <w:p w14:paraId="38470EFF" w14:textId="2C5C2CE2" w:rsidR="00EC3C5C" w:rsidRDefault="00EC3C5C" w:rsidP="00EC3C5C"/>
    <w:p w14:paraId="26E2B142" w14:textId="77777777" w:rsidR="00C7482E" w:rsidRDefault="00C7482E" w:rsidP="00C7482E"/>
    <w:p w14:paraId="61B6EAAC" w14:textId="61BF0349" w:rsidR="00EE6353" w:rsidRPr="00C7482E" w:rsidRDefault="00C7482E" w:rsidP="00C7482E">
      <w:pPr>
        <w:pStyle w:val="ListParagraph"/>
        <w:numPr>
          <w:ilvl w:val="0"/>
          <w:numId w:val="2"/>
        </w:numPr>
        <w:rPr>
          <w:b/>
          <w:u w:val="single"/>
        </w:rPr>
      </w:pPr>
      <w:r>
        <w:rPr>
          <w:b/>
          <w:u w:val="single"/>
        </w:rPr>
        <w:t>R</w:t>
      </w:r>
      <w:r w:rsidRPr="00C7482E">
        <w:rPr>
          <w:b/>
          <w:u w:val="single"/>
        </w:rPr>
        <w:t xml:space="preserve">elevant rights holders who </w:t>
      </w:r>
      <w:r w:rsidR="00EC3C5C">
        <w:rPr>
          <w:b/>
          <w:u w:val="single"/>
        </w:rPr>
        <w:t xml:space="preserve">should </w:t>
      </w:r>
      <w:r w:rsidRPr="00C7482E">
        <w:rPr>
          <w:b/>
          <w:u w:val="single"/>
        </w:rPr>
        <w:t xml:space="preserve">be part of discussions </w:t>
      </w:r>
      <w:r w:rsidR="00924EFB">
        <w:rPr>
          <w:b/>
          <w:u w:val="single"/>
        </w:rPr>
        <w:t>around</w:t>
      </w:r>
      <w:r w:rsidR="00924EFB" w:rsidRPr="00C7482E">
        <w:rPr>
          <w:b/>
          <w:u w:val="single"/>
        </w:rPr>
        <w:t xml:space="preserve"> </w:t>
      </w:r>
      <w:r w:rsidRPr="00C7482E">
        <w:rPr>
          <w:b/>
          <w:u w:val="single"/>
        </w:rPr>
        <w:t>surrogacy</w:t>
      </w:r>
      <w:r w:rsidR="00EE6353" w:rsidRPr="00C7482E">
        <w:rPr>
          <w:b/>
          <w:u w:val="single"/>
        </w:rPr>
        <w:t xml:space="preserve"> </w:t>
      </w:r>
    </w:p>
    <w:p w14:paraId="4155AB77" w14:textId="77777777" w:rsidR="00551974" w:rsidRDefault="008F7017">
      <w:pPr>
        <w:spacing w:after="0" w:line="259" w:lineRule="auto"/>
        <w:ind w:left="17" w:firstLine="0"/>
      </w:pPr>
      <w:r>
        <w:t xml:space="preserve"> </w:t>
      </w:r>
    </w:p>
    <w:p w14:paraId="0E9FCC0D" w14:textId="0E84296B" w:rsidR="006B57DA" w:rsidRDefault="00C7482E">
      <w:pPr>
        <w:spacing w:after="0" w:line="259" w:lineRule="auto"/>
        <w:ind w:left="17" w:firstLine="0"/>
      </w:pPr>
      <w:r>
        <w:t xml:space="preserve">Children </w:t>
      </w:r>
      <w:r w:rsidR="006F0033">
        <w:t xml:space="preserve">born of surrogacy </w:t>
      </w:r>
      <w:r>
        <w:t xml:space="preserve">are obviously crucial rights holders whose </w:t>
      </w:r>
      <w:r w:rsidR="00924EFB">
        <w:t xml:space="preserve">human </w:t>
      </w:r>
      <w:r>
        <w:t>rights must be considered in any discussion of surrogacy</w:t>
      </w:r>
      <w:r w:rsidR="006F0033">
        <w:t>, and whose best interests are a primary consideration in</w:t>
      </w:r>
      <w:r w:rsidR="006C3686">
        <w:t xml:space="preserve"> </w:t>
      </w:r>
      <w:r w:rsidR="007F7384">
        <w:t>all matters affecting them</w:t>
      </w:r>
      <w:r>
        <w:t xml:space="preserve">. </w:t>
      </w:r>
      <w:r w:rsidR="00924EFB">
        <w:t>Nevertheless, the</w:t>
      </w:r>
      <w:r w:rsidR="00A4323D">
        <w:t>y</w:t>
      </w:r>
      <w:r w:rsidR="00924EFB">
        <w:t xml:space="preserve"> are not the sole rights holders implicated in surrogacy arrangements.</w:t>
      </w:r>
      <w:r>
        <w:t xml:space="preserve"> </w:t>
      </w:r>
      <w:r w:rsidR="00924EFB">
        <w:t xml:space="preserve">Additionally, it may not be in children’s best interests to exclude consideration of the human rights of surrogates and intending parents </w:t>
      </w:r>
      <w:r w:rsidR="007D53A1">
        <w:t>and doing so is unlikely to</w:t>
      </w:r>
      <w:r w:rsidR="00924EFB">
        <w:t xml:space="preserve"> lay the groundwork for effective policy. </w:t>
      </w:r>
      <w:r>
        <w:t xml:space="preserve"> </w:t>
      </w:r>
      <w:r w:rsidR="00924EFB">
        <w:t>Along these lines, the</w:t>
      </w:r>
      <w:r>
        <w:t xml:space="preserve"> development of guidance and policy on surrogacy should not move forward without full participation by representatives of the following groups, </w:t>
      </w:r>
      <w:r w:rsidR="002F4989">
        <w:t xml:space="preserve">without discrimination including on the basis of race, ethnicity, age, disability, sexual orientation or identity, etc., </w:t>
      </w:r>
      <w:r>
        <w:t>and expert groups who represent the interests of these groups:</w:t>
      </w:r>
    </w:p>
    <w:p w14:paraId="2363BDB4" w14:textId="77777777" w:rsidR="00C7482E" w:rsidRDefault="00C7482E">
      <w:pPr>
        <w:spacing w:after="0" w:line="259" w:lineRule="auto"/>
        <w:ind w:left="17" w:firstLine="0"/>
      </w:pPr>
    </w:p>
    <w:p w14:paraId="447177F5" w14:textId="77777777" w:rsidR="00C7482E" w:rsidRDefault="00C7482E" w:rsidP="00C7482E">
      <w:pPr>
        <w:pStyle w:val="ListParagraph"/>
        <w:numPr>
          <w:ilvl w:val="0"/>
          <w:numId w:val="5"/>
        </w:numPr>
        <w:spacing w:after="0" w:line="259" w:lineRule="auto"/>
      </w:pPr>
      <w:r>
        <w:t>Children born of surrogacy;</w:t>
      </w:r>
    </w:p>
    <w:p w14:paraId="5013DC7A" w14:textId="1940956B" w:rsidR="00C7482E" w:rsidRDefault="00C7482E" w:rsidP="00C7482E">
      <w:pPr>
        <w:pStyle w:val="ListParagraph"/>
        <w:numPr>
          <w:ilvl w:val="0"/>
          <w:numId w:val="5"/>
        </w:numPr>
        <w:spacing w:after="0" w:line="259" w:lineRule="auto"/>
      </w:pPr>
      <w:r>
        <w:t xml:space="preserve">Individuals who have </w:t>
      </w:r>
      <w:r w:rsidR="00F01B80">
        <w:t xml:space="preserve">acted or wish to </w:t>
      </w:r>
      <w:r>
        <w:t>act as surrogates, including through both commercial and non-commercial surrogacy;</w:t>
      </w:r>
    </w:p>
    <w:p w14:paraId="5DB0F493" w14:textId="4001767B" w:rsidR="00386C7A" w:rsidRDefault="00386C7A" w:rsidP="00C7482E">
      <w:pPr>
        <w:pStyle w:val="ListParagraph"/>
        <w:numPr>
          <w:ilvl w:val="0"/>
          <w:numId w:val="5"/>
        </w:numPr>
        <w:spacing w:after="0" w:line="259" w:lineRule="auto"/>
      </w:pPr>
      <w:r>
        <w:t>Individuals struggling with infertility;</w:t>
      </w:r>
    </w:p>
    <w:p w14:paraId="24FE126F" w14:textId="0F20F5F4" w:rsidR="00F01B80" w:rsidRDefault="00F01B80" w:rsidP="00C7482E">
      <w:pPr>
        <w:pStyle w:val="ListParagraph"/>
        <w:numPr>
          <w:ilvl w:val="0"/>
          <w:numId w:val="5"/>
        </w:numPr>
        <w:spacing w:after="0" w:line="259" w:lineRule="auto"/>
      </w:pPr>
      <w:r>
        <w:t>Individuals who have u</w:t>
      </w:r>
      <w:r w:rsidR="00386C7A">
        <w:t>tilized (or seek to utilize) assisted reproduction, i</w:t>
      </w:r>
      <w:r>
        <w:t>ncluding surrogacy, to become parents; and</w:t>
      </w:r>
    </w:p>
    <w:p w14:paraId="4215E532" w14:textId="46D06D89" w:rsidR="00C7482E" w:rsidRDefault="00C7482E" w:rsidP="00C7482E">
      <w:pPr>
        <w:pStyle w:val="ListParagraph"/>
        <w:numPr>
          <w:ilvl w:val="0"/>
          <w:numId w:val="5"/>
        </w:numPr>
        <w:spacing w:after="0" w:line="259" w:lineRule="auto"/>
      </w:pPr>
      <w:r>
        <w:t xml:space="preserve">Individuals who have participated or may wish to participate in assisted reproduction, including surrogacy, through contribution of </w:t>
      </w:r>
      <w:r w:rsidR="00F01B80">
        <w:t>genetic material including eggs and sperm</w:t>
      </w:r>
      <w:r w:rsidR="002F4989">
        <w:t>.</w:t>
      </w:r>
    </w:p>
    <w:p w14:paraId="3C03523B" w14:textId="77777777" w:rsidR="00924EFB" w:rsidRDefault="00924EFB" w:rsidP="00F01B80">
      <w:pPr>
        <w:spacing w:after="0" w:line="259" w:lineRule="auto"/>
      </w:pPr>
    </w:p>
    <w:p w14:paraId="321053A1" w14:textId="029A1C86" w:rsidR="00EE247A" w:rsidRDefault="00F01B80" w:rsidP="00F01B80">
      <w:pPr>
        <w:spacing w:after="0" w:line="259" w:lineRule="auto"/>
        <w:rPr>
          <w:b/>
          <w:u w:val="single"/>
        </w:rPr>
      </w:pPr>
      <w:r w:rsidRPr="00F01B80">
        <w:rPr>
          <w:b/>
          <w:u w:val="single"/>
        </w:rPr>
        <w:t xml:space="preserve">3) </w:t>
      </w:r>
      <w:r w:rsidR="00924EFB">
        <w:rPr>
          <w:b/>
          <w:u w:val="single"/>
        </w:rPr>
        <w:t>Key considerations and p</w:t>
      </w:r>
      <w:r w:rsidRPr="00F01B80">
        <w:rPr>
          <w:b/>
          <w:u w:val="single"/>
        </w:rPr>
        <w:t xml:space="preserve">rinciples derived from human rights law </w:t>
      </w:r>
      <w:r w:rsidR="00D8055F">
        <w:rPr>
          <w:b/>
          <w:u w:val="single"/>
        </w:rPr>
        <w:t xml:space="preserve">and research </w:t>
      </w:r>
      <w:r w:rsidRPr="00F01B80">
        <w:rPr>
          <w:b/>
          <w:u w:val="single"/>
        </w:rPr>
        <w:t xml:space="preserve">that should frame the formulation of </w:t>
      </w:r>
      <w:r w:rsidR="00924EFB">
        <w:rPr>
          <w:b/>
          <w:u w:val="single"/>
        </w:rPr>
        <w:t xml:space="preserve">guidance, law and/or </w:t>
      </w:r>
      <w:r w:rsidRPr="00F01B80">
        <w:rPr>
          <w:b/>
          <w:u w:val="single"/>
        </w:rPr>
        <w:t xml:space="preserve">policy on </w:t>
      </w:r>
      <w:r w:rsidR="00EE247A">
        <w:rPr>
          <w:b/>
          <w:u w:val="single"/>
        </w:rPr>
        <w:t>issues of surrogacy</w:t>
      </w:r>
    </w:p>
    <w:p w14:paraId="03154C7B" w14:textId="1D494B43" w:rsidR="00EE247A" w:rsidRDefault="00EE247A" w:rsidP="00F01B80">
      <w:pPr>
        <w:spacing w:after="0" w:line="259" w:lineRule="auto"/>
        <w:rPr>
          <w:b/>
          <w:u w:val="single"/>
        </w:rPr>
      </w:pPr>
    </w:p>
    <w:p w14:paraId="1133630D" w14:textId="2B5298A2" w:rsidR="00450EDB" w:rsidRPr="00175B93" w:rsidRDefault="00450EDB" w:rsidP="0067552E">
      <w:pPr>
        <w:spacing w:after="0" w:line="259" w:lineRule="auto"/>
      </w:pPr>
      <w:r>
        <w:t xml:space="preserve">As mentioned above, we fully agree with the importance of </w:t>
      </w:r>
      <w:r w:rsidR="00175D13">
        <w:t xml:space="preserve">the primacy of </w:t>
      </w:r>
      <w:r>
        <w:t xml:space="preserve">protecting the rights of children born of surrogacy arrangements, and with the relevance of the core standards the Special Rapporteur has set forth in that regard. The following principles pertain more to </w:t>
      </w:r>
      <w:r w:rsidR="003E1C3E">
        <w:t xml:space="preserve">other </w:t>
      </w:r>
      <w:r>
        <w:t xml:space="preserve">rights holders </w:t>
      </w:r>
      <w:r w:rsidR="003E1C3E">
        <w:t>whos</w:t>
      </w:r>
      <w:r>
        <w:t xml:space="preserve">e rights are implicated by surrogacy arrangements, as we are concerned that these rights have not yet been fully considered in this discussion: </w:t>
      </w:r>
    </w:p>
    <w:p w14:paraId="230F830E" w14:textId="77777777" w:rsidR="00C7482E" w:rsidRDefault="00C7482E" w:rsidP="00175B93">
      <w:pPr>
        <w:spacing w:after="0" w:line="259" w:lineRule="auto"/>
      </w:pPr>
    </w:p>
    <w:p w14:paraId="25237E63" w14:textId="2183363C" w:rsidR="002301A2" w:rsidRDefault="002301A2" w:rsidP="00F01B80">
      <w:pPr>
        <w:pStyle w:val="ListParagraph"/>
        <w:numPr>
          <w:ilvl w:val="0"/>
          <w:numId w:val="6"/>
        </w:numPr>
        <w:spacing w:after="0" w:line="259" w:lineRule="auto"/>
      </w:pPr>
      <w:r>
        <w:t xml:space="preserve">Everyone participating in a surrogacy arrangement in any capacity should have a full opportunity for informed consent, expert advice, </w:t>
      </w:r>
      <w:r w:rsidR="003C540D">
        <w:t xml:space="preserve">accessible communication, </w:t>
      </w:r>
      <w:r>
        <w:t xml:space="preserve">and, as appropriate, </w:t>
      </w:r>
      <w:r w:rsidR="00261A86">
        <w:t xml:space="preserve">supported decision making and </w:t>
      </w:r>
      <w:r>
        <w:t>legal counsel and representation.</w:t>
      </w:r>
      <w:r w:rsidR="00023D07">
        <w:rPr>
          <w:rStyle w:val="FootnoteReference"/>
        </w:rPr>
        <w:footnoteReference w:id="2"/>
      </w:r>
    </w:p>
    <w:p w14:paraId="5DB46EAF" w14:textId="0673D2F3" w:rsidR="002301A2" w:rsidRDefault="002301A2" w:rsidP="002301A2">
      <w:pPr>
        <w:pStyle w:val="ListParagraph"/>
        <w:numPr>
          <w:ilvl w:val="0"/>
          <w:numId w:val="6"/>
        </w:numPr>
        <w:spacing w:after="0" w:line="259" w:lineRule="auto"/>
      </w:pPr>
      <w:r>
        <w:lastRenderedPageBreak/>
        <w:t>Every person has the right to make their own decisions about their reproductive life,</w:t>
      </w:r>
      <w:r w:rsidR="00023D07">
        <w:rPr>
          <w:rStyle w:val="FootnoteReference"/>
        </w:rPr>
        <w:footnoteReference w:id="3"/>
      </w:r>
      <w:r>
        <w:t xml:space="preserve"> including surrogates and potential surrogates, people who seek to become parents through surrogacy and other forms of assisted reproducti</w:t>
      </w:r>
      <w:r w:rsidR="002D6862">
        <w:t>on</w:t>
      </w:r>
      <w:r>
        <w:t>, and donors of genetic material.</w:t>
      </w:r>
    </w:p>
    <w:p w14:paraId="24706761" w14:textId="62E59852" w:rsidR="00CA14D6" w:rsidRDefault="00CA14D6" w:rsidP="00CA14D6">
      <w:pPr>
        <w:pStyle w:val="ListParagraph"/>
        <w:numPr>
          <w:ilvl w:val="0"/>
          <w:numId w:val="6"/>
        </w:numPr>
        <w:spacing w:after="0" w:line="259" w:lineRule="auto"/>
      </w:pPr>
      <w:r>
        <w:t>People who are pregnant should not be deprived of the right to make decisions about abortion and other healthcare decisions by reason of a surrogacy agreement,</w:t>
      </w:r>
      <w:r>
        <w:rPr>
          <w:rStyle w:val="FootnoteReference"/>
        </w:rPr>
        <w:footnoteReference w:id="4"/>
      </w:r>
      <w:r>
        <w:t xml:space="preserve"> and legal or policy frameworks for surrogacy should not facilitate such deprivation.</w:t>
      </w:r>
    </w:p>
    <w:p w14:paraId="6E071DCB" w14:textId="64E0C05A" w:rsidR="002301A2" w:rsidRDefault="003E1C3E" w:rsidP="002301A2">
      <w:pPr>
        <w:pStyle w:val="ListParagraph"/>
        <w:numPr>
          <w:ilvl w:val="0"/>
          <w:numId w:val="6"/>
        </w:numPr>
        <w:spacing w:after="0" w:line="259" w:lineRule="auto"/>
      </w:pPr>
      <w:r>
        <w:t xml:space="preserve">To the extent that new legal frameworks are developed for surrogacy, they should not rely on criminal sanctions. </w:t>
      </w:r>
      <w:r w:rsidR="002301A2">
        <w:t xml:space="preserve">Criminalizing </w:t>
      </w:r>
      <w:r w:rsidR="00E70587">
        <w:t xml:space="preserve">conduct related to </w:t>
      </w:r>
      <w:r w:rsidR="00653BCB">
        <w:t xml:space="preserve">consensual </w:t>
      </w:r>
      <w:r w:rsidR="002301A2">
        <w:t>sexual</w:t>
      </w:r>
      <w:r w:rsidR="00E70587">
        <w:t xml:space="preserve">ity and </w:t>
      </w:r>
      <w:r w:rsidR="002301A2">
        <w:t>reproducti</w:t>
      </w:r>
      <w:r w:rsidR="00E70587">
        <w:t>on</w:t>
      </w:r>
      <w:r w:rsidR="002301A2">
        <w:t xml:space="preserve"> (for example: sex work, sex outside of marriage, adolescent sexual behavior, same-sex intimacy, adolescent</w:t>
      </w:r>
      <w:r w:rsidR="00E70587">
        <w:t xml:space="preserve"> </w:t>
      </w:r>
      <w:r w:rsidR="00FD238E">
        <w:t xml:space="preserve">pregnancy </w:t>
      </w:r>
      <w:r w:rsidR="00E70587">
        <w:t>and</w:t>
      </w:r>
      <w:r w:rsidR="002301A2">
        <w:t xml:space="preserve"> pregnancy</w:t>
      </w:r>
      <w:r w:rsidR="00FD238E">
        <w:t xml:space="preserve"> outside of marriage</w:t>
      </w:r>
      <w:r w:rsidR="002301A2">
        <w:t xml:space="preserve">, abortion, etc.) is generally harmful and </w:t>
      </w:r>
      <w:r w:rsidR="00653BCB">
        <w:t>leads to violations</w:t>
      </w:r>
      <w:r w:rsidR="002301A2">
        <w:t xml:space="preserve"> of human rights.</w:t>
      </w:r>
      <w:r w:rsidR="00023D07">
        <w:rPr>
          <w:rStyle w:val="FootnoteReference"/>
        </w:rPr>
        <w:footnoteReference w:id="5"/>
      </w:r>
      <w:r>
        <w:t xml:space="preserve"> </w:t>
      </w:r>
      <w:r w:rsidR="00E72FA4">
        <w:t xml:space="preserve">In addition, </w:t>
      </w:r>
      <w:r w:rsidR="002D6862">
        <w:t>it is unlikely that criminalizing surrogacy</w:t>
      </w:r>
      <w:r>
        <w:t xml:space="preserve"> </w:t>
      </w:r>
      <w:r w:rsidR="002D6862">
        <w:t>would</w:t>
      </w:r>
      <w:r>
        <w:t xml:space="preserve"> end </w:t>
      </w:r>
      <w:r w:rsidR="002D6862">
        <w:t xml:space="preserve">the practice. Rather, it is more likely that </w:t>
      </w:r>
      <w:r w:rsidR="00A43AEE">
        <w:t>criminalization</w:t>
      </w:r>
      <w:r w:rsidR="002D6862">
        <w:t xml:space="preserve"> would drive s</w:t>
      </w:r>
      <w:r>
        <w:t>urrogacy underground</w:t>
      </w:r>
      <w:r w:rsidR="002D6862">
        <w:t xml:space="preserve"> where </w:t>
      </w:r>
      <w:r w:rsidR="00A43AEE">
        <w:t xml:space="preserve">unsafe conditions, discrimination and exploitation for all </w:t>
      </w:r>
      <w:r>
        <w:t>rights holders involved</w:t>
      </w:r>
      <w:r w:rsidR="00A43AEE">
        <w:t xml:space="preserve"> can flourish</w:t>
      </w:r>
      <w:r>
        <w:t>.</w:t>
      </w:r>
    </w:p>
    <w:p w14:paraId="2E34B583" w14:textId="4EE64A00" w:rsidR="00F01B80" w:rsidRDefault="004A344A" w:rsidP="00F01B80">
      <w:pPr>
        <w:pStyle w:val="ListParagraph"/>
        <w:numPr>
          <w:ilvl w:val="0"/>
          <w:numId w:val="6"/>
        </w:numPr>
        <w:spacing w:after="0" w:line="259" w:lineRule="auto"/>
      </w:pPr>
      <w:r>
        <w:t>Fetal personhood has no basis in human rights law</w:t>
      </w:r>
      <w:r w:rsidR="00F01B80">
        <w:t>.</w:t>
      </w:r>
      <w:r w:rsidR="001B5C05">
        <w:rPr>
          <w:rStyle w:val="FootnoteReference"/>
        </w:rPr>
        <w:footnoteReference w:id="6"/>
      </w:r>
    </w:p>
    <w:p w14:paraId="28153B19" w14:textId="73704B05" w:rsidR="00593E86" w:rsidRDefault="00593E86" w:rsidP="0067552E">
      <w:pPr>
        <w:pStyle w:val="ListParagraph"/>
        <w:numPr>
          <w:ilvl w:val="0"/>
          <w:numId w:val="6"/>
        </w:numPr>
        <w:spacing w:after="0" w:line="259" w:lineRule="auto"/>
      </w:pPr>
      <w:r>
        <w:t>The right to fo</w:t>
      </w:r>
      <w:r w:rsidR="00662CDF">
        <w:t>und</w:t>
      </w:r>
      <w:r>
        <w:t xml:space="preserve"> a family,</w:t>
      </w:r>
      <w:r w:rsidR="007D53A1">
        <w:t xml:space="preserve"> to make decisions on the number and spacing of children and to benefit from scientific progress </w:t>
      </w:r>
      <w:r>
        <w:t xml:space="preserve">including through surrogacy and other </w:t>
      </w:r>
      <w:r w:rsidR="00A43AEE">
        <w:t xml:space="preserve">forms of </w:t>
      </w:r>
      <w:r>
        <w:t>assisted reproducti</w:t>
      </w:r>
      <w:r w:rsidR="00A43AEE">
        <w:t>on</w:t>
      </w:r>
      <w:r>
        <w:t>, should not be denied on the basis of discriminatory criteria such as sexual orientation</w:t>
      </w:r>
      <w:r w:rsidR="00E72FA4">
        <w:t>,</w:t>
      </w:r>
      <w:r>
        <w:t xml:space="preserve"> </w:t>
      </w:r>
      <w:r w:rsidR="00E72FA4">
        <w:t xml:space="preserve">gender </w:t>
      </w:r>
      <w:r>
        <w:t xml:space="preserve"> identity, disability, </w:t>
      </w:r>
      <w:r w:rsidR="0067552E">
        <w:t xml:space="preserve">marital or partnership status, </w:t>
      </w:r>
      <w:r>
        <w:t>etc.</w:t>
      </w:r>
    </w:p>
    <w:p w14:paraId="5188EC59" w14:textId="3E6A06FA" w:rsidR="00F01B80" w:rsidRDefault="00952EB9" w:rsidP="00F01B80">
      <w:pPr>
        <w:pStyle w:val="ListParagraph"/>
        <w:numPr>
          <w:ilvl w:val="0"/>
          <w:numId w:val="6"/>
        </w:numPr>
        <w:spacing w:after="0" w:line="259" w:lineRule="auto"/>
      </w:pPr>
      <w:r>
        <w:lastRenderedPageBreak/>
        <w:t>The b</w:t>
      </w:r>
      <w:r w:rsidR="00593E86">
        <w:t xml:space="preserve">est interests of the child </w:t>
      </w:r>
      <w:proofErr w:type="gramStart"/>
      <w:r w:rsidR="001252F9">
        <w:t>is</w:t>
      </w:r>
      <w:proofErr w:type="gramEnd"/>
      <w:r w:rsidR="001252F9">
        <w:t xml:space="preserve"> a dynamic concept that </w:t>
      </w:r>
      <w:r>
        <w:t xml:space="preserve">should be </w:t>
      </w:r>
      <w:r w:rsidR="001252F9">
        <w:t>applied appropriately in this specific context</w:t>
      </w:r>
      <w:r w:rsidR="00593E86">
        <w:t>,</w:t>
      </w:r>
      <w:r w:rsidR="00AC62D9">
        <w:rPr>
          <w:rStyle w:val="FootnoteReference"/>
        </w:rPr>
        <w:footnoteReference w:id="7"/>
      </w:r>
      <w:r w:rsidR="00593E86">
        <w:t xml:space="preserve"> including </w:t>
      </w:r>
      <w:r>
        <w:t xml:space="preserve">an </w:t>
      </w:r>
      <w:r w:rsidR="00593E86">
        <w:t>examin</w:t>
      </w:r>
      <w:r>
        <w:t>ation</w:t>
      </w:r>
      <w:r w:rsidR="00593E86">
        <w:t xml:space="preserve"> </w:t>
      </w:r>
      <w:r>
        <w:t xml:space="preserve">of </w:t>
      </w:r>
      <w:r w:rsidR="00593E86">
        <w:t xml:space="preserve">the </w:t>
      </w:r>
      <w:r>
        <w:t xml:space="preserve">likely </w:t>
      </w:r>
      <w:r w:rsidR="00593E86">
        <w:t>consequences for children</w:t>
      </w:r>
      <w:r w:rsidR="00175D13">
        <w:t xml:space="preserve"> o</w:t>
      </w:r>
      <w:r w:rsidR="00593E86">
        <w:t>f surrogacy</w:t>
      </w:r>
      <w:r w:rsidR="00175D13">
        <w:t>, it</w:t>
      </w:r>
      <w:r w:rsidR="00593E86">
        <w:t xml:space="preserve"> i</w:t>
      </w:r>
      <w:r w:rsidR="000841BD">
        <w:t>s</w:t>
      </w:r>
      <w:r w:rsidR="00593E86">
        <w:t xml:space="preserve"> prohibited and pushed underground.</w:t>
      </w:r>
    </w:p>
    <w:p w14:paraId="0CE00101" w14:textId="77777777" w:rsidR="00E70587" w:rsidRDefault="00E70587" w:rsidP="00E70587">
      <w:pPr>
        <w:spacing w:after="0" w:line="259" w:lineRule="auto"/>
      </w:pPr>
    </w:p>
    <w:p w14:paraId="089341B5" w14:textId="049A85EE" w:rsidR="00551974" w:rsidRDefault="00952EB9" w:rsidP="00E70587">
      <w:pPr>
        <w:spacing w:after="0" w:line="259" w:lineRule="auto"/>
        <w:ind w:left="17" w:firstLine="0"/>
      </w:pPr>
      <w:r>
        <w:t>T</w:t>
      </w:r>
      <w:r w:rsidR="00E70587">
        <w:t>here are risks of abuse in surrogacy</w:t>
      </w:r>
      <w:r>
        <w:t xml:space="preserve">. The </w:t>
      </w:r>
      <w:r w:rsidR="00E70587">
        <w:t xml:space="preserve">solution to this problem is not to ban surrogacy, but for surrogacy to be </w:t>
      </w:r>
      <w:r w:rsidR="00F01B80">
        <w:t xml:space="preserve">practiced under a framework based in international human rights law, </w:t>
      </w:r>
      <w:r w:rsidR="00175D13">
        <w:t xml:space="preserve">incorporating </w:t>
      </w:r>
      <w:r w:rsidR="00F01B80">
        <w:t>the rights of the child, surrogate</w:t>
      </w:r>
      <w:r w:rsidR="00E70587">
        <w:t>s and potential surrogates</w:t>
      </w:r>
      <w:r w:rsidR="00F01B80">
        <w:t xml:space="preserve">, and </w:t>
      </w:r>
      <w:r w:rsidR="00E70587">
        <w:t>people seeking to become parents through use of surrogacy and other forms of assisted reproducti</w:t>
      </w:r>
      <w:r w:rsidR="00A43AEE">
        <w:t>on</w:t>
      </w:r>
      <w:r w:rsidR="00E70587">
        <w:t>.</w:t>
      </w:r>
      <w:r w:rsidR="008F7017">
        <w:t xml:space="preserve"> </w:t>
      </w:r>
    </w:p>
    <w:sectPr w:rsidR="00551974">
      <w:headerReference w:type="default" r:id="rId10"/>
      <w:footerReference w:type="even" r:id="rId11"/>
      <w:footerReference w:type="default" r:id="rId12"/>
      <w:footerReference w:type="first" r:id="rId13"/>
      <w:pgSz w:w="11906" w:h="16838"/>
      <w:pgMar w:top="708" w:right="1440" w:bottom="1441" w:left="142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C59" w14:textId="77777777" w:rsidR="00E17CE3" w:rsidRDefault="00E17CE3">
      <w:pPr>
        <w:spacing w:after="0" w:line="240" w:lineRule="auto"/>
      </w:pPr>
      <w:r>
        <w:separator/>
      </w:r>
    </w:p>
  </w:endnote>
  <w:endnote w:type="continuationSeparator" w:id="0">
    <w:p w14:paraId="2149E484" w14:textId="77777777" w:rsidR="00E17CE3" w:rsidRDefault="00E17CE3">
      <w:pPr>
        <w:spacing w:after="0" w:line="240" w:lineRule="auto"/>
      </w:pPr>
      <w:r>
        <w:continuationSeparator/>
      </w:r>
    </w:p>
  </w:endnote>
  <w:endnote w:type="continuationNotice" w:id="1">
    <w:p w14:paraId="157B3584" w14:textId="77777777" w:rsidR="00E17CE3" w:rsidRDefault="00E17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alibri"/>
    <w:panose1 w:val="020B0502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etaMedium-Roman">
    <w:altName w:val="Calibri"/>
    <w:panose1 w:val="020B0602040000020004"/>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Bold-Roman">
    <w:panose1 w:val="020B0802030000020004"/>
    <w:charset w:val="00"/>
    <w:family w:val="swiss"/>
    <w:pitch w:val="variable"/>
    <w:sig w:usb0="8000002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E884" w14:textId="77777777" w:rsidR="00B546A4" w:rsidRDefault="00B546A4">
    <w:pPr>
      <w:tabs>
        <w:tab w:val="right" w:pos="9043"/>
      </w:tabs>
      <w:spacing w:after="0" w:line="259" w:lineRule="auto"/>
      <w:ind w:left="0" w:right="-1"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8C43" w14:textId="77777777" w:rsidR="00B546A4" w:rsidRDefault="00B546A4">
    <w:pPr>
      <w:tabs>
        <w:tab w:val="right" w:pos="9043"/>
      </w:tabs>
      <w:spacing w:after="0" w:line="259" w:lineRule="auto"/>
      <w:ind w:left="0" w:right="-1"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C6153D" w:rsidRPr="00C6153D">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80CA" w14:textId="77777777" w:rsidR="00B546A4" w:rsidRDefault="00B546A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CC33A" w14:textId="77777777" w:rsidR="00E17CE3" w:rsidRDefault="00E17CE3">
      <w:pPr>
        <w:spacing w:after="0" w:line="243" w:lineRule="auto"/>
        <w:ind w:left="5" w:firstLine="13"/>
      </w:pPr>
      <w:r>
        <w:separator/>
      </w:r>
    </w:p>
  </w:footnote>
  <w:footnote w:type="continuationSeparator" w:id="0">
    <w:p w14:paraId="170ECBDF" w14:textId="77777777" w:rsidR="00E17CE3" w:rsidRDefault="00E17CE3">
      <w:pPr>
        <w:spacing w:after="0" w:line="243" w:lineRule="auto"/>
        <w:ind w:left="5" w:firstLine="13"/>
      </w:pPr>
      <w:r>
        <w:continuationSeparator/>
      </w:r>
    </w:p>
  </w:footnote>
  <w:footnote w:type="continuationNotice" w:id="1">
    <w:p w14:paraId="50E1BE49" w14:textId="77777777" w:rsidR="00E17CE3" w:rsidRDefault="00E17CE3">
      <w:pPr>
        <w:spacing w:after="0" w:line="240" w:lineRule="auto"/>
      </w:pPr>
    </w:p>
  </w:footnote>
  <w:footnote w:id="2">
    <w:p w14:paraId="0E80C974" w14:textId="3710BE86" w:rsidR="00CA14D6" w:rsidRPr="00CA14D6" w:rsidRDefault="00023D07" w:rsidP="00CA14D6">
      <w:pPr>
        <w:pStyle w:val="FootnoteText"/>
        <w:snapToGrid w:val="0"/>
        <w:rPr>
          <w:lang w:val="en-GB"/>
        </w:rPr>
      </w:pPr>
      <w:r w:rsidRPr="00CA14D6">
        <w:rPr>
          <w:rStyle w:val="FootnoteReference"/>
        </w:rPr>
        <w:footnoteRef/>
      </w:r>
      <w:r w:rsidRPr="00CA14D6">
        <w:t xml:space="preserve"> </w:t>
      </w:r>
      <w:r w:rsidRPr="00CA14D6">
        <w:rPr>
          <w:lang w:val="en-GB"/>
        </w:rPr>
        <w:t>See,</w:t>
      </w:r>
      <w:r w:rsidR="00CA14D6" w:rsidRPr="00CA14D6">
        <w:rPr>
          <w:lang w:val="en-GB"/>
        </w:rPr>
        <w:t xml:space="preserve"> for example, UN General Assembly, Report of the Special Rapporteur on the Right of Everyone to the Highest Attainable Standard of Physical and Mental Health, U.N. Doc. A/64/272 (August 10, 2009) (on “</w:t>
      </w:r>
      <w:r w:rsidR="00CA14D6" w:rsidRPr="00CA14D6">
        <w:t>the fundamental role that informed consent plays in respecting, protecting and fulfilling the right to health”)</w:t>
      </w:r>
      <w:r w:rsidR="007F7384">
        <w:t>;</w:t>
      </w:r>
    </w:p>
    <w:p w14:paraId="307F32E3" w14:textId="3602A7E2" w:rsidR="00023D07" w:rsidRPr="00CA14D6" w:rsidRDefault="00CA14D6" w:rsidP="00662CDF">
      <w:pPr>
        <w:snapToGrid w:val="0"/>
        <w:spacing w:after="0" w:line="240" w:lineRule="auto"/>
        <w:ind w:left="0" w:firstLine="0"/>
        <w:rPr>
          <w:lang w:val="en-GB"/>
        </w:rPr>
      </w:pPr>
      <w:proofErr w:type="spellStart"/>
      <w:r w:rsidRPr="00CA14D6">
        <w:rPr>
          <w:sz w:val="20"/>
          <w:szCs w:val="20"/>
        </w:rPr>
        <w:t>Programme</w:t>
      </w:r>
      <w:proofErr w:type="spellEnd"/>
      <w:r w:rsidRPr="00CA14D6">
        <w:rPr>
          <w:sz w:val="20"/>
          <w:szCs w:val="20"/>
        </w:rPr>
        <w:t xml:space="preserve"> of Action of the International Conference on Population and Development, Cairo, Egypt, Sept. 5-13, 1994, U.N. Doc. A/CONF.171/13/Rev.1 (1995), para. 7.3; Beijing Declaration and Platform for Action, para. 95.</w:t>
      </w:r>
    </w:p>
  </w:footnote>
  <w:footnote w:id="3">
    <w:p w14:paraId="563AE0BB" w14:textId="0404AD64" w:rsidR="00023D07" w:rsidRPr="00CA14D6" w:rsidRDefault="00023D07">
      <w:pPr>
        <w:pStyle w:val="FootnoteText"/>
        <w:rPr>
          <w:lang w:val="en-GB"/>
        </w:rPr>
      </w:pPr>
      <w:r w:rsidRPr="00CA14D6">
        <w:rPr>
          <w:rStyle w:val="FootnoteReference"/>
        </w:rPr>
        <w:footnoteRef/>
      </w:r>
      <w:r w:rsidRPr="00CA14D6">
        <w:t xml:space="preserve"> </w:t>
      </w:r>
      <w:r w:rsidR="00431280" w:rsidRPr="00CA14D6">
        <w:rPr>
          <w:lang w:val="en-GB"/>
        </w:rPr>
        <w:t xml:space="preserve">CEDAW Committee, </w:t>
      </w:r>
      <w:r w:rsidR="00431280" w:rsidRPr="00CA14D6">
        <w:t>Statement on sexual and reproductive health and rights: Beyond 2014 ICPD review, 2014;</w:t>
      </w:r>
      <w:r w:rsidR="00431280">
        <w:t xml:space="preserve"> </w:t>
      </w:r>
      <w:proofErr w:type="spellStart"/>
      <w:r w:rsidRPr="00CA14D6">
        <w:t>Programme</w:t>
      </w:r>
      <w:proofErr w:type="spellEnd"/>
      <w:r w:rsidRPr="00CA14D6">
        <w:t xml:space="preserve"> of Action of the International Conference on Population and Development, Cairo, Egypt, Sept. 5-13, 1994, U.N. Doc. A/CONF.171/13/Rev.1 (1995), para. 7.3; Beijing Declaration and Platform for Action, para. 95</w:t>
      </w:r>
    </w:p>
  </w:footnote>
  <w:footnote w:id="4">
    <w:p w14:paraId="754E6EF4" w14:textId="77777777" w:rsidR="00CA14D6" w:rsidRPr="00CA14D6" w:rsidRDefault="00CA14D6" w:rsidP="00CA14D6">
      <w:pPr>
        <w:pStyle w:val="FootnoteText"/>
        <w:rPr>
          <w:lang w:val="en-GB"/>
        </w:rPr>
      </w:pPr>
      <w:r w:rsidRPr="00CA14D6">
        <w:rPr>
          <w:rStyle w:val="FootnoteReference"/>
        </w:rPr>
        <w:footnoteRef/>
      </w:r>
      <w:r w:rsidRPr="00CA14D6">
        <w:t xml:space="preserve"> CEDAW, art. 16(e).</w:t>
      </w:r>
    </w:p>
  </w:footnote>
  <w:footnote w:id="5">
    <w:p w14:paraId="4306E903" w14:textId="57A0F282" w:rsidR="00023D07" w:rsidRPr="00CA14D6" w:rsidRDefault="00023D07" w:rsidP="001B5C05">
      <w:pPr>
        <w:pStyle w:val="FootnoteText"/>
        <w:rPr>
          <w:lang w:val="en-GB"/>
        </w:rPr>
      </w:pPr>
      <w:r w:rsidRPr="00CA14D6">
        <w:rPr>
          <w:rStyle w:val="FootnoteReference"/>
        </w:rPr>
        <w:footnoteRef/>
      </w:r>
      <w:r w:rsidRPr="00CA14D6">
        <w:t xml:space="preserve"> </w:t>
      </w:r>
      <w:r w:rsidRPr="00CA14D6">
        <w:rPr>
          <w:lang w:val="en-GB"/>
        </w:rPr>
        <w:t xml:space="preserve">See, for example, </w:t>
      </w:r>
      <w:bookmarkStart w:id="4" w:name="_Hlk9973283"/>
      <w:r w:rsidRPr="00CA14D6">
        <w:rPr>
          <w:lang w:val="en-GB"/>
        </w:rPr>
        <w:t xml:space="preserve">CEDAW Committee, </w:t>
      </w:r>
      <w:r w:rsidRPr="00CA14D6">
        <w:t>Statement on sexual and reproductive health and rights: Beyond 2014 ICPD review, 2014</w:t>
      </w:r>
      <w:r w:rsidR="001B5C05" w:rsidRPr="00CA14D6">
        <w:t>;</w:t>
      </w:r>
      <w:bookmarkEnd w:id="4"/>
      <w:r w:rsidR="001B5C05" w:rsidRPr="00CA14D6">
        <w:t xml:space="preserve"> Human Rights Committee, General Comment 28 (Article 3: The equality of rights between women and men), UN Doc. HRI/GEN/1/Rev.9 (Vol. I), 2000; CESCR, General Comment 22 (The right to sexual and reproductive health (Article 12)), UN Doc. E/C.12/GC/22, 2016; Report of the UN Working Group on Discrimination against Women in Law and Practice, UN Doc. A/HRC/32/44, 2016; Committee on the Rights of the Child, General Comment 20 (Implementation of the rights of the child during adolescence), UN Doc. CRC/C/GC/20, 2016, para. 60; Report of the UN Secretary-General on the fast track to ending the AIDS epidemic, UN Doc. A/70/811, 2016, paras. 53, 75(f).</w:t>
      </w:r>
    </w:p>
  </w:footnote>
  <w:footnote w:id="6">
    <w:p w14:paraId="780ACBD2" w14:textId="639B41CA" w:rsidR="001B5C05" w:rsidRPr="007C5169" w:rsidRDefault="001B5C05" w:rsidP="001710F3">
      <w:pPr>
        <w:rPr>
          <w:sz w:val="20"/>
          <w:szCs w:val="20"/>
          <w:lang w:val="en-GB"/>
        </w:rPr>
      </w:pPr>
      <w:r w:rsidRPr="007C5169">
        <w:rPr>
          <w:rStyle w:val="FootnoteReference"/>
          <w:sz w:val="20"/>
          <w:szCs w:val="20"/>
        </w:rPr>
        <w:footnoteRef/>
      </w:r>
      <w:r w:rsidRPr="007C5169">
        <w:rPr>
          <w:sz w:val="20"/>
          <w:szCs w:val="20"/>
        </w:rPr>
        <w:t xml:space="preserve"> See</w:t>
      </w:r>
      <w:r w:rsidR="00CA14D6" w:rsidRPr="007C5169">
        <w:rPr>
          <w:sz w:val="20"/>
          <w:szCs w:val="20"/>
        </w:rPr>
        <w:t xml:space="preserve"> </w:t>
      </w:r>
      <w:r w:rsidR="00CA14D6" w:rsidRPr="00CA14D6">
        <w:rPr>
          <w:sz w:val="20"/>
          <w:szCs w:val="20"/>
        </w:rPr>
        <w:t xml:space="preserve">Article 1 of the Universal Declaration of Human Rights: “All human beings are </w:t>
      </w:r>
      <w:r w:rsidR="00CA14D6" w:rsidRPr="00CA14D6">
        <w:rPr>
          <w:i/>
          <w:iCs/>
          <w:sz w:val="20"/>
          <w:szCs w:val="20"/>
        </w:rPr>
        <w:t>born</w:t>
      </w:r>
      <w:r w:rsidR="00CA14D6" w:rsidRPr="00CA14D6">
        <w:rPr>
          <w:sz w:val="20"/>
          <w:szCs w:val="20"/>
        </w:rPr>
        <w:t xml:space="preserve"> free and equal in dignity and rights” </w:t>
      </w:r>
      <w:r w:rsidR="00CA14D6" w:rsidRPr="00CA14D6">
        <w:rPr>
          <w:rStyle w:val="ref-overlay"/>
          <w:sz w:val="20"/>
          <w:szCs w:val="20"/>
        </w:rPr>
        <w:t>G.A. Res.217, UN Doc. A/810, 1948.</w:t>
      </w:r>
      <w:r w:rsidR="00CA14D6" w:rsidRPr="00CA14D6">
        <w:rPr>
          <w:rStyle w:val="ref-links"/>
          <w:sz w:val="20"/>
          <w:szCs w:val="20"/>
        </w:rPr>
        <w:t> </w:t>
      </w:r>
      <w:r w:rsidR="00CA14D6" w:rsidRPr="00CA14D6">
        <w:rPr>
          <w:rStyle w:val="googlescholar-container"/>
          <w:sz w:val="20"/>
          <w:szCs w:val="20"/>
        </w:rPr>
        <w:t xml:space="preserve">The </w:t>
      </w:r>
      <w:r w:rsidR="00CA14D6" w:rsidRPr="00CA14D6">
        <w:rPr>
          <w:sz w:val="20"/>
          <w:szCs w:val="20"/>
        </w:rPr>
        <w:t>word “born” was used intentionally to exclude any antenatal application of human rights. An amendment was proposed and rejected that would have deleted the word “born”, in part, it was argued, to protect the right to life from the moment of conception</w:t>
      </w:r>
      <w:r w:rsidR="00CA14D6">
        <w:rPr>
          <w:sz w:val="20"/>
          <w:szCs w:val="20"/>
        </w:rPr>
        <w:t xml:space="preserve"> (</w:t>
      </w:r>
      <w:r w:rsidR="00CA14D6" w:rsidRPr="00CA14D6">
        <w:rPr>
          <w:rFonts w:ascii="Times New Roman" w:eastAsia="Times New Roman" w:hAnsi="Times New Roman" w:cs="Times New Roman"/>
          <w:color w:val="auto"/>
          <w:sz w:val="20"/>
          <w:szCs w:val="20"/>
        </w:rPr>
        <w:t>UN GAOR 3rd Comm., 99th mtg. at 110-124, UN Doc. A/PV/99, 1948</w:t>
      </w:r>
      <w:r w:rsidR="00CA14D6">
        <w:rPr>
          <w:rFonts w:ascii="Times New Roman" w:eastAsia="Times New Roman" w:hAnsi="Times New Roman" w:cs="Times New Roman"/>
          <w:color w:val="auto"/>
          <w:sz w:val="20"/>
          <w:szCs w:val="20"/>
        </w:rPr>
        <w:t>)</w:t>
      </w:r>
      <w:r w:rsidR="00CA14D6" w:rsidRPr="00CA14D6">
        <w:rPr>
          <w:rFonts w:ascii="Times New Roman" w:eastAsia="Times New Roman" w:hAnsi="Times New Roman" w:cs="Times New Roman"/>
          <w:color w:val="auto"/>
          <w:sz w:val="20"/>
          <w:szCs w:val="20"/>
        </w:rPr>
        <w:t>. See also</w:t>
      </w:r>
      <w:r w:rsidRPr="007C5169">
        <w:rPr>
          <w:sz w:val="20"/>
          <w:szCs w:val="20"/>
        </w:rPr>
        <w:t xml:space="preserve"> for example, K.L. v. Peru</w:t>
      </w:r>
      <w:r w:rsidR="00AC62D9" w:rsidRPr="007C5169">
        <w:rPr>
          <w:sz w:val="20"/>
          <w:szCs w:val="20"/>
        </w:rPr>
        <w:t>, Communication No. 1153/2003, U.N. Doc. CCPR/C/85/D/1153/2003 (Human Rights Committee 2011)</w:t>
      </w:r>
      <w:r w:rsidR="001F6D7E">
        <w:rPr>
          <w:sz w:val="20"/>
          <w:szCs w:val="20"/>
        </w:rPr>
        <w:t xml:space="preserve">; </w:t>
      </w:r>
      <w:r w:rsidR="00AC62D9" w:rsidRPr="007C5169">
        <w:rPr>
          <w:sz w:val="20"/>
          <w:szCs w:val="20"/>
        </w:rPr>
        <w:t xml:space="preserve">L.C. v. Peru, Communication No. 22/2009, U.N. Doc. CEDAW/C/50/D/22/2009, para. 8.15 (CEDAW Committee 2011) (state violated a pregnant girl’s </w:t>
      </w:r>
      <w:r w:rsidR="00AC62D9" w:rsidRPr="007C5169">
        <w:rPr>
          <w:sz w:val="20"/>
          <w:szCs w:val="20"/>
          <w:lang w:val="en-GB"/>
        </w:rPr>
        <w:t xml:space="preserve">rights by prioritising the </w:t>
      </w:r>
      <w:proofErr w:type="spellStart"/>
      <w:r w:rsidR="00AC62D9" w:rsidRPr="007C5169">
        <w:rPr>
          <w:sz w:val="20"/>
          <w:szCs w:val="20"/>
          <w:lang w:val="en-GB"/>
        </w:rPr>
        <w:t>fetus</w:t>
      </w:r>
      <w:proofErr w:type="spellEnd"/>
      <w:r w:rsidR="00AC62D9" w:rsidRPr="007C5169">
        <w:rPr>
          <w:sz w:val="20"/>
          <w:szCs w:val="20"/>
          <w:lang w:val="en-GB"/>
        </w:rPr>
        <w:t xml:space="preserve"> over her health by postponing essential surgery until she was no longer pregnant); </w:t>
      </w:r>
      <w:r w:rsidRPr="007C5169">
        <w:rPr>
          <w:sz w:val="20"/>
          <w:szCs w:val="20"/>
          <w:lang w:val="en-GB"/>
        </w:rPr>
        <w:t xml:space="preserve">Baby Boy v. United States, Resolution 23/81, Case 2141, OEA </w:t>
      </w:r>
      <w:proofErr w:type="spellStart"/>
      <w:r w:rsidRPr="007C5169">
        <w:rPr>
          <w:sz w:val="20"/>
          <w:szCs w:val="20"/>
          <w:lang w:val="en-GB"/>
        </w:rPr>
        <w:t>Ser.L</w:t>
      </w:r>
      <w:proofErr w:type="spellEnd"/>
      <w:r w:rsidRPr="007C5169">
        <w:rPr>
          <w:sz w:val="20"/>
          <w:szCs w:val="20"/>
          <w:lang w:val="en-GB"/>
        </w:rPr>
        <w:t>/V/II, doc. 9 rev. 1, para. 18(b) (Inter-American Commission on Human Rights March 6, 1981) (finding that a law permitting unrestricted access to abortion was compatible with the right to life provision of the American Declaration)</w:t>
      </w:r>
      <w:r w:rsidR="00AC62D9" w:rsidRPr="007C5169">
        <w:rPr>
          <w:sz w:val="20"/>
          <w:szCs w:val="20"/>
          <w:lang w:val="en-GB"/>
        </w:rPr>
        <w:t>.</w:t>
      </w:r>
    </w:p>
  </w:footnote>
  <w:footnote w:id="7">
    <w:p w14:paraId="5793BF38" w14:textId="7B877658" w:rsidR="00AC62D9" w:rsidRPr="00CA14D6" w:rsidRDefault="00AC62D9">
      <w:pPr>
        <w:pStyle w:val="FootnoteText"/>
        <w:rPr>
          <w:lang w:val="en-GB"/>
        </w:rPr>
      </w:pPr>
      <w:r w:rsidRPr="00CA14D6">
        <w:rPr>
          <w:rStyle w:val="FootnoteReference"/>
        </w:rPr>
        <w:footnoteRef/>
      </w:r>
      <w:r w:rsidRPr="00CA14D6">
        <w:t xml:space="preserve"> </w:t>
      </w:r>
      <w:r w:rsidRPr="00CA14D6">
        <w:rPr>
          <w:lang w:val="en-GB"/>
        </w:rPr>
        <w:t>See generally Committee on the Rights of the Child, General Comment No. 14 on the Right of the Child to Have His or Her Best Interests Taken as a Primary Consideration, U.N. Doc. CRC/C/GC/14 (May 29,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C2D5" w14:textId="77777777" w:rsidR="00B546A4" w:rsidRDefault="00B546A4" w:rsidP="001710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41EE"/>
    <w:multiLevelType w:val="hybridMultilevel"/>
    <w:tmpl w:val="158C07C8"/>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 w15:restartNumberingAfterBreak="0">
    <w:nsid w:val="417D15D5"/>
    <w:multiLevelType w:val="hybridMultilevel"/>
    <w:tmpl w:val="A10024D0"/>
    <w:lvl w:ilvl="0" w:tplc="8DD6B718">
      <w:start w:val="1"/>
      <w:numFmt w:val="lowerLetter"/>
      <w:lvlText w:val="%1)"/>
      <w:lvlJc w:val="left"/>
      <w:pPr>
        <w:ind w:left="737"/>
      </w:pPr>
      <w:rPr>
        <w:rFonts w:ascii="MetaNormal-Roman" w:eastAsia="MetaNormal-Roman" w:hAnsi="MetaNormal-Roman" w:cs="MetaNormal-Roman"/>
        <w:b w:val="0"/>
        <w:i w:val="0"/>
        <w:strike w:val="0"/>
        <w:dstrike w:val="0"/>
        <w:color w:val="000000"/>
        <w:sz w:val="23"/>
        <w:szCs w:val="23"/>
        <w:u w:val="none" w:color="000000"/>
        <w:bdr w:val="none" w:sz="0" w:space="0" w:color="auto"/>
        <w:shd w:val="clear" w:color="auto" w:fill="auto"/>
        <w:vertAlign w:val="baseline"/>
      </w:rPr>
    </w:lvl>
    <w:lvl w:ilvl="1" w:tplc="AC9EC570">
      <w:start w:val="1"/>
      <w:numFmt w:val="lowerLetter"/>
      <w:lvlText w:val="%2"/>
      <w:lvlJc w:val="left"/>
      <w:pPr>
        <w:ind w:left="1442"/>
      </w:pPr>
      <w:rPr>
        <w:rFonts w:ascii="MetaNormal-Roman" w:eastAsia="MetaNormal-Roman" w:hAnsi="MetaNormal-Roman" w:cs="MetaNormal-Roman"/>
        <w:b w:val="0"/>
        <w:i w:val="0"/>
        <w:strike w:val="0"/>
        <w:dstrike w:val="0"/>
        <w:color w:val="000000"/>
        <w:sz w:val="23"/>
        <w:szCs w:val="23"/>
        <w:u w:val="none" w:color="000000"/>
        <w:bdr w:val="none" w:sz="0" w:space="0" w:color="auto"/>
        <w:shd w:val="clear" w:color="auto" w:fill="auto"/>
        <w:vertAlign w:val="baseline"/>
      </w:rPr>
    </w:lvl>
    <w:lvl w:ilvl="2" w:tplc="F048AF3C">
      <w:start w:val="1"/>
      <w:numFmt w:val="lowerRoman"/>
      <w:lvlText w:val="%3"/>
      <w:lvlJc w:val="left"/>
      <w:pPr>
        <w:ind w:left="2162"/>
      </w:pPr>
      <w:rPr>
        <w:rFonts w:ascii="MetaNormal-Roman" w:eastAsia="MetaNormal-Roman" w:hAnsi="MetaNormal-Roman" w:cs="MetaNormal-Roman"/>
        <w:b w:val="0"/>
        <w:i w:val="0"/>
        <w:strike w:val="0"/>
        <w:dstrike w:val="0"/>
        <w:color w:val="000000"/>
        <w:sz w:val="23"/>
        <w:szCs w:val="23"/>
        <w:u w:val="none" w:color="000000"/>
        <w:bdr w:val="none" w:sz="0" w:space="0" w:color="auto"/>
        <w:shd w:val="clear" w:color="auto" w:fill="auto"/>
        <w:vertAlign w:val="baseline"/>
      </w:rPr>
    </w:lvl>
    <w:lvl w:ilvl="3" w:tplc="42A8A81A">
      <w:start w:val="1"/>
      <w:numFmt w:val="decimal"/>
      <w:lvlText w:val="%4"/>
      <w:lvlJc w:val="left"/>
      <w:pPr>
        <w:ind w:left="2882"/>
      </w:pPr>
      <w:rPr>
        <w:rFonts w:ascii="MetaNormal-Roman" w:eastAsia="MetaNormal-Roman" w:hAnsi="MetaNormal-Roman" w:cs="MetaNormal-Roman"/>
        <w:b w:val="0"/>
        <w:i w:val="0"/>
        <w:strike w:val="0"/>
        <w:dstrike w:val="0"/>
        <w:color w:val="000000"/>
        <w:sz w:val="23"/>
        <w:szCs w:val="23"/>
        <w:u w:val="none" w:color="000000"/>
        <w:bdr w:val="none" w:sz="0" w:space="0" w:color="auto"/>
        <w:shd w:val="clear" w:color="auto" w:fill="auto"/>
        <w:vertAlign w:val="baseline"/>
      </w:rPr>
    </w:lvl>
    <w:lvl w:ilvl="4" w:tplc="5810C630">
      <w:start w:val="1"/>
      <w:numFmt w:val="lowerLetter"/>
      <w:lvlText w:val="%5"/>
      <w:lvlJc w:val="left"/>
      <w:pPr>
        <w:ind w:left="3602"/>
      </w:pPr>
      <w:rPr>
        <w:rFonts w:ascii="MetaNormal-Roman" w:eastAsia="MetaNormal-Roman" w:hAnsi="MetaNormal-Roman" w:cs="MetaNormal-Roman"/>
        <w:b w:val="0"/>
        <w:i w:val="0"/>
        <w:strike w:val="0"/>
        <w:dstrike w:val="0"/>
        <w:color w:val="000000"/>
        <w:sz w:val="23"/>
        <w:szCs w:val="23"/>
        <w:u w:val="none" w:color="000000"/>
        <w:bdr w:val="none" w:sz="0" w:space="0" w:color="auto"/>
        <w:shd w:val="clear" w:color="auto" w:fill="auto"/>
        <w:vertAlign w:val="baseline"/>
      </w:rPr>
    </w:lvl>
    <w:lvl w:ilvl="5" w:tplc="BC70A27C">
      <w:start w:val="1"/>
      <w:numFmt w:val="lowerRoman"/>
      <w:lvlText w:val="%6"/>
      <w:lvlJc w:val="left"/>
      <w:pPr>
        <w:ind w:left="4322"/>
      </w:pPr>
      <w:rPr>
        <w:rFonts w:ascii="MetaNormal-Roman" w:eastAsia="MetaNormal-Roman" w:hAnsi="MetaNormal-Roman" w:cs="MetaNormal-Roman"/>
        <w:b w:val="0"/>
        <w:i w:val="0"/>
        <w:strike w:val="0"/>
        <w:dstrike w:val="0"/>
        <w:color w:val="000000"/>
        <w:sz w:val="23"/>
        <w:szCs w:val="23"/>
        <w:u w:val="none" w:color="000000"/>
        <w:bdr w:val="none" w:sz="0" w:space="0" w:color="auto"/>
        <w:shd w:val="clear" w:color="auto" w:fill="auto"/>
        <w:vertAlign w:val="baseline"/>
      </w:rPr>
    </w:lvl>
    <w:lvl w:ilvl="6" w:tplc="0952E668">
      <w:start w:val="1"/>
      <w:numFmt w:val="decimal"/>
      <w:lvlText w:val="%7"/>
      <w:lvlJc w:val="left"/>
      <w:pPr>
        <w:ind w:left="5042"/>
      </w:pPr>
      <w:rPr>
        <w:rFonts w:ascii="MetaNormal-Roman" w:eastAsia="MetaNormal-Roman" w:hAnsi="MetaNormal-Roman" w:cs="MetaNormal-Roman"/>
        <w:b w:val="0"/>
        <w:i w:val="0"/>
        <w:strike w:val="0"/>
        <w:dstrike w:val="0"/>
        <w:color w:val="000000"/>
        <w:sz w:val="23"/>
        <w:szCs w:val="23"/>
        <w:u w:val="none" w:color="000000"/>
        <w:bdr w:val="none" w:sz="0" w:space="0" w:color="auto"/>
        <w:shd w:val="clear" w:color="auto" w:fill="auto"/>
        <w:vertAlign w:val="baseline"/>
      </w:rPr>
    </w:lvl>
    <w:lvl w:ilvl="7" w:tplc="D8387BFE">
      <w:start w:val="1"/>
      <w:numFmt w:val="lowerLetter"/>
      <w:lvlText w:val="%8"/>
      <w:lvlJc w:val="left"/>
      <w:pPr>
        <w:ind w:left="5762"/>
      </w:pPr>
      <w:rPr>
        <w:rFonts w:ascii="MetaNormal-Roman" w:eastAsia="MetaNormal-Roman" w:hAnsi="MetaNormal-Roman" w:cs="MetaNormal-Roman"/>
        <w:b w:val="0"/>
        <w:i w:val="0"/>
        <w:strike w:val="0"/>
        <w:dstrike w:val="0"/>
        <w:color w:val="000000"/>
        <w:sz w:val="23"/>
        <w:szCs w:val="23"/>
        <w:u w:val="none" w:color="000000"/>
        <w:bdr w:val="none" w:sz="0" w:space="0" w:color="auto"/>
        <w:shd w:val="clear" w:color="auto" w:fill="auto"/>
        <w:vertAlign w:val="baseline"/>
      </w:rPr>
    </w:lvl>
    <w:lvl w:ilvl="8" w:tplc="62328560">
      <w:start w:val="1"/>
      <w:numFmt w:val="lowerRoman"/>
      <w:lvlText w:val="%9"/>
      <w:lvlJc w:val="left"/>
      <w:pPr>
        <w:ind w:left="6482"/>
      </w:pPr>
      <w:rPr>
        <w:rFonts w:ascii="MetaNormal-Roman" w:eastAsia="MetaNormal-Roman" w:hAnsi="MetaNormal-Roman" w:cs="MetaNormal-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60B64F1"/>
    <w:multiLevelType w:val="hybridMultilevel"/>
    <w:tmpl w:val="8520A4B2"/>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 w15:restartNumberingAfterBreak="0">
    <w:nsid w:val="52107818"/>
    <w:multiLevelType w:val="hybridMultilevel"/>
    <w:tmpl w:val="1C3CB298"/>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4" w15:restartNumberingAfterBreak="0">
    <w:nsid w:val="57E40546"/>
    <w:multiLevelType w:val="hybridMultilevel"/>
    <w:tmpl w:val="B4023864"/>
    <w:lvl w:ilvl="0" w:tplc="B8B45058">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5" w15:restartNumberingAfterBreak="0">
    <w:nsid w:val="707E69E5"/>
    <w:multiLevelType w:val="hybridMultilevel"/>
    <w:tmpl w:val="724C6CC8"/>
    <w:lvl w:ilvl="0" w:tplc="56A202CA">
      <w:start w:val="1"/>
      <w:numFmt w:val="lowerLetter"/>
      <w:lvlText w:val="%1)"/>
      <w:lvlJc w:val="left"/>
      <w:pPr>
        <w:ind w:left="725" w:hanging="708"/>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6" w15:restartNumberingAfterBreak="0">
    <w:nsid w:val="7E51507A"/>
    <w:multiLevelType w:val="hybridMultilevel"/>
    <w:tmpl w:val="2FF2C62A"/>
    <w:lvl w:ilvl="0" w:tplc="F92CC3B2">
      <w:start w:val="1"/>
      <w:numFmt w:val="low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11527F-5CA7-40F6-B3F5-186E79260F38}"/>
    <w:docVar w:name="dgnword-eventsink" w:val="1713317204592"/>
  </w:docVars>
  <w:rsids>
    <w:rsidRoot w:val="00551974"/>
    <w:rsid w:val="00023D07"/>
    <w:rsid w:val="00034BE6"/>
    <w:rsid w:val="000841BD"/>
    <w:rsid w:val="000B164B"/>
    <w:rsid w:val="00122738"/>
    <w:rsid w:val="001252F9"/>
    <w:rsid w:val="00125AAF"/>
    <w:rsid w:val="001343E6"/>
    <w:rsid w:val="0014295E"/>
    <w:rsid w:val="00155063"/>
    <w:rsid w:val="00165DBC"/>
    <w:rsid w:val="001710F3"/>
    <w:rsid w:val="00172ECE"/>
    <w:rsid w:val="00175B93"/>
    <w:rsid w:val="00175D13"/>
    <w:rsid w:val="00176014"/>
    <w:rsid w:val="00183B07"/>
    <w:rsid w:val="001B5C05"/>
    <w:rsid w:val="001F6D7E"/>
    <w:rsid w:val="0020567C"/>
    <w:rsid w:val="0021210D"/>
    <w:rsid w:val="002301A2"/>
    <w:rsid w:val="002326A9"/>
    <w:rsid w:val="002460BE"/>
    <w:rsid w:val="00261A86"/>
    <w:rsid w:val="002A562C"/>
    <w:rsid w:val="002C34B0"/>
    <w:rsid w:val="002D6862"/>
    <w:rsid w:val="002E1C6F"/>
    <w:rsid w:val="002F0A1E"/>
    <w:rsid w:val="002F4989"/>
    <w:rsid w:val="00304E83"/>
    <w:rsid w:val="0032399E"/>
    <w:rsid w:val="00337867"/>
    <w:rsid w:val="00386C7A"/>
    <w:rsid w:val="00386F37"/>
    <w:rsid w:val="003C540D"/>
    <w:rsid w:val="003D633B"/>
    <w:rsid w:val="003E1C3E"/>
    <w:rsid w:val="00401262"/>
    <w:rsid w:val="00402873"/>
    <w:rsid w:val="00431280"/>
    <w:rsid w:val="004377A8"/>
    <w:rsid w:val="00440647"/>
    <w:rsid w:val="00442801"/>
    <w:rsid w:val="004502A7"/>
    <w:rsid w:val="00450EDB"/>
    <w:rsid w:val="004A344A"/>
    <w:rsid w:val="004B75F4"/>
    <w:rsid w:val="004D372C"/>
    <w:rsid w:val="004F1FF2"/>
    <w:rsid w:val="005037FD"/>
    <w:rsid w:val="005254FF"/>
    <w:rsid w:val="00545F6A"/>
    <w:rsid w:val="00551974"/>
    <w:rsid w:val="0058624B"/>
    <w:rsid w:val="00593E86"/>
    <w:rsid w:val="005973F5"/>
    <w:rsid w:val="005F5B5B"/>
    <w:rsid w:val="00602B19"/>
    <w:rsid w:val="0064701C"/>
    <w:rsid w:val="00653BCB"/>
    <w:rsid w:val="00662CDF"/>
    <w:rsid w:val="0067552E"/>
    <w:rsid w:val="00685158"/>
    <w:rsid w:val="006B57DA"/>
    <w:rsid w:val="006C27E6"/>
    <w:rsid w:val="006C3686"/>
    <w:rsid w:val="006F0033"/>
    <w:rsid w:val="006F66A0"/>
    <w:rsid w:val="0079444A"/>
    <w:rsid w:val="007A0516"/>
    <w:rsid w:val="007A4F4B"/>
    <w:rsid w:val="007B606E"/>
    <w:rsid w:val="007C0E8E"/>
    <w:rsid w:val="007C322C"/>
    <w:rsid w:val="007C5169"/>
    <w:rsid w:val="007C69FD"/>
    <w:rsid w:val="007D3DEF"/>
    <w:rsid w:val="007D53A1"/>
    <w:rsid w:val="007F7384"/>
    <w:rsid w:val="00856879"/>
    <w:rsid w:val="00857C06"/>
    <w:rsid w:val="00881AC8"/>
    <w:rsid w:val="008B2033"/>
    <w:rsid w:val="008C197B"/>
    <w:rsid w:val="008C455D"/>
    <w:rsid w:val="008C5698"/>
    <w:rsid w:val="008E456A"/>
    <w:rsid w:val="008F28E8"/>
    <w:rsid w:val="008F7017"/>
    <w:rsid w:val="00924EFB"/>
    <w:rsid w:val="009318CE"/>
    <w:rsid w:val="00952EB9"/>
    <w:rsid w:val="00984618"/>
    <w:rsid w:val="009A371E"/>
    <w:rsid w:val="009C61CF"/>
    <w:rsid w:val="00A05396"/>
    <w:rsid w:val="00A31150"/>
    <w:rsid w:val="00A33844"/>
    <w:rsid w:val="00A4323D"/>
    <w:rsid w:val="00A43AEE"/>
    <w:rsid w:val="00A6253A"/>
    <w:rsid w:val="00A715E5"/>
    <w:rsid w:val="00A83A9E"/>
    <w:rsid w:val="00AA118F"/>
    <w:rsid w:val="00AA13A6"/>
    <w:rsid w:val="00AA7905"/>
    <w:rsid w:val="00AC62D9"/>
    <w:rsid w:val="00AD2AD4"/>
    <w:rsid w:val="00AD7298"/>
    <w:rsid w:val="00B546A4"/>
    <w:rsid w:val="00B81637"/>
    <w:rsid w:val="00BA5DBA"/>
    <w:rsid w:val="00BE0F0F"/>
    <w:rsid w:val="00C11B66"/>
    <w:rsid w:val="00C45BA0"/>
    <w:rsid w:val="00C6153D"/>
    <w:rsid w:val="00C72901"/>
    <w:rsid w:val="00C7482E"/>
    <w:rsid w:val="00C81C00"/>
    <w:rsid w:val="00C85AC6"/>
    <w:rsid w:val="00C90292"/>
    <w:rsid w:val="00C93036"/>
    <w:rsid w:val="00CA14D6"/>
    <w:rsid w:val="00CA22D7"/>
    <w:rsid w:val="00CC1F02"/>
    <w:rsid w:val="00CC4DAB"/>
    <w:rsid w:val="00CF1AC2"/>
    <w:rsid w:val="00D1350B"/>
    <w:rsid w:val="00D3150E"/>
    <w:rsid w:val="00D36FF1"/>
    <w:rsid w:val="00D54EEC"/>
    <w:rsid w:val="00D73568"/>
    <w:rsid w:val="00D7420B"/>
    <w:rsid w:val="00D8055F"/>
    <w:rsid w:val="00D914B0"/>
    <w:rsid w:val="00DA4A51"/>
    <w:rsid w:val="00DC580E"/>
    <w:rsid w:val="00E13630"/>
    <w:rsid w:val="00E142EA"/>
    <w:rsid w:val="00E15A2F"/>
    <w:rsid w:val="00E17CE3"/>
    <w:rsid w:val="00E34791"/>
    <w:rsid w:val="00E527EC"/>
    <w:rsid w:val="00E70587"/>
    <w:rsid w:val="00E72FA4"/>
    <w:rsid w:val="00E743FF"/>
    <w:rsid w:val="00E74A3B"/>
    <w:rsid w:val="00EA0058"/>
    <w:rsid w:val="00EC3C5C"/>
    <w:rsid w:val="00EE247A"/>
    <w:rsid w:val="00EE6353"/>
    <w:rsid w:val="00F01B80"/>
    <w:rsid w:val="00F17564"/>
    <w:rsid w:val="00F42CD2"/>
    <w:rsid w:val="00FD238E"/>
    <w:rsid w:val="00FE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3BF24"/>
  <w15:docId w15:val="{191F5030-8BAD-4D6D-9FBF-6461CF5C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27" w:hanging="10"/>
    </w:pPr>
    <w:rPr>
      <w:rFonts w:ascii="MetaNormal-Roman" w:eastAsia="MetaNormal-Roman" w:hAnsi="MetaNormal-Roman" w:cs="MetaNormal-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7" w:lineRule="auto"/>
      <w:ind w:left="17"/>
    </w:pPr>
    <w:rPr>
      <w:rFonts w:ascii="MetaMedium-Roman" w:eastAsia="MetaMedium-Roman" w:hAnsi="MetaMedium-Roman" w:cs="MetaMedium-Roman"/>
      <w:color w:val="000000"/>
      <w:sz w:val="16"/>
    </w:rPr>
  </w:style>
  <w:style w:type="character" w:customStyle="1" w:styleId="footnotedescriptionChar">
    <w:name w:val="footnote description Char"/>
    <w:link w:val="footnotedescription"/>
    <w:rPr>
      <w:rFonts w:ascii="MetaMedium-Roman" w:eastAsia="MetaMedium-Roman" w:hAnsi="MetaMedium-Roman" w:cs="MetaMedium-Roman"/>
      <w:color w:val="000000"/>
      <w:sz w:val="16"/>
    </w:rPr>
  </w:style>
  <w:style w:type="character" w:customStyle="1" w:styleId="footnotemark">
    <w:name w:val="footnote mark"/>
    <w:hidden/>
    <w:rPr>
      <w:rFonts w:ascii="MetaMedium-Roman" w:eastAsia="MetaMedium-Roman" w:hAnsi="MetaMedium-Roman" w:cs="MetaMedium-Roman"/>
      <w:color w:val="000000"/>
      <w:sz w:val="16"/>
      <w:vertAlign w:val="superscript"/>
    </w:rPr>
  </w:style>
  <w:style w:type="paragraph" w:styleId="ListParagraph">
    <w:name w:val="List Paragraph"/>
    <w:basedOn w:val="Normal"/>
    <w:uiPriority w:val="34"/>
    <w:qFormat/>
    <w:rsid w:val="008C197B"/>
    <w:pPr>
      <w:ind w:left="720"/>
      <w:contextualSpacing/>
    </w:pPr>
  </w:style>
  <w:style w:type="paragraph" w:styleId="BalloonText">
    <w:name w:val="Balloon Text"/>
    <w:basedOn w:val="Normal"/>
    <w:link w:val="BalloonTextChar"/>
    <w:uiPriority w:val="99"/>
    <w:semiHidden/>
    <w:unhideWhenUsed/>
    <w:rsid w:val="00D74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20B"/>
    <w:rPr>
      <w:rFonts w:ascii="Segoe UI" w:eastAsia="MetaNormal-Roman" w:hAnsi="Segoe UI" w:cs="Segoe UI"/>
      <w:color w:val="000000"/>
      <w:sz w:val="18"/>
      <w:szCs w:val="18"/>
    </w:rPr>
  </w:style>
  <w:style w:type="character" w:styleId="CommentReference">
    <w:name w:val="annotation reference"/>
    <w:basedOn w:val="DefaultParagraphFont"/>
    <w:uiPriority w:val="99"/>
    <w:semiHidden/>
    <w:unhideWhenUsed/>
    <w:rsid w:val="003C540D"/>
    <w:rPr>
      <w:sz w:val="16"/>
      <w:szCs w:val="16"/>
    </w:rPr>
  </w:style>
  <w:style w:type="paragraph" w:styleId="CommentText">
    <w:name w:val="annotation text"/>
    <w:basedOn w:val="Normal"/>
    <w:link w:val="CommentTextChar"/>
    <w:uiPriority w:val="99"/>
    <w:semiHidden/>
    <w:unhideWhenUsed/>
    <w:rsid w:val="003C540D"/>
    <w:pPr>
      <w:spacing w:line="240" w:lineRule="auto"/>
    </w:pPr>
    <w:rPr>
      <w:sz w:val="20"/>
      <w:szCs w:val="20"/>
    </w:rPr>
  </w:style>
  <w:style w:type="character" w:customStyle="1" w:styleId="CommentTextChar">
    <w:name w:val="Comment Text Char"/>
    <w:basedOn w:val="DefaultParagraphFont"/>
    <w:link w:val="CommentText"/>
    <w:uiPriority w:val="99"/>
    <w:semiHidden/>
    <w:rsid w:val="003C540D"/>
    <w:rPr>
      <w:rFonts w:ascii="MetaNormal-Roman" w:eastAsia="MetaNormal-Roman" w:hAnsi="MetaNormal-Roman" w:cs="MetaNormal-Roman"/>
      <w:color w:val="000000"/>
      <w:sz w:val="20"/>
      <w:szCs w:val="20"/>
    </w:rPr>
  </w:style>
  <w:style w:type="paragraph" w:styleId="CommentSubject">
    <w:name w:val="annotation subject"/>
    <w:basedOn w:val="CommentText"/>
    <w:next w:val="CommentText"/>
    <w:link w:val="CommentSubjectChar"/>
    <w:uiPriority w:val="99"/>
    <w:semiHidden/>
    <w:unhideWhenUsed/>
    <w:rsid w:val="003C540D"/>
    <w:rPr>
      <w:b/>
      <w:bCs/>
    </w:rPr>
  </w:style>
  <w:style w:type="character" w:customStyle="1" w:styleId="CommentSubjectChar">
    <w:name w:val="Comment Subject Char"/>
    <w:basedOn w:val="CommentTextChar"/>
    <w:link w:val="CommentSubject"/>
    <w:uiPriority w:val="99"/>
    <w:semiHidden/>
    <w:rsid w:val="003C540D"/>
    <w:rPr>
      <w:rFonts w:ascii="MetaNormal-Roman" w:eastAsia="MetaNormal-Roman" w:hAnsi="MetaNormal-Roman" w:cs="MetaNormal-Roman"/>
      <w:b/>
      <w:bCs/>
      <w:color w:val="000000"/>
      <w:sz w:val="20"/>
      <w:szCs w:val="20"/>
    </w:rPr>
  </w:style>
  <w:style w:type="paragraph" w:styleId="NormalWeb">
    <w:name w:val="Normal (Web)"/>
    <w:basedOn w:val="Normal"/>
    <w:uiPriority w:val="99"/>
    <w:semiHidden/>
    <w:unhideWhenUsed/>
    <w:rsid w:val="002F498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E74A3B"/>
    <w:rPr>
      <w:color w:val="0000FF"/>
      <w:u w:val="single"/>
    </w:rPr>
  </w:style>
  <w:style w:type="character" w:customStyle="1" w:styleId="UnresolvedMention1">
    <w:name w:val="Unresolved Mention1"/>
    <w:basedOn w:val="DefaultParagraphFont"/>
    <w:uiPriority w:val="99"/>
    <w:semiHidden/>
    <w:unhideWhenUsed/>
    <w:rsid w:val="006F66A0"/>
    <w:rPr>
      <w:color w:val="605E5C"/>
      <w:shd w:val="clear" w:color="auto" w:fill="E1DFDD"/>
    </w:rPr>
  </w:style>
  <w:style w:type="character" w:styleId="FollowedHyperlink">
    <w:name w:val="FollowedHyperlink"/>
    <w:basedOn w:val="DefaultParagraphFont"/>
    <w:uiPriority w:val="99"/>
    <w:semiHidden/>
    <w:unhideWhenUsed/>
    <w:rsid w:val="0064701C"/>
    <w:rPr>
      <w:color w:val="954F72" w:themeColor="followedHyperlink"/>
      <w:u w:val="single"/>
    </w:rPr>
  </w:style>
  <w:style w:type="paragraph" w:styleId="Revision">
    <w:name w:val="Revision"/>
    <w:hidden/>
    <w:uiPriority w:val="99"/>
    <w:semiHidden/>
    <w:rsid w:val="008B2033"/>
    <w:pPr>
      <w:spacing w:after="0" w:line="240" w:lineRule="auto"/>
    </w:pPr>
    <w:rPr>
      <w:rFonts w:ascii="MetaNormal-Roman" w:eastAsia="MetaNormal-Roman" w:hAnsi="MetaNormal-Roman" w:cs="MetaNormal-Roman"/>
      <w:color w:val="000000"/>
    </w:rPr>
  </w:style>
  <w:style w:type="paragraph" w:styleId="Header">
    <w:name w:val="header"/>
    <w:basedOn w:val="Normal"/>
    <w:link w:val="HeaderChar"/>
    <w:uiPriority w:val="99"/>
    <w:unhideWhenUsed/>
    <w:rsid w:val="008B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33"/>
    <w:rPr>
      <w:rFonts w:ascii="MetaNormal-Roman" w:eastAsia="MetaNormal-Roman" w:hAnsi="MetaNormal-Roman" w:cs="MetaNormal-Roman"/>
      <w:color w:val="000000"/>
    </w:rPr>
  </w:style>
  <w:style w:type="paragraph" w:styleId="FootnoteText">
    <w:name w:val="footnote text"/>
    <w:basedOn w:val="Normal"/>
    <w:link w:val="FootnoteTextChar"/>
    <w:uiPriority w:val="99"/>
    <w:semiHidden/>
    <w:unhideWhenUsed/>
    <w:rsid w:val="00023D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D07"/>
    <w:rPr>
      <w:rFonts w:ascii="MetaNormal-Roman" w:eastAsia="MetaNormal-Roman" w:hAnsi="MetaNormal-Roman" w:cs="MetaNormal-Roman"/>
      <w:color w:val="000000"/>
      <w:sz w:val="20"/>
      <w:szCs w:val="20"/>
    </w:rPr>
  </w:style>
  <w:style w:type="character" w:styleId="FootnoteReference">
    <w:name w:val="footnote reference"/>
    <w:basedOn w:val="DefaultParagraphFont"/>
    <w:uiPriority w:val="99"/>
    <w:semiHidden/>
    <w:unhideWhenUsed/>
    <w:rsid w:val="00023D07"/>
    <w:rPr>
      <w:vertAlign w:val="superscript"/>
    </w:rPr>
  </w:style>
  <w:style w:type="character" w:customStyle="1" w:styleId="ref-lnk">
    <w:name w:val="ref-lnk"/>
    <w:basedOn w:val="DefaultParagraphFont"/>
    <w:rsid w:val="004A344A"/>
  </w:style>
  <w:style w:type="character" w:customStyle="1" w:styleId="ref-overlay">
    <w:name w:val="ref-overlay"/>
    <w:basedOn w:val="DefaultParagraphFont"/>
    <w:rsid w:val="004A344A"/>
  </w:style>
  <w:style w:type="character" w:customStyle="1" w:styleId="ref-links">
    <w:name w:val="ref-links"/>
    <w:basedOn w:val="DefaultParagraphFont"/>
    <w:rsid w:val="004A344A"/>
  </w:style>
  <w:style w:type="character" w:customStyle="1" w:styleId="googlescholar-container">
    <w:name w:val="googlescholar-container"/>
    <w:basedOn w:val="DefaultParagraphFont"/>
    <w:rsid w:val="004A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229">
      <w:bodyDiv w:val="1"/>
      <w:marLeft w:val="0"/>
      <w:marRight w:val="0"/>
      <w:marTop w:val="0"/>
      <w:marBottom w:val="0"/>
      <w:divBdr>
        <w:top w:val="none" w:sz="0" w:space="0" w:color="auto"/>
        <w:left w:val="none" w:sz="0" w:space="0" w:color="auto"/>
        <w:bottom w:val="none" w:sz="0" w:space="0" w:color="auto"/>
        <w:right w:val="none" w:sz="0" w:space="0" w:color="auto"/>
      </w:divBdr>
    </w:div>
    <w:div w:id="210382957">
      <w:bodyDiv w:val="1"/>
      <w:marLeft w:val="0"/>
      <w:marRight w:val="0"/>
      <w:marTop w:val="0"/>
      <w:marBottom w:val="0"/>
      <w:divBdr>
        <w:top w:val="none" w:sz="0" w:space="0" w:color="auto"/>
        <w:left w:val="none" w:sz="0" w:space="0" w:color="auto"/>
        <w:bottom w:val="none" w:sz="0" w:space="0" w:color="auto"/>
        <w:right w:val="none" w:sz="0" w:space="0" w:color="auto"/>
      </w:divBdr>
    </w:div>
    <w:div w:id="285354294">
      <w:bodyDiv w:val="1"/>
      <w:marLeft w:val="0"/>
      <w:marRight w:val="0"/>
      <w:marTop w:val="0"/>
      <w:marBottom w:val="0"/>
      <w:divBdr>
        <w:top w:val="none" w:sz="0" w:space="0" w:color="auto"/>
        <w:left w:val="none" w:sz="0" w:space="0" w:color="auto"/>
        <w:bottom w:val="none" w:sz="0" w:space="0" w:color="auto"/>
        <w:right w:val="none" w:sz="0" w:space="0" w:color="auto"/>
      </w:divBdr>
    </w:div>
    <w:div w:id="415908472">
      <w:bodyDiv w:val="1"/>
      <w:marLeft w:val="0"/>
      <w:marRight w:val="0"/>
      <w:marTop w:val="0"/>
      <w:marBottom w:val="0"/>
      <w:divBdr>
        <w:top w:val="none" w:sz="0" w:space="0" w:color="auto"/>
        <w:left w:val="none" w:sz="0" w:space="0" w:color="auto"/>
        <w:bottom w:val="none" w:sz="0" w:space="0" w:color="auto"/>
        <w:right w:val="none" w:sz="0" w:space="0" w:color="auto"/>
      </w:divBdr>
    </w:div>
    <w:div w:id="713429147">
      <w:bodyDiv w:val="1"/>
      <w:marLeft w:val="0"/>
      <w:marRight w:val="0"/>
      <w:marTop w:val="0"/>
      <w:marBottom w:val="0"/>
      <w:divBdr>
        <w:top w:val="none" w:sz="0" w:space="0" w:color="auto"/>
        <w:left w:val="none" w:sz="0" w:space="0" w:color="auto"/>
        <w:bottom w:val="none" w:sz="0" w:space="0" w:color="auto"/>
        <w:right w:val="none" w:sz="0" w:space="0" w:color="auto"/>
      </w:divBdr>
    </w:div>
    <w:div w:id="804738951">
      <w:bodyDiv w:val="1"/>
      <w:marLeft w:val="0"/>
      <w:marRight w:val="0"/>
      <w:marTop w:val="0"/>
      <w:marBottom w:val="0"/>
      <w:divBdr>
        <w:top w:val="none" w:sz="0" w:space="0" w:color="auto"/>
        <w:left w:val="none" w:sz="0" w:space="0" w:color="auto"/>
        <w:bottom w:val="none" w:sz="0" w:space="0" w:color="auto"/>
        <w:right w:val="none" w:sz="0" w:space="0" w:color="auto"/>
      </w:divBdr>
    </w:div>
    <w:div w:id="813452283">
      <w:bodyDiv w:val="1"/>
      <w:marLeft w:val="0"/>
      <w:marRight w:val="0"/>
      <w:marTop w:val="0"/>
      <w:marBottom w:val="0"/>
      <w:divBdr>
        <w:top w:val="none" w:sz="0" w:space="0" w:color="auto"/>
        <w:left w:val="none" w:sz="0" w:space="0" w:color="auto"/>
        <w:bottom w:val="none" w:sz="0" w:space="0" w:color="auto"/>
        <w:right w:val="none" w:sz="0" w:space="0" w:color="auto"/>
      </w:divBdr>
    </w:div>
    <w:div w:id="894435632">
      <w:bodyDiv w:val="1"/>
      <w:marLeft w:val="0"/>
      <w:marRight w:val="0"/>
      <w:marTop w:val="0"/>
      <w:marBottom w:val="0"/>
      <w:divBdr>
        <w:top w:val="none" w:sz="0" w:space="0" w:color="auto"/>
        <w:left w:val="none" w:sz="0" w:space="0" w:color="auto"/>
        <w:bottom w:val="none" w:sz="0" w:space="0" w:color="auto"/>
        <w:right w:val="none" w:sz="0" w:space="0" w:color="auto"/>
      </w:divBdr>
    </w:div>
    <w:div w:id="1026560089">
      <w:bodyDiv w:val="1"/>
      <w:marLeft w:val="0"/>
      <w:marRight w:val="0"/>
      <w:marTop w:val="0"/>
      <w:marBottom w:val="0"/>
      <w:divBdr>
        <w:top w:val="none" w:sz="0" w:space="0" w:color="auto"/>
        <w:left w:val="none" w:sz="0" w:space="0" w:color="auto"/>
        <w:bottom w:val="none" w:sz="0" w:space="0" w:color="auto"/>
        <w:right w:val="none" w:sz="0" w:space="0" w:color="auto"/>
      </w:divBdr>
    </w:div>
    <w:div w:id="1151672275">
      <w:bodyDiv w:val="1"/>
      <w:marLeft w:val="0"/>
      <w:marRight w:val="0"/>
      <w:marTop w:val="0"/>
      <w:marBottom w:val="0"/>
      <w:divBdr>
        <w:top w:val="none" w:sz="0" w:space="0" w:color="auto"/>
        <w:left w:val="none" w:sz="0" w:space="0" w:color="auto"/>
        <w:bottom w:val="none" w:sz="0" w:space="0" w:color="auto"/>
        <w:right w:val="none" w:sz="0" w:space="0" w:color="auto"/>
      </w:divBdr>
    </w:div>
    <w:div w:id="1279333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282F7B-5B55-40E4-9F74-1940AD2A4308}">
  <ds:schemaRefs>
    <ds:schemaRef ds:uri="http://schemas.openxmlformats.org/officeDocument/2006/bibliography"/>
  </ds:schemaRefs>
</ds:datastoreItem>
</file>

<file path=customXml/itemProps2.xml><?xml version="1.0" encoding="utf-8"?>
<ds:datastoreItem xmlns:ds="http://schemas.openxmlformats.org/officeDocument/2006/customXml" ds:itemID="{2429953B-07F9-445A-B04A-6C3A7B0747DD}"/>
</file>

<file path=customXml/itemProps3.xml><?xml version="1.0" encoding="utf-8"?>
<ds:datastoreItem xmlns:ds="http://schemas.openxmlformats.org/officeDocument/2006/customXml" ds:itemID="{FE5E5478-9146-43BB-8357-D74D8BFAFA52}"/>
</file>

<file path=customXml/itemProps4.xml><?xml version="1.0" encoding="utf-8"?>
<ds:datastoreItem xmlns:ds="http://schemas.openxmlformats.org/officeDocument/2006/customXml" ds:itemID="{FCAD3B58-B816-4259-81FB-A80314A21894}"/>
</file>

<file path=docProps/app.xml><?xml version="1.0" encoding="utf-8"?>
<Properties xmlns="http://schemas.openxmlformats.org/officeDocument/2006/extended-properties" xmlns:vt="http://schemas.openxmlformats.org/officeDocument/2006/docPropsVTypes">
  <Template>Normal</Template>
  <TotalTime>3</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Barr</dc:creator>
  <cp:keywords/>
  <cp:lastModifiedBy>Heather Barr</cp:lastModifiedBy>
  <cp:revision>4</cp:revision>
  <dcterms:created xsi:type="dcterms:W3CDTF">2019-05-31T06:31:00Z</dcterms:created>
  <dcterms:modified xsi:type="dcterms:W3CDTF">2019-05-31T06:33:00Z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