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7A" w:rsidRDefault="00C42619" w:rsidP="00BE4F0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CHILDREN’S RIGHT AND SURROGACY </w:t>
      </w:r>
    </w:p>
    <w:p w:rsidR="00294338" w:rsidRDefault="00294338" w:rsidP="00294338">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Call for Input – Report of the Special </w:t>
      </w:r>
      <w:r w:rsidR="00495CC6">
        <w:rPr>
          <w:rFonts w:ascii="Times New Roman" w:hAnsi="Times New Roman" w:cs="Times New Roman"/>
          <w:b/>
          <w:sz w:val="24"/>
          <w:szCs w:val="24"/>
          <w:u w:val="single"/>
          <w:lang w:val="en-US"/>
        </w:rPr>
        <w:t>Rapporteur</w:t>
      </w:r>
      <w:r>
        <w:rPr>
          <w:rFonts w:ascii="Times New Roman" w:hAnsi="Times New Roman" w:cs="Times New Roman"/>
          <w:b/>
          <w:sz w:val="24"/>
          <w:szCs w:val="24"/>
          <w:u w:val="single"/>
          <w:lang w:val="en-US"/>
        </w:rPr>
        <w:t xml:space="preserve"> on the Sale and Sexual Exploitation of Children Including Child Prostitution, Child Pornography and Other Child Sexual Abuse Material: Safeguards for the Protection of the Rights of Children Born from Surrogacy Arrangements</w:t>
      </w:r>
    </w:p>
    <w:p w:rsidR="00F7067A" w:rsidRDefault="00F7067A" w:rsidP="00BE4F0D">
      <w:pPr>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Dr</w:t>
      </w:r>
      <w:proofErr w:type="spellEnd"/>
      <w:r>
        <w:rPr>
          <w:rFonts w:ascii="Times New Roman" w:hAnsi="Times New Roman" w:cs="Times New Roman"/>
          <w:b/>
          <w:sz w:val="24"/>
          <w:szCs w:val="24"/>
          <w:u w:val="single"/>
          <w:lang w:val="en-US"/>
        </w:rPr>
        <w:t xml:space="preserve"> Katherine Wade</w:t>
      </w:r>
    </w:p>
    <w:p w:rsidR="00C42619" w:rsidRDefault="00C42619" w:rsidP="00BE4F0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Lecturer in Law, Leicester Law School, Leicester, United Kingdom</w:t>
      </w:r>
    </w:p>
    <w:p w:rsidR="00A260D5" w:rsidRDefault="00A260D5" w:rsidP="00BE4F0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katherine.wade@leicester.ac.uk</w:t>
      </w:r>
    </w:p>
    <w:p w:rsidR="00C42619" w:rsidRDefault="00C42619" w:rsidP="00BE4F0D">
      <w:pPr>
        <w:jc w:val="center"/>
        <w:rPr>
          <w:rFonts w:ascii="Times New Roman" w:hAnsi="Times New Roman" w:cs="Times New Roman"/>
          <w:b/>
          <w:sz w:val="24"/>
          <w:szCs w:val="24"/>
          <w:u w:val="single"/>
          <w:lang w:val="en-US"/>
        </w:rPr>
      </w:pPr>
    </w:p>
    <w:p w:rsidR="00C9200C" w:rsidRPr="00495CC6" w:rsidRDefault="00BE4F0D">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For a full discussion, see:</w:t>
      </w:r>
      <w:r w:rsidRPr="00BE4F0D">
        <w:rPr>
          <w:lang w:val="en-US"/>
        </w:rPr>
        <w:t xml:space="preserve"> </w:t>
      </w:r>
      <w:hyperlink r:id="rId8" w:history="1">
        <w:r w:rsidRPr="00BE4F0D">
          <w:rPr>
            <w:rStyle w:val="Hyperlink"/>
            <w:lang w:val="en-US"/>
          </w:rPr>
          <w:t>https://www.ncbi.nlm.nih.gov/pmc/articles/PMC5540169/</w:t>
        </w:r>
      </w:hyperlink>
    </w:p>
    <w:p w:rsidR="00C9200C" w:rsidRPr="00C9200C" w:rsidRDefault="00C9200C" w:rsidP="00C9200C">
      <w:pPr>
        <w:pStyle w:val="ListParagraph"/>
        <w:numPr>
          <w:ilvl w:val="0"/>
          <w:numId w:val="6"/>
        </w:num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The Right to Know Origins and Surrogacy</w:t>
      </w:r>
    </w:p>
    <w:p w:rsidR="00C9200C" w:rsidRPr="00C9200C" w:rsidRDefault="00C9200C" w:rsidP="00C9200C">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The Law</w:t>
      </w:r>
    </w:p>
    <w:p w:rsidR="00C9200C" w:rsidRPr="00B9773A" w:rsidRDefault="00C9200C" w:rsidP="00C9200C">
      <w:pPr>
        <w:pStyle w:val="ListParagraph"/>
        <w:numPr>
          <w:ilvl w:val="0"/>
          <w:numId w:val="7"/>
        </w:numPr>
        <w:rPr>
          <w:rFonts w:ascii="Times New Roman" w:hAnsi="Times New Roman" w:cs="Times New Roman"/>
          <w:sz w:val="24"/>
          <w:szCs w:val="24"/>
        </w:rPr>
      </w:pPr>
      <w:r w:rsidRPr="00B9773A">
        <w:rPr>
          <w:rFonts w:ascii="Times New Roman" w:hAnsi="Times New Roman" w:cs="Times New Roman"/>
          <w:sz w:val="24"/>
          <w:szCs w:val="24"/>
        </w:rPr>
        <w:t>The Committee on the Rights of the Child have been clear that a child has the right to know their biological origins and has been critical of States which preclude access to such information in the context of anonymous births and adoption.</w:t>
      </w:r>
      <w:r w:rsidR="00235365" w:rsidRPr="005F0196">
        <w:rPr>
          <w:rStyle w:val="FootnoteReference"/>
          <w:rFonts w:ascii="Times New Roman" w:hAnsi="Times New Roman" w:cs="Times New Roman"/>
          <w:sz w:val="24"/>
          <w:szCs w:val="24"/>
        </w:rPr>
        <w:footnoteReference w:id="1"/>
      </w:r>
    </w:p>
    <w:p w:rsidR="00C9200C" w:rsidRPr="00B9773A" w:rsidRDefault="00C9200C" w:rsidP="00C920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B9773A">
        <w:rPr>
          <w:rFonts w:ascii="Times New Roman" w:hAnsi="Times New Roman" w:cs="Times New Roman"/>
          <w:sz w:val="24"/>
          <w:szCs w:val="24"/>
        </w:rPr>
        <w:t>he European Court of Human Rights has recognised the importance of the child’s right to know their origins. While recognising that the right must be balanced against the rights of others,</w:t>
      </w:r>
      <w:r w:rsidRPr="00B9773A">
        <w:rPr>
          <w:rStyle w:val="FootnoteReference"/>
          <w:rFonts w:ascii="Times New Roman" w:hAnsi="Times New Roman" w:cs="Times New Roman"/>
          <w:sz w:val="24"/>
          <w:szCs w:val="24"/>
        </w:rPr>
        <w:footnoteReference w:id="2"/>
      </w:r>
      <w:r w:rsidRPr="00B9773A">
        <w:rPr>
          <w:rFonts w:ascii="Times New Roman" w:hAnsi="Times New Roman" w:cs="Times New Roman"/>
          <w:sz w:val="24"/>
          <w:szCs w:val="24"/>
        </w:rPr>
        <w:t xml:space="preserve"> the Court has held that children have a ‘vital interest, protected by the Convention, in receiving the information necessary to uncover the truth about an important aspect of their personal identity’.</w:t>
      </w:r>
      <w:r w:rsidRPr="00B9773A">
        <w:rPr>
          <w:rStyle w:val="FootnoteReference"/>
          <w:rFonts w:ascii="Times New Roman" w:hAnsi="Times New Roman" w:cs="Times New Roman"/>
          <w:sz w:val="24"/>
          <w:szCs w:val="24"/>
        </w:rPr>
        <w:footnoteReference w:id="3"/>
      </w:r>
    </w:p>
    <w:p w:rsidR="00C9200C" w:rsidRPr="00235365" w:rsidRDefault="00C9200C" w:rsidP="00235365">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B9773A">
        <w:rPr>
          <w:rFonts w:ascii="Times New Roman" w:hAnsi="Times New Roman" w:cs="Times New Roman"/>
          <w:sz w:val="24"/>
          <w:szCs w:val="24"/>
        </w:rPr>
        <w:t xml:space="preserve">he Court has also recognised </w:t>
      </w:r>
      <w:r w:rsidRPr="00B9773A">
        <w:rPr>
          <w:rFonts w:ascii="Times New Roman" w:hAnsi="Times New Roman" w:cs="Times New Roman"/>
          <w:color w:val="000000"/>
          <w:sz w:val="24"/>
          <w:szCs w:val="24"/>
          <w:shd w:val="clear" w:color="auto" w:fill="FFFFFF"/>
        </w:rPr>
        <w:t>that ‘[b]</w:t>
      </w:r>
      <w:proofErr w:type="spellStart"/>
      <w:r w:rsidRPr="00B9773A">
        <w:rPr>
          <w:rFonts w:ascii="Times New Roman" w:hAnsi="Times New Roman" w:cs="Times New Roman"/>
          <w:color w:val="000000"/>
          <w:sz w:val="24"/>
          <w:szCs w:val="24"/>
          <w:shd w:val="clear" w:color="auto" w:fill="FFFFFF"/>
        </w:rPr>
        <w:t>irth</w:t>
      </w:r>
      <w:proofErr w:type="spellEnd"/>
      <w:r w:rsidRPr="00B9773A">
        <w:rPr>
          <w:rFonts w:ascii="Times New Roman" w:hAnsi="Times New Roman" w:cs="Times New Roman"/>
          <w:color w:val="000000"/>
          <w:sz w:val="24"/>
          <w:szCs w:val="24"/>
          <w:shd w:val="clear" w:color="auto" w:fill="FFFFFF"/>
        </w:rPr>
        <w:t>, and </w:t>
      </w:r>
      <w:r w:rsidRPr="00B9773A">
        <w:rPr>
          <w:rStyle w:val="Emphasis"/>
          <w:rFonts w:ascii="Times New Roman" w:hAnsi="Times New Roman" w:cs="Times New Roman"/>
          <w:color w:val="000000"/>
          <w:sz w:val="24"/>
          <w:szCs w:val="24"/>
          <w:shd w:val="clear" w:color="auto" w:fill="FFFFFF"/>
        </w:rPr>
        <w:t>in particular the circumstances in which a child is born</w:t>
      </w:r>
      <w:r w:rsidRPr="00B9773A">
        <w:rPr>
          <w:rFonts w:ascii="Times New Roman" w:hAnsi="Times New Roman" w:cs="Times New Roman"/>
          <w:color w:val="000000"/>
          <w:sz w:val="24"/>
          <w:szCs w:val="24"/>
          <w:shd w:val="clear" w:color="auto" w:fill="FFFFFF"/>
        </w:rPr>
        <w:t>, forms part of a child’s, and subsequently the adult’s, private life as protected by Article 8 of the Convention’.</w:t>
      </w:r>
      <w:r w:rsidRPr="00B9773A">
        <w:rPr>
          <w:rStyle w:val="FootnoteReference"/>
          <w:rFonts w:ascii="Times New Roman" w:hAnsi="Times New Roman" w:cs="Times New Roman"/>
          <w:color w:val="000000"/>
          <w:sz w:val="24"/>
          <w:szCs w:val="24"/>
          <w:shd w:val="clear" w:color="auto" w:fill="FFFFFF"/>
        </w:rPr>
        <w:footnoteReference w:id="4"/>
      </w:r>
    </w:p>
    <w:p w:rsidR="00235365" w:rsidRDefault="00C9200C" w:rsidP="00235365">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Proposals</w:t>
      </w:r>
    </w:p>
    <w:p w:rsidR="00C9200C" w:rsidRPr="00235365" w:rsidRDefault="00C9200C" w:rsidP="00235365">
      <w:pPr>
        <w:pStyle w:val="ListParagraph"/>
        <w:numPr>
          <w:ilvl w:val="0"/>
          <w:numId w:val="18"/>
        </w:numPr>
        <w:rPr>
          <w:rFonts w:ascii="Times New Roman" w:hAnsi="Times New Roman" w:cs="Times New Roman"/>
          <w:b/>
          <w:sz w:val="24"/>
          <w:szCs w:val="24"/>
          <w:u w:val="single"/>
          <w:lang w:val="en-US"/>
        </w:rPr>
      </w:pPr>
      <w:r w:rsidRPr="00235365">
        <w:rPr>
          <w:rFonts w:ascii="Times New Roman" w:hAnsi="Times New Roman" w:cs="Times New Roman"/>
          <w:b/>
          <w:sz w:val="24"/>
          <w:szCs w:val="24"/>
          <w:lang w:val="en-US"/>
        </w:rPr>
        <w:t>A way of recording the details of a child’s birth through surrogacy should be</w:t>
      </w:r>
      <w:r w:rsidR="00235365" w:rsidRPr="00235365">
        <w:rPr>
          <w:rFonts w:ascii="Times New Roman" w:hAnsi="Times New Roman" w:cs="Times New Roman"/>
          <w:b/>
          <w:sz w:val="24"/>
          <w:szCs w:val="24"/>
          <w:lang w:val="en-US"/>
        </w:rPr>
        <w:t xml:space="preserve"> introduced</w:t>
      </w:r>
      <w:r w:rsidRPr="00235365">
        <w:rPr>
          <w:rFonts w:ascii="Times New Roman" w:hAnsi="Times New Roman" w:cs="Times New Roman"/>
          <w:sz w:val="24"/>
          <w:szCs w:val="24"/>
          <w:lang w:val="en-US"/>
        </w:rPr>
        <w:t xml:space="preserve">. For example, Irish proposals propose </w:t>
      </w:r>
      <w:r w:rsidRPr="00235365">
        <w:rPr>
          <w:rFonts w:ascii="Times New Roman" w:hAnsi="Times New Roman" w:cs="Times New Roman"/>
          <w:sz w:val="24"/>
          <w:szCs w:val="24"/>
        </w:rPr>
        <w:t>a ‘National Surrogacy Register’ to keep records of every su</w:t>
      </w:r>
      <w:r w:rsidR="00235365">
        <w:rPr>
          <w:rFonts w:ascii="Times New Roman" w:hAnsi="Times New Roman" w:cs="Times New Roman"/>
          <w:sz w:val="24"/>
          <w:szCs w:val="24"/>
        </w:rPr>
        <w:t>rrogacy arrangement</w:t>
      </w:r>
      <w:r w:rsidRPr="00235365">
        <w:rPr>
          <w:rFonts w:ascii="Times New Roman" w:hAnsi="Times New Roman" w:cs="Times New Roman"/>
          <w:sz w:val="24"/>
          <w:szCs w:val="24"/>
        </w:rPr>
        <w:t>, including the identity of the surrogate, intending parents and any relevant donor.</w:t>
      </w:r>
      <w:r w:rsidR="00235365" w:rsidRPr="00235365">
        <w:rPr>
          <w:rStyle w:val="FootnoteReference"/>
          <w:rFonts w:ascii="Times New Roman" w:hAnsi="Times New Roman" w:cs="Times New Roman"/>
          <w:sz w:val="24"/>
          <w:szCs w:val="24"/>
        </w:rPr>
        <w:t xml:space="preserve"> </w:t>
      </w:r>
      <w:r w:rsidR="00235365" w:rsidRPr="00B9773A">
        <w:rPr>
          <w:rStyle w:val="FootnoteReference"/>
          <w:rFonts w:ascii="Times New Roman" w:hAnsi="Times New Roman" w:cs="Times New Roman"/>
          <w:sz w:val="24"/>
          <w:szCs w:val="24"/>
        </w:rPr>
        <w:footnoteReference w:id="5"/>
      </w:r>
    </w:p>
    <w:p w:rsidR="00235365" w:rsidRPr="00235365" w:rsidRDefault="00235365" w:rsidP="00C9200C">
      <w:pPr>
        <w:pStyle w:val="ListParagraph"/>
        <w:numPr>
          <w:ilvl w:val="0"/>
          <w:numId w:val="18"/>
        </w:numPr>
        <w:rPr>
          <w:rFonts w:ascii="Times New Roman" w:hAnsi="Times New Roman" w:cs="Times New Roman"/>
          <w:sz w:val="24"/>
          <w:szCs w:val="24"/>
          <w:u w:val="single"/>
          <w:lang w:val="en-US"/>
        </w:rPr>
      </w:pPr>
      <w:r>
        <w:rPr>
          <w:rFonts w:ascii="Times New Roman" w:hAnsi="Times New Roman" w:cs="Times New Roman"/>
          <w:b/>
          <w:sz w:val="24"/>
          <w:szCs w:val="24"/>
          <w:lang w:val="en-US"/>
        </w:rPr>
        <w:t>Such information should also indicate whether or not the surrogate woman contributed her egg</w:t>
      </w:r>
      <w:r w:rsidRPr="00495CC6">
        <w:rPr>
          <w:rFonts w:ascii="Times New Roman" w:hAnsi="Times New Roman" w:cs="Times New Roman"/>
          <w:b/>
          <w:sz w:val="24"/>
          <w:szCs w:val="24"/>
          <w:lang w:val="en-US"/>
        </w:rPr>
        <w:t xml:space="preserve">. </w:t>
      </w:r>
      <w:r>
        <w:rPr>
          <w:rFonts w:ascii="Times New Roman" w:hAnsi="Times New Roman" w:cs="Times New Roman"/>
          <w:sz w:val="24"/>
          <w:szCs w:val="24"/>
          <w:u w:val="single"/>
          <w:lang w:val="en-US"/>
        </w:rPr>
        <w:t>This</w:t>
      </w:r>
      <w:r w:rsidRPr="00235365">
        <w:rPr>
          <w:rFonts w:ascii="Times New Roman" w:hAnsi="Times New Roman" w:cs="Times New Roman"/>
          <w:sz w:val="24"/>
          <w:szCs w:val="24"/>
          <w:u w:val="single"/>
          <w:lang w:val="en-US"/>
        </w:rPr>
        <w:t xml:space="preserve"> is important to equalize the legal position with those who are born through gamete donation in line with the non-discrimination principle under Article 2 UNCRC.</w:t>
      </w:r>
    </w:p>
    <w:p w:rsidR="00C9200C" w:rsidRPr="00C9200C" w:rsidRDefault="00235365" w:rsidP="00C9200C">
      <w:pPr>
        <w:pStyle w:val="ListParagraph"/>
        <w:numPr>
          <w:ilvl w:val="0"/>
          <w:numId w:val="18"/>
        </w:numPr>
        <w:rPr>
          <w:rFonts w:ascii="Times New Roman" w:hAnsi="Times New Roman" w:cs="Times New Roman"/>
          <w:b/>
          <w:sz w:val="24"/>
          <w:szCs w:val="24"/>
          <w:u w:val="single"/>
          <w:lang w:val="en-US"/>
        </w:rPr>
      </w:pPr>
      <w:r>
        <w:rPr>
          <w:rFonts w:ascii="Times New Roman" w:hAnsi="Times New Roman" w:cs="Times New Roman"/>
          <w:b/>
          <w:sz w:val="24"/>
          <w:szCs w:val="24"/>
        </w:rPr>
        <w:lastRenderedPageBreak/>
        <w:t>D</w:t>
      </w:r>
      <w:r w:rsidR="00C9200C" w:rsidRPr="00C9200C">
        <w:rPr>
          <w:rFonts w:ascii="Times New Roman" w:hAnsi="Times New Roman" w:cs="Times New Roman"/>
          <w:b/>
          <w:sz w:val="24"/>
          <w:szCs w:val="24"/>
        </w:rPr>
        <w:t>isclosure should be mandatory</w:t>
      </w:r>
      <w:r w:rsidR="00C9200C">
        <w:rPr>
          <w:rFonts w:ascii="Times New Roman" w:hAnsi="Times New Roman" w:cs="Times New Roman"/>
          <w:sz w:val="24"/>
          <w:szCs w:val="24"/>
        </w:rPr>
        <w:t xml:space="preserve">. This means that </w:t>
      </w:r>
      <w:r>
        <w:rPr>
          <w:rFonts w:ascii="Times New Roman" w:hAnsi="Times New Roman" w:cs="Times New Roman"/>
          <w:sz w:val="24"/>
          <w:szCs w:val="24"/>
        </w:rPr>
        <w:t xml:space="preserve">information about one’s birth through surrogacy and/or gamete donation should be </w:t>
      </w:r>
      <w:r w:rsidR="00C9200C" w:rsidRPr="00C9200C">
        <w:rPr>
          <w:rFonts w:ascii="Times New Roman" w:hAnsi="Times New Roman" w:cs="Times New Roman"/>
          <w:sz w:val="24"/>
          <w:szCs w:val="24"/>
        </w:rPr>
        <w:t>recorded</w:t>
      </w:r>
      <w:r>
        <w:rPr>
          <w:rFonts w:ascii="Times New Roman" w:hAnsi="Times New Roman" w:cs="Times New Roman"/>
          <w:sz w:val="24"/>
          <w:szCs w:val="24"/>
        </w:rPr>
        <w:t xml:space="preserve"> on a child’s birth certificate</w:t>
      </w:r>
      <w:r w:rsidR="00495CC6">
        <w:rPr>
          <w:rFonts w:ascii="Times New Roman" w:hAnsi="Times New Roman" w:cs="Times New Roman"/>
          <w:sz w:val="24"/>
          <w:szCs w:val="24"/>
        </w:rPr>
        <w:t xml:space="preserve"> or through some other means</w:t>
      </w:r>
      <w:r>
        <w:rPr>
          <w:rFonts w:ascii="Times New Roman" w:hAnsi="Times New Roman" w:cs="Times New Roman"/>
          <w:sz w:val="24"/>
          <w:szCs w:val="24"/>
        </w:rPr>
        <w:t>. Children should not have to rely on their parents to tell them of the manner of their birth.</w:t>
      </w:r>
    </w:p>
    <w:p w:rsidR="00235365" w:rsidRPr="00235365" w:rsidRDefault="00C9200C" w:rsidP="00235365">
      <w:pPr>
        <w:pStyle w:val="ListParagraph"/>
        <w:numPr>
          <w:ilvl w:val="0"/>
          <w:numId w:val="18"/>
        </w:numPr>
        <w:rPr>
          <w:rFonts w:ascii="Times New Roman" w:hAnsi="Times New Roman" w:cs="Times New Roman"/>
          <w:b/>
          <w:sz w:val="24"/>
          <w:szCs w:val="24"/>
          <w:u w:val="single"/>
          <w:lang w:val="en-US"/>
        </w:rPr>
      </w:pPr>
      <w:r w:rsidRPr="00C9200C">
        <w:rPr>
          <w:rFonts w:ascii="Times New Roman" w:hAnsi="Times New Roman" w:cs="Times New Roman"/>
          <w:sz w:val="24"/>
          <w:szCs w:val="24"/>
        </w:rPr>
        <w:t>It is argued by some that non-biological parents of a child may have a fundamental interest to protect their familial, social and psychologica</w:t>
      </w:r>
      <w:r w:rsidR="00235365">
        <w:rPr>
          <w:rFonts w:ascii="Times New Roman" w:hAnsi="Times New Roman" w:cs="Times New Roman"/>
          <w:sz w:val="24"/>
          <w:szCs w:val="24"/>
        </w:rPr>
        <w:t>l ti</w:t>
      </w:r>
      <w:r w:rsidR="00EB0D44">
        <w:rPr>
          <w:rFonts w:ascii="Times New Roman" w:hAnsi="Times New Roman" w:cs="Times New Roman"/>
          <w:sz w:val="24"/>
          <w:szCs w:val="24"/>
        </w:rPr>
        <w:t xml:space="preserve">es to the child and they should have control over </w:t>
      </w:r>
      <w:r w:rsidR="00495CC6">
        <w:rPr>
          <w:rFonts w:ascii="Times New Roman" w:hAnsi="Times New Roman" w:cs="Times New Roman"/>
          <w:sz w:val="24"/>
          <w:szCs w:val="24"/>
        </w:rPr>
        <w:t xml:space="preserve">whether or not they tell </w:t>
      </w:r>
      <w:r w:rsidR="00EB0D44">
        <w:rPr>
          <w:rFonts w:ascii="Times New Roman" w:hAnsi="Times New Roman" w:cs="Times New Roman"/>
          <w:sz w:val="24"/>
          <w:szCs w:val="24"/>
        </w:rPr>
        <w:t>their child about the manner of their birth through surrogacy and/or gamete donation,</w:t>
      </w:r>
    </w:p>
    <w:p w:rsidR="00235365" w:rsidRPr="00235365" w:rsidRDefault="00C9200C" w:rsidP="00235365">
      <w:pPr>
        <w:pStyle w:val="ListParagraph"/>
        <w:numPr>
          <w:ilvl w:val="0"/>
          <w:numId w:val="18"/>
        </w:numPr>
        <w:rPr>
          <w:rFonts w:ascii="Times New Roman" w:hAnsi="Times New Roman" w:cs="Times New Roman"/>
          <w:b/>
          <w:sz w:val="24"/>
          <w:szCs w:val="24"/>
          <w:u w:val="single"/>
          <w:lang w:val="en-US"/>
        </w:rPr>
      </w:pPr>
      <w:r w:rsidRPr="00235365">
        <w:rPr>
          <w:rFonts w:ascii="Times New Roman" w:hAnsi="Times New Roman" w:cs="Times New Roman"/>
          <w:sz w:val="24"/>
          <w:szCs w:val="24"/>
          <w:lang w:val="en-US"/>
        </w:rPr>
        <w:t xml:space="preserve">However, I argue that it is </w:t>
      </w:r>
      <w:r w:rsidRPr="00235365">
        <w:rPr>
          <w:rFonts w:ascii="Times New Roman" w:hAnsi="Times New Roman" w:cs="Times New Roman"/>
          <w:b/>
          <w:sz w:val="24"/>
          <w:szCs w:val="24"/>
          <w:lang w:val="en-US"/>
        </w:rPr>
        <w:t xml:space="preserve">not justifiable that parental rights to autonomy or privacy should be used to ground a claim that there is a right to deceive others about their genetic or gestational origins. </w:t>
      </w:r>
    </w:p>
    <w:p w:rsidR="00235365" w:rsidRPr="00235365" w:rsidRDefault="00C9200C" w:rsidP="00235365">
      <w:pPr>
        <w:pStyle w:val="ListParagraph"/>
        <w:numPr>
          <w:ilvl w:val="0"/>
          <w:numId w:val="18"/>
        </w:numPr>
        <w:rPr>
          <w:rFonts w:ascii="Times New Roman" w:hAnsi="Times New Roman" w:cs="Times New Roman"/>
          <w:b/>
          <w:sz w:val="24"/>
          <w:szCs w:val="24"/>
          <w:u w:val="single"/>
          <w:lang w:val="en-US"/>
        </w:rPr>
      </w:pPr>
      <w:r w:rsidRPr="00235365">
        <w:rPr>
          <w:rFonts w:ascii="Times New Roman" w:hAnsi="Times New Roman" w:cs="Times New Roman"/>
          <w:sz w:val="24"/>
          <w:szCs w:val="24"/>
        </w:rPr>
        <w:t xml:space="preserve">Here, </w:t>
      </w:r>
      <w:r w:rsidRPr="00235365">
        <w:rPr>
          <w:rFonts w:ascii="Times New Roman" w:hAnsi="Times New Roman" w:cs="Times New Roman"/>
          <w:b/>
          <w:sz w:val="24"/>
          <w:szCs w:val="24"/>
        </w:rPr>
        <w:t>the weightier interest is the person’s right to know their origins.</w:t>
      </w:r>
      <w:r w:rsidRPr="00235365">
        <w:rPr>
          <w:rFonts w:ascii="Times New Roman" w:hAnsi="Times New Roman" w:cs="Times New Roman"/>
          <w:sz w:val="24"/>
          <w:szCs w:val="24"/>
        </w:rPr>
        <w:t xml:space="preserve"> </w:t>
      </w:r>
      <w:r w:rsidRPr="00235365">
        <w:rPr>
          <w:rFonts w:ascii="Times New Roman" w:hAnsi="Times New Roman" w:cs="Times New Roman"/>
          <w:sz w:val="24"/>
          <w:szCs w:val="24"/>
          <w:lang w:val="en-US"/>
        </w:rPr>
        <w:t xml:space="preserve">Freeman argues that the right to know one’s </w:t>
      </w:r>
      <w:r w:rsidRPr="00235365">
        <w:rPr>
          <w:rFonts w:ascii="Times New Roman" w:hAnsi="Times New Roman" w:cs="Times New Roman"/>
          <w:i/>
          <w:sz w:val="24"/>
          <w:szCs w:val="24"/>
          <w:lang w:val="en-US"/>
        </w:rPr>
        <w:t xml:space="preserve">genetic </w:t>
      </w:r>
      <w:r w:rsidRPr="00235365">
        <w:rPr>
          <w:rFonts w:ascii="Times New Roman" w:hAnsi="Times New Roman" w:cs="Times New Roman"/>
          <w:sz w:val="24"/>
          <w:szCs w:val="24"/>
          <w:lang w:val="en-US"/>
        </w:rPr>
        <w:t xml:space="preserve">origins is ‘…an </w:t>
      </w:r>
      <w:proofErr w:type="spellStart"/>
      <w:r w:rsidRPr="00235365">
        <w:rPr>
          <w:rFonts w:ascii="Times New Roman" w:hAnsi="Times New Roman" w:cs="Times New Roman"/>
          <w:sz w:val="24"/>
          <w:szCs w:val="24"/>
          <w:lang w:val="en-US"/>
        </w:rPr>
        <w:t>organising</w:t>
      </w:r>
      <w:proofErr w:type="spellEnd"/>
      <w:r w:rsidRPr="00235365">
        <w:rPr>
          <w:rFonts w:ascii="Times New Roman" w:hAnsi="Times New Roman" w:cs="Times New Roman"/>
          <w:sz w:val="24"/>
          <w:szCs w:val="24"/>
          <w:lang w:val="en-US"/>
        </w:rPr>
        <w:t xml:space="preserve"> framework for holding together our past and our present and it provides some anticipated shape to future life’.</w:t>
      </w:r>
      <w:r w:rsidRPr="00B9773A">
        <w:rPr>
          <w:rStyle w:val="FootnoteReference"/>
          <w:rFonts w:ascii="Times New Roman" w:hAnsi="Times New Roman" w:cs="Times New Roman"/>
          <w:sz w:val="24"/>
          <w:szCs w:val="24"/>
        </w:rPr>
        <w:footnoteReference w:id="6"/>
      </w:r>
      <w:r w:rsidRPr="00235365">
        <w:rPr>
          <w:rFonts w:ascii="Times New Roman" w:hAnsi="Times New Roman" w:cs="Times New Roman"/>
          <w:sz w:val="24"/>
          <w:szCs w:val="24"/>
          <w:lang w:val="en-US"/>
        </w:rPr>
        <w:t xml:space="preserve"> </w:t>
      </w:r>
    </w:p>
    <w:p w:rsidR="00235365" w:rsidRPr="00235365" w:rsidRDefault="00235365" w:rsidP="00235365">
      <w:pPr>
        <w:pStyle w:val="ListParagraph"/>
        <w:numPr>
          <w:ilvl w:val="0"/>
          <w:numId w:val="18"/>
        </w:numPr>
        <w:rPr>
          <w:rFonts w:ascii="Times New Roman" w:hAnsi="Times New Roman" w:cs="Times New Roman"/>
          <w:b/>
          <w:sz w:val="24"/>
          <w:szCs w:val="24"/>
          <w:u w:val="single"/>
          <w:lang w:val="en-US"/>
        </w:rPr>
      </w:pPr>
      <w:r>
        <w:rPr>
          <w:rFonts w:ascii="Times New Roman" w:hAnsi="Times New Roman" w:cs="Times New Roman"/>
          <w:sz w:val="24"/>
          <w:szCs w:val="24"/>
          <w:lang w:val="en-US"/>
        </w:rPr>
        <w:t>I</w:t>
      </w:r>
      <w:r w:rsidRPr="00235365">
        <w:rPr>
          <w:rFonts w:ascii="Times New Roman" w:hAnsi="Times New Roman" w:cs="Times New Roman"/>
          <w:sz w:val="24"/>
          <w:szCs w:val="24"/>
        </w:rPr>
        <w:t xml:space="preserve"> also argue that the idea that children will be harmed from finding out can be addressed. </w:t>
      </w:r>
      <w:r w:rsidR="00C9200C" w:rsidRPr="00235365">
        <w:rPr>
          <w:rFonts w:ascii="Times New Roman" w:hAnsi="Times New Roman" w:cs="Times New Roman"/>
          <w:sz w:val="24"/>
          <w:szCs w:val="24"/>
        </w:rPr>
        <w:t xml:space="preserve">It is generally agreed that </w:t>
      </w:r>
      <w:r w:rsidR="00C9200C" w:rsidRPr="00235365">
        <w:rPr>
          <w:rFonts w:ascii="Times New Roman" w:hAnsi="Times New Roman" w:cs="Times New Roman"/>
          <w:b/>
          <w:sz w:val="24"/>
          <w:szCs w:val="24"/>
        </w:rPr>
        <w:t xml:space="preserve">the earlier children are told about their origins, the better this is for children, </w:t>
      </w:r>
      <w:r w:rsidR="00C9200C" w:rsidRPr="00235365">
        <w:rPr>
          <w:rFonts w:ascii="Times New Roman" w:hAnsi="Times New Roman" w:cs="Times New Roman"/>
          <w:sz w:val="24"/>
          <w:szCs w:val="24"/>
        </w:rPr>
        <w:t>since the information becomes part of their i</w:t>
      </w:r>
      <w:r w:rsidR="00495CC6">
        <w:rPr>
          <w:rFonts w:ascii="Times New Roman" w:hAnsi="Times New Roman" w:cs="Times New Roman"/>
          <w:sz w:val="24"/>
          <w:szCs w:val="24"/>
        </w:rPr>
        <w:t>dentity from an early age that the possibility of</w:t>
      </w:r>
      <w:r w:rsidR="00C9200C" w:rsidRPr="00235365">
        <w:rPr>
          <w:rFonts w:ascii="Times New Roman" w:hAnsi="Times New Roman" w:cs="Times New Roman"/>
          <w:sz w:val="24"/>
          <w:szCs w:val="24"/>
        </w:rPr>
        <w:t xml:space="preserve"> disruption to their security and sense of self</w:t>
      </w:r>
      <w:r w:rsidR="00495CC6">
        <w:rPr>
          <w:rFonts w:ascii="Times New Roman" w:hAnsi="Times New Roman" w:cs="Times New Roman"/>
          <w:sz w:val="24"/>
          <w:szCs w:val="24"/>
        </w:rPr>
        <w:t xml:space="preserve"> is minimised</w:t>
      </w:r>
      <w:r w:rsidR="00C9200C" w:rsidRPr="00235365">
        <w:rPr>
          <w:rFonts w:ascii="Times New Roman" w:hAnsi="Times New Roman" w:cs="Times New Roman"/>
          <w:sz w:val="24"/>
          <w:szCs w:val="24"/>
        </w:rPr>
        <w:t>.</w:t>
      </w:r>
      <w:r w:rsidR="00C9200C" w:rsidRPr="00B9773A">
        <w:rPr>
          <w:rStyle w:val="FootnoteReference"/>
          <w:rFonts w:ascii="Times New Roman" w:hAnsi="Times New Roman" w:cs="Times New Roman"/>
          <w:sz w:val="24"/>
          <w:szCs w:val="24"/>
        </w:rPr>
        <w:footnoteReference w:id="7"/>
      </w:r>
    </w:p>
    <w:p w:rsidR="00235365" w:rsidRPr="00235365" w:rsidRDefault="00235365" w:rsidP="00235365">
      <w:pPr>
        <w:pStyle w:val="ListParagraph"/>
        <w:numPr>
          <w:ilvl w:val="0"/>
          <w:numId w:val="18"/>
        </w:numPr>
        <w:rPr>
          <w:rFonts w:ascii="Times New Roman" w:hAnsi="Times New Roman" w:cs="Times New Roman"/>
          <w:b/>
          <w:sz w:val="24"/>
          <w:szCs w:val="24"/>
          <w:u w:val="single"/>
          <w:lang w:val="en-US"/>
        </w:rPr>
      </w:pPr>
      <w:r w:rsidRPr="00235365">
        <w:rPr>
          <w:rFonts w:ascii="Times New Roman" w:hAnsi="Times New Roman" w:cs="Times New Roman"/>
          <w:b/>
          <w:sz w:val="24"/>
          <w:szCs w:val="24"/>
          <w:lang w:val="en-US"/>
        </w:rPr>
        <w:t xml:space="preserve">Laws which state </w:t>
      </w:r>
      <w:r w:rsidRPr="00235365">
        <w:rPr>
          <w:rFonts w:ascii="Times New Roman" w:hAnsi="Times New Roman" w:cs="Times New Roman"/>
          <w:b/>
          <w:sz w:val="24"/>
          <w:szCs w:val="24"/>
        </w:rPr>
        <w:t>that children should only be able to access identifying information about donors or surrogates at age 18 should be abolished</w:t>
      </w:r>
      <w:r w:rsidRPr="00235365">
        <w:rPr>
          <w:rFonts w:ascii="Times New Roman" w:hAnsi="Times New Roman" w:cs="Times New Roman"/>
          <w:sz w:val="24"/>
          <w:szCs w:val="24"/>
        </w:rPr>
        <w:t>. This is not in line with a children’s rights approach. It only recognise</w:t>
      </w:r>
      <w:r w:rsidR="00EB0D44">
        <w:rPr>
          <w:rFonts w:ascii="Times New Roman" w:hAnsi="Times New Roman" w:cs="Times New Roman"/>
          <w:sz w:val="24"/>
          <w:szCs w:val="24"/>
        </w:rPr>
        <w:t>s</w:t>
      </w:r>
      <w:r>
        <w:rPr>
          <w:rFonts w:ascii="Times New Roman" w:hAnsi="Times New Roman" w:cs="Times New Roman"/>
          <w:sz w:val="24"/>
          <w:szCs w:val="24"/>
        </w:rPr>
        <w:t xml:space="preserve"> </w:t>
      </w:r>
      <w:r w:rsidRPr="00235365">
        <w:rPr>
          <w:rFonts w:ascii="Times New Roman" w:hAnsi="Times New Roman" w:cs="Times New Roman"/>
          <w:i/>
          <w:sz w:val="24"/>
          <w:szCs w:val="24"/>
        </w:rPr>
        <w:t>adults’</w:t>
      </w:r>
      <w:r w:rsidRPr="00235365">
        <w:rPr>
          <w:rFonts w:ascii="Times New Roman" w:hAnsi="Times New Roman" w:cs="Times New Roman"/>
          <w:sz w:val="24"/>
          <w:szCs w:val="24"/>
        </w:rPr>
        <w:t xml:space="preserve"> right to know their </w:t>
      </w:r>
      <w:r>
        <w:rPr>
          <w:rFonts w:ascii="Times New Roman" w:hAnsi="Times New Roman" w:cs="Times New Roman"/>
          <w:sz w:val="24"/>
          <w:szCs w:val="24"/>
        </w:rPr>
        <w:t>origins</w:t>
      </w:r>
      <w:r w:rsidRPr="00235365">
        <w:rPr>
          <w:rFonts w:ascii="Times New Roman" w:hAnsi="Times New Roman" w:cs="Times New Roman"/>
          <w:sz w:val="24"/>
          <w:szCs w:val="24"/>
        </w:rPr>
        <w:t>. Children must also be recognised as a</w:t>
      </w:r>
      <w:r>
        <w:rPr>
          <w:rFonts w:ascii="Times New Roman" w:hAnsi="Times New Roman" w:cs="Times New Roman"/>
          <w:sz w:val="24"/>
          <w:szCs w:val="24"/>
        </w:rPr>
        <w:t xml:space="preserve">gents who can make sense of their social relationships </w:t>
      </w:r>
      <w:r w:rsidRPr="00235365">
        <w:rPr>
          <w:rFonts w:ascii="Times New Roman" w:hAnsi="Times New Roman" w:cs="Times New Roman"/>
          <w:sz w:val="24"/>
          <w:szCs w:val="24"/>
        </w:rPr>
        <w:t xml:space="preserve">them in line with their evolving capacities. </w:t>
      </w:r>
    </w:p>
    <w:p w:rsidR="00C9200C" w:rsidRPr="00235365" w:rsidRDefault="00235365" w:rsidP="00235365">
      <w:pPr>
        <w:pStyle w:val="ListParagraph"/>
        <w:numPr>
          <w:ilvl w:val="0"/>
          <w:numId w:val="18"/>
        </w:numPr>
        <w:rPr>
          <w:rFonts w:ascii="Times New Roman" w:hAnsi="Times New Roman" w:cs="Times New Roman"/>
          <w:b/>
          <w:sz w:val="24"/>
          <w:szCs w:val="24"/>
          <w:u w:val="single"/>
          <w:lang w:val="en-US"/>
        </w:rPr>
      </w:pPr>
      <w:r w:rsidRPr="00235365">
        <w:rPr>
          <w:rFonts w:ascii="Times New Roman" w:hAnsi="Times New Roman" w:cs="Times New Roman"/>
          <w:b/>
          <w:sz w:val="24"/>
          <w:szCs w:val="24"/>
        </w:rPr>
        <w:t xml:space="preserve">Identifying information about surrogates and/or donors </w:t>
      </w:r>
      <w:r w:rsidR="00C9200C" w:rsidRPr="00235365">
        <w:rPr>
          <w:rFonts w:ascii="Times New Roman" w:hAnsi="Times New Roman" w:cs="Times New Roman"/>
          <w:b/>
          <w:sz w:val="24"/>
          <w:szCs w:val="24"/>
        </w:rPr>
        <w:t>should be made available to children throu</w:t>
      </w:r>
      <w:r w:rsidRPr="00235365">
        <w:rPr>
          <w:rFonts w:ascii="Times New Roman" w:hAnsi="Times New Roman" w:cs="Times New Roman"/>
          <w:b/>
          <w:sz w:val="24"/>
          <w:szCs w:val="24"/>
        </w:rPr>
        <w:t>ghout their childhood</w:t>
      </w:r>
      <w:r w:rsidR="00C9200C" w:rsidRPr="00235365">
        <w:rPr>
          <w:rFonts w:ascii="Times New Roman" w:hAnsi="Times New Roman" w:cs="Times New Roman"/>
          <w:b/>
          <w:sz w:val="24"/>
          <w:szCs w:val="24"/>
        </w:rPr>
        <w:t>.</w:t>
      </w:r>
      <w:r>
        <w:rPr>
          <w:rStyle w:val="FootnoteReference"/>
          <w:rFonts w:ascii="Times New Roman" w:hAnsi="Times New Roman" w:cs="Times New Roman"/>
          <w:sz w:val="24"/>
          <w:szCs w:val="24"/>
        </w:rPr>
        <w:footnoteReference w:id="8"/>
      </w:r>
      <w:r w:rsidR="00C9200C" w:rsidRPr="00235365">
        <w:rPr>
          <w:rFonts w:ascii="Times New Roman" w:hAnsi="Times New Roman" w:cs="Times New Roman"/>
          <w:sz w:val="24"/>
          <w:szCs w:val="24"/>
        </w:rPr>
        <w:t xml:space="preserve"> This could be shared with the children if they wish with the support of their parents. Children could decide in line with their own values the significance to attach to genetic and gestational ties.</w:t>
      </w:r>
    </w:p>
    <w:p w:rsidR="00C9200C" w:rsidRPr="00B9773A" w:rsidRDefault="00C9200C" w:rsidP="00C9200C">
      <w:pPr>
        <w:pStyle w:val="FootnoteText"/>
        <w:jc w:val="both"/>
        <w:rPr>
          <w:rFonts w:ascii="Times New Roman" w:hAnsi="Times New Roman" w:cs="Times New Roman"/>
          <w:sz w:val="24"/>
          <w:szCs w:val="24"/>
        </w:rPr>
      </w:pPr>
    </w:p>
    <w:p w:rsidR="00F7067A" w:rsidRPr="00C9200C" w:rsidRDefault="00F7067A" w:rsidP="00C9200C">
      <w:pPr>
        <w:pStyle w:val="ListParagraph"/>
        <w:numPr>
          <w:ilvl w:val="0"/>
          <w:numId w:val="5"/>
        </w:numPr>
        <w:spacing w:line="240" w:lineRule="auto"/>
        <w:jc w:val="both"/>
        <w:rPr>
          <w:rFonts w:ascii="Times New Roman" w:hAnsi="Times New Roman" w:cs="Times New Roman"/>
          <w:b/>
          <w:sz w:val="24"/>
          <w:szCs w:val="24"/>
          <w:u w:val="single"/>
          <w:lang w:val="en-US"/>
        </w:rPr>
      </w:pPr>
      <w:r w:rsidRPr="00C9200C">
        <w:rPr>
          <w:rFonts w:ascii="Times New Roman" w:hAnsi="Times New Roman" w:cs="Times New Roman"/>
          <w:b/>
          <w:sz w:val="24"/>
          <w:szCs w:val="24"/>
          <w:u w:val="single"/>
          <w:lang w:val="en-US"/>
        </w:rPr>
        <w:t>Pre-Approval of Intending Parents as the Legal Parents</w:t>
      </w:r>
    </w:p>
    <w:p w:rsidR="00C9200C" w:rsidRDefault="00C9200C" w:rsidP="00F7067A">
      <w:pPr>
        <w:spacing w:line="240" w:lineRule="auto"/>
        <w:jc w:val="both"/>
        <w:rPr>
          <w:rFonts w:ascii="Times New Roman" w:hAnsi="Times New Roman" w:cs="Times New Roman"/>
          <w:b/>
          <w:sz w:val="24"/>
          <w:szCs w:val="24"/>
          <w:u w:val="single"/>
          <w:lang w:val="en-US"/>
        </w:rPr>
      </w:pPr>
    </w:p>
    <w:p w:rsidR="00C9200C" w:rsidRPr="00C9200C" w:rsidRDefault="00C9200C" w:rsidP="00F7067A">
      <w:pPr>
        <w:spacing w:line="240" w:lineRule="auto"/>
        <w:jc w:val="both"/>
        <w:rPr>
          <w:rFonts w:ascii="Times New Roman" w:hAnsi="Times New Roman" w:cs="Times New Roman"/>
          <w:b/>
          <w:sz w:val="24"/>
          <w:szCs w:val="24"/>
          <w:u w:val="single"/>
          <w:lang w:val="en-US"/>
        </w:rPr>
      </w:pPr>
      <w:r w:rsidRPr="00C9200C">
        <w:rPr>
          <w:rFonts w:ascii="Times New Roman" w:hAnsi="Times New Roman" w:cs="Times New Roman"/>
          <w:b/>
          <w:sz w:val="24"/>
          <w:szCs w:val="24"/>
          <w:u w:val="single"/>
          <w:lang w:val="en-US"/>
        </w:rPr>
        <w:t>Lessening the Likelihood of Dispute</w:t>
      </w:r>
    </w:p>
    <w:p w:rsidR="00C9200C" w:rsidRDefault="00F7067A" w:rsidP="00C9200C">
      <w:pPr>
        <w:pStyle w:val="ListParagraph"/>
        <w:numPr>
          <w:ilvl w:val="0"/>
          <w:numId w:val="16"/>
        </w:numPr>
        <w:spacing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 xml:space="preserve">A system where the intending parents are approved before the birth of the child is beneficial for children, as it lessens the possibility of a dispute. </w:t>
      </w:r>
    </w:p>
    <w:p w:rsidR="00C9200C" w:rsidRDefault="00F7067A" w:rsidP="00F7067A">
      <w:pPr>
        <w:pStyle w:val="ListParagraph"/>
        <w:numPr>
          <w:ilvl w:val="0"/>
          <w:numId w:val="16"/>
        </w:numPr>
        <w:spacing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This is because parties agree the terms</w:t>
      </w:r>
      <w:r w:rsidR="00EB0D44">
        <w:rPr>
          <w:rFonts w:ascii="Times New Roman" w:hAnsi="Times New Roman" w:cs="Times New Roman"/>
          <w:sz w:val="24"/>
          <w:szCs w:val="24"/>
          <w:lang w:val="en-US"/>
        </w:rPr>
        <w:t xml:space="preserve"> of the agreement and</w:t>
      </w:r>
      <w:r w:rsidRPr="00C9200C">
        <w:rPr>
          <w:rFonts w:ascii="Times New Roman" w:hAnsi="Times New Roman" w:cs="Times New Roman"/>
          <w:sz w:val="24"/>
          <w:szCs w:val="24"/>
          <w:lang w:val="en-US"/>
        </w:rPr>
        <w:t xml:space="preserve"> there is counselling. There is often assessment of all the parties to ensure they understand their responsibilities. There is more of a focus on informed consent. If </w:t>
      </w:r>
      <w:r w:rsidR="00EB0D44">
        <w:rPr>
          <w:rFonts w:ascii="Times New Roman" w:hAnsi="Times New Roman" w:cs="Times New Roman"/>
          <w:sz w:val="24"/>
          <w:szCs w:val="24"/>
          <w:lang w:val="en-US"/>
        </w:rPr>
        <w:t>t</w:t>
      </w:r>
      <w:r w:rsidRPr="00C9200C">
        <w:rPr>
          <w:rFonts w:ascii="Times New Roman" w:hAnsi="Times New Roman" w:cs="Times New Roman"/>
          <w:sz w:val="24"/>
          <w:szCs w:val="24"/>
          <w:lang w:val="en-US"/>
        </w:rPr>
        <w:t xml:space="preserve">here are concerns about capacity, capacity tests can be carried out. </w:t>
      </w:r>
    </w:p>
    <w:p w:rsidR="00C9200C" w:rsidRDefault="00F7067A" w:rsidP="00C9200C">
      <w:pPr>
        <w:pStyle w:val="ListParagraph"/>
        <w:numPr>
          <w:ilvl w:val="0"/>
          <w:numId w:val="16"/>
        </w:numPr>
        <w:spacing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lastRenderedPageBreak/>
        <w:t xml:space="preserve">First, a dispute between parties during the first few weeks or months of a child’s life may impact negatively on children in their very early days. I argue that any reform of the law should be designed so as to avoid a child’s early life being negatively affected by disputes and onerous court procedures. </w:t>
      </w:r>
      <w:r w:rsidR="00C9200C" w:rsidRPr="00C9200C">
        <w:rPr>
          <w:rFonts w:ascii="Times New Roman" w:hAnsi="Times New Roman" w:cs="Times New Roman"/>
          <w:color w:val="000000"/>
          <w:sz w:val="24"/>
          <w:szCs w:val="24"/>
          <w:shd w:val="clear" w:color="auto" w:fill="FFFFFF"/>
          <w:lang w:val="en-US"/>
        </w:rPr>
        <w:t xml:space="preserve">Article 6(2) of the UNCRC is of particular relevance here as it directs States Parties to ‘ensure to the maximum extent possible the survival and development of the child’. </w:t>
      </w:r>
      <w:r w:rsidR="00C9200C" w:rsidRPr="00C9200C">
        <w:rPr>
          <w:rFonts w:ascii="Times New Roman" w:hAnsi="Times New Roman" w:cs="Times New Roman"/>
          <w:sz w:val="24"/>
          <w:szCs w:val="24"/>
          <w:lang w:val="en-US"/>
        </w:rPr>
        <w:t>The Committee also notes that ‘[y]</w:t>
      </w:r>
      <w:proofErr w:type="spellStart"/>
      <w:r w:rsidR="00C9200C" w:rsidRPr="00C9200C">
        <w:rPr>
          <w:rFonts w:ascii="Times New Roman" w:hAnsi="Times New Roman" w:cs="Times New Roman"/>
          <w:sz w:val="24"/>
          <w:szCs w:val="24"/>
          <w:lang w:val="en-US"/>
        </w:rPr>
        <w:t>oung</w:t>
      </w:r>
      <w:proofErr w:type="spellEnd"/>
      <w:r w:rsidR="00C9200C" w:rsidRPr="00C9200C">
        <w:rPr>
          <w:rFonts w:ascii="Times New Roman" w:hAnsi="Times New Roman" w:cs="Times New Roman"/>
          <w:sz w:val="24"/>
          <w:szCs w:val="24"/>
          <w:lang w:val="en-US"/>
        </w:rPr>
        <w:t xml:space="preserve"> children’s earliest years are the foundation for their physical and mental health, emotional security, cultural and personal identity, and developing competencies’.</w:t>
      </w:r>
      <w:r w:rsidR="00C9200C" w:rsidRPr="005F0196">
        <w:rPr>
          <w:rStyle w:val="FootnoteReference"/>
          <w:rFonts w:ascii="Times New Roman" w:hAnsi="Times New Roman" w:cs="Times New Roman"/>
          <w:sz w:val="24"/>
          <w:szCs w:val="24"/>
        </w:rPr>
        <w:footnoteReference w:id="9"/>
      </w:r>
      <w:r w:rsidR="00C9200C" w:rsidRPr="00C9200C">
        <w:rPr>
          <w:rFonts w:ascii="Times New Roman" w:hAnsi="Times New Roman" w:cs="Times New Roman"/>
          <w:sz w:val="24"/>
          <w:szCs w:val="24"/>
          <w:lang w:val="en-US"/>
        </w:rPr>
        <w:t xml:space="preserve"> In particular, the Committee states that children’s wellbeing and development ‘are dependent on and built around close relationships’.</w:t>
      </w:r>
      <w:r w:rsidR="00C9200C" w:rsidRPr="005F0196">
        <w:rPr>
          <w:rStyle w:val="FootnoteReference"/>
          <w:rFonts w:ascii="Times New Roman" w:hAnsi="Times New Roman" w:cs="Times New Roman"/>
          <w:sz w:val="24"/>
          <w:szCs w:val="24"/>
        </w:rPr>
        <w:footnoteReference w:id="10"/>
      </w:r>
    </w:p>
    <w:p w:rsidR="00C9200C" w:rsidRPr="00495CC6" w:rsidRDefault="00F7067A" w:rsidP="00F7067A">
      <w:pPr>
        <w:pStyle w:val="ListParagraph"/>
        <w:numPr>
          <w:ilvl w:val="0"/>
          <w:numId w:val="16"/>
        </w:numPr>
        <w:spacing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Second, for older children, finding out that they were the subject of a di</w:t>
      </w:r>
      <w:r w:rsidR="00495CC6">
        <w:rPr>
          <w:rFonts w:ascii="Times New Roman" w:hAnsi="Times New Roman" w:cs="Times New Roman"/>
          <w:sz w:val="24"/>
          <w:szCs w:val="24"/>
          <w:lang w:val="en-US"/>
        </w:rPr>
        <w:t>sputed surrogacy arrangement could</w:t>
      </w:r>
      <w:r w:rsidRPr="00C9200C">
        <w:rPr>
          <w:rFonts w:ascii="Times New Roman" w:hAnsi="Times New Roman" w:cs="Times New Roman"/>
          <w:sz w:val="24"/>
          <w:szCs w:val="24"/>
          <w:lang w:val="en-US"/>
        </w:rPr>
        <w:t xml:space="preserve"> have a psychological impact. </w:t>
      </w:r>
      <w:r w:rsidRPr="00C9200C">
        <w:rPr>
          <w:rFonts w:ascii="Times New Roman" w:hAnsi="Times New Roman" w:cs="Times New Roman"/>
          <w:sz w:val="24"/>
          <w:szCs w:val="24"/>
        </w:rPr>
        <w:t xml:space="preserve">It could be distressing for children to learn details about a surrogate mother who did not want to relinquish them or to learn about intending parents who did not wish to receive them into their care. </w:t>
      </w:r>
    </w:p>
    <w:p w:rsidR="00495CC6" w:rsidRPr="00C9200C" w:rsidRDefault="00495CC6" w:rsidP="00F7067A">
      <w:pPr>
        <w:pStyle w:val="ListParagraph"/>
        <w:numPr>
          <w:ilvl w:val="0"/>
          <w:numId w:val="1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For these reasons, a pre-approval system which seeks to guard against disputes is preferable. </w:t>
      </w:r>
    </w:p>
    <w:p w:rsidR="00F7067A" w:rsidRPr="00F7067A" w:rsidRDefault="00F7067A" w:rsidP="00F7067A">
      <w:pPr>
        <w:spacing w:line="240" w:lineRule="auto"/>
        <w:jc w:val="both"/>
        <w:rPr>
          <w:rFonts w:ascii="Times New Roman" w:hAnsi="Times New Roman" w:cs="Times New Roman"/>
          <w:b/>
          <w:sz w:val="24"/>
          <w:szCs w:val="24"/>
          <w:u w:val="single"/>
          <w:lang w:val="en-US"/>
        </w:rPr>
      </w:pPr>
      <w:r w:rsidRPr="00F7067A">
        <w:rPr>
          <w:rFonts w:ascii="Times New Roman" w:hAnsi="Times New Roman" w:cs="Times New Roman"/>
          <w:b/>
          <w:sz w:val="24"/>
          <w:szCs w:val="24"/>
          <w:u w:val="single"/>
          <w:lang w:val="en-US"/>
        </w:rPr>
        <w:t>Medical Decision-Making</w:t>
      </w:r>
    </w:p>
    <w:p w:rsidR="00C9200C" w:rsidRDefault="00F7067A"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The present framework</w:t>
      </w:r>
      <w:r w:rsidR="00EB0D44">
        <w:rPr>
          <w:rFonts w:ascii="Times New Roman" w:hAnsi="Times New Roman" w:cs="Times New Roman"/>
          <w:sz w:val="24"/>
          <w:szCs w:val="24"/>
          <w:lang w:val="en-US"/>
        </w:rPr>
        <w:t xml:space="preserve"> for surrogacy</w:t>
      </w:r>
      <w:r w:rsidRPr="00C9200C">
        <w:rPr>
          <w:rFonts w:ascii="Times New Roman" w:hAnsi="Times New Roman" w:cs="Times New Roman"/>
          <w:sz w:val="24"/>
          <w:szCs w:val="24"/>
          <w:lang w:val="en-US"/>
        </w:rPr>
        <w:t xml:space="preserve"> in the United Kingdom doe</w:t>
      </w:r>
      <w:r w:rsidR="00C9200C">
        <w:rPr>
          <w:rFonts w:ascii="Times New Roman" w:hAnsi="Times New Roman" w:cs="Times New Roman"/>
          <w:sz w:val="24"/>
          <w:szCs w:val="24"/>
          <w:lang w:val="en-US"/>
        </w:rPr>
        <w:t>s not enable those who i</w:t>
      </w:r>
      <w:r w:rsidRPr="00C9200C">
        <w:rPr>
          <w:rFonts w:ascii="Times New Roman" w:hAnsi="Times New Roman" w:cs="Times New Roman"/>
          <w:sz w:val="24"/>
          <w:szCs w:val="24"/>
          <w:lang w:val="en-US"/>
        </w:rPr>
        <w:t xml:space="preserve">ntend to raise the child </w:t>
      </w:r>
      <w:r w:rsidR="00C9200C">
        <w:rPr>
          <w:rFonts w:ascii="Times New Roman" w:hAnsi="Times New Roman" w:cs="Times New Roman"/>
          <w:sz w:val="24"/>
          <w:szCs w:val="24"/>
          <w:lang w:val="en-US"/>
        </w:rPr>
        <w:t xml:space="preserve">(intending parents) to become the child’s </w:t>
      </w:r>
      <w:r w:rsidRPr="00C9200C">
        <w:rPr>
          <w:rFonts w:ascii="Times New Roman" w:hAnsi="Times New Roman" w:cs="Times New Roman"/>
          <w:sz w:val="24"/>
          <w:szCs w:val="24"/>
          <w:lang w:val="en-US"/>
        </w:rPr>
        <w:t>legal parents until 6 weeks after birth. Intending parents become the legal parents through a parental order</w:t>
      </w:r>
      <w:r w:rsidR="00EB0D44">
        <w:rPr>
          <w:rFonts w:ascii="Times New Roman" w:hAnsi="Times New Roman" w:cs="Times New Roman"/>
          <w:sz w:val="24"/>
          <w:szCs w:val="24"/>
          <w:lang w:val="en-US"/>
        </w:rPr>
        <w:t xml:space="preserve"> (PO)</w:t>
      </w:r>
      <w:r w:rsidRPr="00C9200C">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1"/>
      </w:r>
      <w:r w:rsidRPr="00C9200C">
        <w:rPr>
          <w:rFonts w:ascii="Times New Roman" w:hAnsi="Times New Roman" w:cs="Times New Roman"/>
          <w:sz w:val="24"/>
          <w:szCs w:val="24"/>
          <w:lang w:val="en-US"/>
        </w:rPr>
        <w:t xml:space="preserve"> It should also be noted that a PO can take up to a number of months, even if the process is started after the 6-week required period.</w:t>
      </w:r>
    </w:p>
    <w:p w:rsidR="00C9200C" w:rsidRDefault="00C9200C"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a problem for medical decision-making. </w:t>
      </w:r>
    </w:p>
    <w:p w:rsidR="00C9200C" w:rsidRDefault="00C9200C"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Healthcare professionals must obtain informed consent from those with parental responsibility before carrying out m</w:t>
      </w:r>
      <w:r w:rsidR="00495CC6">
        <w:rPr>
          <w:rFonts w:ascii="Times New Roman" w:hAnsi="Times New Roman" w:cs="Times New Roman"/>
          <w:sz w:val="24"/>
          <w:szCs w:val="24"/>
          <w:lang w:val="en-US"/>
        </w:rPr>
        <w:t>edical or surgical procedures with</w:t>
      </w:r>
      <w:r w:rsidRPr="00C9200C">
        <w:rPr>
          <w:rFonts w:ascii="Times New Roman" w:hAnsi="Times New Roman" w:cs="Times New Roman"/>
          <w:sz w:val="24"/>
          <w:szCs w:val="24"/>
          <w:lang w:val="en-US"/>
        </w:rPr>
        <w:t xml:space="preserve"> children. These could include vaccinations, screening or enrolment in clinical trials. </w:t>
      </w:r>
    </w:p>
    <w:p w:rsidR="00C9200C" w:rsidRDefault="00F7067A"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 xml:space="preserve">Until a PO is granted, decision-making power for the child in relation to medical treatment, for example, lies with the surrogate and her partner (if she has one), even if she has handed over the child. </w:t>
      </w:r>
    </w:p>
    <w:p w:rsidR="00C9200C" w:rsidRDefault="00F7067A"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Although it might be extremely unlikely that intending parents would not be involved in decision-making, it is unsatisfactory that they have no legal right to be involved in medical decisions.</w:t>
      </w:r>
    </w:p>
    <w:p w:rsidR="00C9200C" w:rsidRDefault="00F7067A" w:rsidP="00F7067A">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 xml:space="preserve">The potential involvement of up to four parties in medical decision-making for the child </w:t>
      </w:r>
      <w:r w:rsidR="00C9200C">
        <w:rPr>
          <w:rFonts w:ascii="Times New Roman" w:hAnsi="Times New Roman" w:cs="Times New Roman"/>
          <w:sz w:val="24"/>
          <w:szCs w:val="24"/>
          <w:lang w:val="en-US"/>
        </w:rPr>
        <w:t>might give rise to disagreement</w:t>
      </w:r>
      <w:r w:rsidRPr="00C9200C">
        <w:rPr>
          <w:rFonts w:ascii="Times New Roman" w:hAnsi="Times New Roman" w:cs="Times New Roman"/>
          <w:sz w:val="24"/>
          <w:szCs w:val="24"/>
          <w:lang w:val="en-US"/>
        </w:rPr>
        <w:t>.</w:t>
      </w:r>
      <w:r w:rsidRPr="00F7067A">
        <w:rPr>
          <w:rStyle w:val="FootnoteReference"/>
          <w:rFonts w:ascii="Times New Roman" w:hAnsi="Times New Roman" w:cs="Times New Roman"/>
          <w:sz w:val="24"/>
          <w:szCs w:val="24"/>
        </w:rPr>
        <w:footnoteReference w:id="12"/>
      </w:r>
      <w:r w:rsidRPr="00C9200C">
        <w:rPr>
          <w:rFonts w:ascii="Times New Roman" w:hAnsi="Times New Roman" w:cs="Times New Roman"/>
          <w:sz w:val="24"/>
          <w:szCs w:val="24"/>
          <w:lang w:val="en-US"/>
        </w:rPr>
        <w:t xml:space="preserve"> </w:t>
      </w:r>
    </w:p>
    <w:p w:rsidR="00C9200C" w:rsidRDefault="00F7067A" w:rsidP="00C9200C">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In addition, if the baby in question had serious life-limiting conditions and the question of discontinuation of life-sustaining treatment arose, it is most fitting that the intending parents would be consulted and involved by the healthcare practitioners and the Court, if a case were initiated.</w:t>
      </w:r>
    </w:p>
    <w:p w:rsidR="00F7067A" w:rsidRDefault="00F7067A" w:rsidP="00C9200C">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C9200C">
        <w:rPr>
          <w:rFonts w:ascii="Times New Roman" w:hAnsi="Times New Roman" w:cs="Times New Roman"/>
          <w:sz w:val="24"/>
          <w:szCs w:val="24"/>
          <w:lang w:val="en-US"/>
        </w:rPr>
        <w:t xml:space="preserve">Therefore, a process whereby those who intend to care for the child are parents from the moment of birth is beneficial for children. It would </w:t>
      </w:r>
      <w:r w:rsidR="00495CC6">
        <w:rPr>
          <w:rFonts w:ascii="Times New Roman" w:hAnsi="Times New Roman" w:cs="Times New Roman"/>
          <w:sz w:val="24"/>
          <w:szCs w:val="24"/>
          <w:lang w:val="en-US"/>
        </w:rPr>
        <w:t xml:space="preserve">mean that it is less </w:t>
      </w:r>
      <w:r w:rsidRPr="00C9200C">
        <w:rPr>
          <w:rFonts w:ascii="Times New Roman" w:hAnsi="Times New Roman" w:cs="Times New Roman"/>
          <w:sz w:val="24"/>
          <w:szCs w:val="24"/>
          <w:lang w:val="en-US"/>
        </w:rPr>
        <w:t xml:space="preserve">likely </w:t>
      </w:r>
      <w:proofErr w:type="spellStart"/>
      <w:r w:rsidRPr="00C9200C">
        <w:rPr>
          <w:rFonts w:ascii="Times New Roman" w:hAnsi="Times New Roman" w:cs="Times New Roman"/>
          <w:sz w:val="24"/>
          <w:szCs w:val="24"/>
          <w:lang w:val="en-US"/>
        </w:rPr>
        <w:t>t</w:t>
      </w:r>
      <w:r w:rsidR="00495CC6">
        <w:rPr>
          <w:rFonts w:ascii="Times New Roman" w:hAnsi="Times New Roman" w:cs="Times New Roman"/>
          <w:sz w:val="24"/>
          <w:szCs w:val="24"/>
          <w:lang w:val="en-US"/>
        </w:rPr>
        <w:t>ha</w:t>
      </w:r>
      <w:proofErr w:type="spellEnd"/>
      <w:r w:rsidR="00495CC6">
        <w:rPr>
          <w:rFonts w:ascii="Times New Roman" w:hAnsi="Times New Roman" w:cs="Times New Roman"/>
          <w:sz w:val="24"/>
          <w:szCs w:val="24"/>
          <w:lang w:val="en-US"/>
        </w:rPr>
        <w:t xml:space="preserve"> there </w:t>
      </w:r>
      <w:r w:rsidR="00495CC6">
        <w:rPr>
          <w:rFonts w:ascii="Times New Roman" w:hAnsi="Times New Roman" w:cs="Times New Roman"/>
          <w:sz w:val="24"/>
          <w:szCs w:val="24"/>
          <w:lang w:val="en-US"/>
        </w:rPr>
        <w:lastRenderedPageBreak/>
        <w:t xml:space="preserve">would </w:t>
      </w:r>
      <w:r w:rsidRPr="00C9200C">
        <w:rPr>
          <w:rFonts w:ascii="Times New Roman" w:hAnsi="Times New Roman" w:cs="Times New Roman"/>
          <w:sz w:val="24"/>
          <w:szCs w:val="24"/>
          <w:lang w:val="en-US"/>
        </w:rPr>
        <w:t xml:space="preserve">be </w:t>
      </w:r>
      <w:r w:rsidR="00495CC6">
        <w:rPr>
          <w:rFonts w:ascii="Times New Roman" w:hAnsi="Times New Roman" w:cs="Times New Roman"/>
          <w:sz w:val="24"/>
          <w:szCs w:val="24"/>
          <w:lang w:val="en-US"/>
        </w:rPr>
        <w:t>delay or</w:t>
      </w:r>
      <w:r w:rsidRPr="00C9200C">
        <w:rPr>
          <w:rFonts w:ascii="Times New Roman" w:hAnsi="Times New Roman" w:cs="Times New Roman"/>
          <w:sz w:val="24"/>
          <w:szCs w:val="24"/>
          <w:lang w:val="en-US"/>
        </w:rPr>
        <w:t xml:space="preserve"> dispute in gaining consent for medical treatment, which cannot be said to serve the best interests of the child (Article 3).</w:t>
      </w:r>
    </w:p>
    <w:p w:rsidR="00495CC6" w:rsidRPr="00C9200C" w:rsidRDefault="00CC1975" w:rsidP="00C9200C">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BA1930">
        <w:rPr>
          <w:rFonts w:ascii="Times New Roman" w:hAnsi="Times New Roman" w:cs="Times New Roman"/>
          <w:b/>
          <w:sz w:val="24"/>
          <w:szCs w:val="24"/>
          <w:lang w:val="en-US"/>
        </w:rPr>
        <w:t xml:space="preserve">Introducing </w:t>
      </w:r>
      <w:r w:rsidR="00495CC6" w:rsidRPr="00BA1930">
        <w:rPr>
          <w:rFonts w:ascii="Times New Roman" w:hAnsi="Times New Roman" w:cs="Times New Roman"/>
          <w:b/>
          <w:sz w:val="24"/>
          <w:szCs w:val="24"/>
          <w:lang w:val="en-US"/>
        </w:rPr>
        <w:t xml:space="preserve">a system of pre-approval of intending parents as the legal parents </w:t>
      </w:r>
      <w:r w:rsidR="00BA1930" w:rsidRPr="00BA1930">
        <w:rPr>
          <w:rFonts w:ascii="Times New Roman" w:hAnsi="Times New Roman" w:cs="Times New Roman"/>
          <w:b/>
          <w:sz w:val="24"/>
          <w:szCs w:val="24"/>
          <w:lang w:val="en-US"/>
        </w:rPr>
        <w:t xml:space="preserve">before the birth of the child </w:t>
      </w:r>
      <w:r w:rsidR="00495CC6" w:rsidRPr="00BA1930">
        <w:rPr>
          <w:rFonts w:ascii="Times New Roman" w:hAnsi="Times New Roman" w:cs="Times New Roman"/>
          <w:b/>
          <w:sz w:val="24"/>
          <w:szCs w:val="24"/>
          <w:lang w:val="en-US"/>
        </w:rPr>
        <w:t xml:space="preserve">does not </w:t>
      </w:r>
      <w:r w:rsidRPr="00BA1930">
        <w:rPr>
          <w:rFonts w:ascii="Times New Roman" w:hAnsi="Times New Roman" w:cs="Times New Roman"/>
          <w:b/>
          <w:sz w:val="24"/>
          <w:szCs w:val="24"/>
          <w:lang w:val="en-US"/>
        </w:rPr>
        <w:t xml:space="preserve">mean </w:t>
      </w:r>
      <w:r w:rsidR="00495CC6" w:rsidRPr="00BA1930">
        <w:rPr>
          <w:rFonts w:ascii="Times New Roman" w:hAnsi="Times New Roman" w:cs="Times New Roman"/>
          <w:b/>
          <w:sz w:val="24"/>
          <w:szCs w:val="24"/>
          <w:lang w:val="en-US"/>
        </w:rPr>
        <w:t xml:space="preserve">that the surrogate mother cannot contest </w:t>
      </w:r>
      <w:r w:rsidRPr="00BA1930">
        <w:rPr>
          <w:rFonts w:ascii="Times New Roman" w:hAnsi="Times New Roman" w:cs="Times New Roman"/>
          <w:b/>
          <w:sz w:val="24"/>
          <w:szCs w:val="24"/>
          <w:lang w:val="en-US"/>
        </w:rPr>
        <w:t xml:space="preserve">the </w:t>
      </w:r>
      <w:r w:rsidR="00495CC6" w:rsidRPr="00BA1930">
        <w:rPr>
          <w:rFonts w:ascii="Times New Roman" w:hAnsi="Times New Roman" w:cs="Times New Roman"/>
          <w:b/>
          <w:sz w:val="24"/>
          <w:szCs w:val="24"/>
          <w:lang w:val="en-US"/>
        </w:rPr>
        <w:t>parenthood</w:t>
      </w:r>
      <w:r w:rsidRPr="00BA1930">
        <w:rPr>
          <w:rFonts w:ascii="Times New Roman" w:hAnsi="Times New Roman" w:cs="Times New Roman"/>
          <w:b/>
          <w:sz w:val="24"/>
          <w:szCs w:val="24"/>
          <w:lang w:val="en-US"/>
        </w:rPr>
        <w:t xml:space="preserve"> of the intending parents</w:t>
      </w:r>
      <w:r w:rsidR="00495CC6">
        <w:rPr>
          <w:rFonts w:ascii="Times New Roman" w:hAnsi="Times New Roman" w:cs="Times New Roman"/>
          <w:sz w:val="24"/>
          <w:szCs w:val="24"/>
          <w:lang w:val="en-US"/>
        </w:rPr>
        <w:t xml:space="preserve">. Proposals in the UK suggest that </w:t>
      </w:r>
      <w:r>
        <w:rPr>
          <w:rFonts w:ascii="Times New Roman" w:hAnsi="Times New Roman" w:cs="Times New Roman"/>
          <w:sz w:val="24"/>
          <w:szCs w:val="24"/>
          <w:lang w:val="en-US"/>
        </w:rPr>
        <w:t xml:space="preserve">even in a system of pre-approval, </w:t>
      </w:r>
      <w:r w:rsidR="00495CC6" w:rsidRPr="005F0196">
        <w:rPr>
          <w:rFonts w:ascii="Times New Roman" w:hAnsi="Times New Roman" w:cs="Times New Roman"/>
          <w:sz w:val="24"/>
          <w:szCs w:val="24"/>
        </w:rPr>
        <w:t xml:space="preserve">the surrogate should be able to register an objection </w:t>
      </w:r>
      <w:r>
        <w:rPr>
          <w:rFonts w:ascii="Times New Roman" w:hAnsi="Times New Roman" w:cs="Times New Roman"/>
          <w:sz w:val="24"/>
          <w:szCs w:val="24"/>
        </w:rPr>
        <w:t xml:space="preserve">if </w:t>
      </w:r>
      <w:r w:rsidR="00BA1930">
        <w:rPr>
          <w:rFonts w:ascii="Times New Roman" w:hAnsi="Times New Roman" w:cs="Times New Roman"/>
          <w:sz w:val="24"/>
          <w:szCs w:val="24"/>
        </w:rPr>
        <w:t>th</w:t>
      </w:r>
      <w:r>
        <w:rPr>
          <w:rFonts w:ascii="Times New Roman" w:hAnsi="Times New Roman" w:cs="Times New Roman"/>
          <w:sz w:val="24"/>
          <w:szCs w:val="24"/>
        </w:rPr>
        <w:t>e</w:t>
      </w:r>
      <w:r w:rsidR="00BA1930">
        <w:rPr>
          <w:rFonts w:ascii="Times New Roman" w:hAnsi="Times New Roman" w:cs="Times New Roman"/>
          <w:sz w:val="24"/>
          <w:szCs w:val="24"/>
        </w:rPr>
        <w:t>r</w:t>
      </w:r>
      <w:r>
        <w:rPr>
          <w:rFonts w:ascii="Times New Roman" w:hAnsi="Times New Roman" w:cs="Times New Roman"/>
          <w:sz w:val="24"/>
          <w:szCs w:val="24"/>
        </w:rPr>
        <w:t xml:space="preserve">e are </w:t>
      </w:r>
      <w:r w:rsidR="00495CC6" w:rsidRPr="005F0196">
        <w:rPr>
          <w:rFonts w:ascii="Times New Roman" w:hAnsi="Times New Roman" w:cs="Times New Roman"/>
          <w:sz w:val="24"/>
          <w:szCs w:val="24"/>
        </w:rPr>
        <w:t xml:space="preserve">changed circumstances </w:t>
      </w:r>
      <w:bookmarkStart w:id="0" w:name="_GoBack"/>
      <w:bookmarkEnd w:id="0"/>
      <w:r w:rsidR="00495CC6" w:rsidRPr="005F0196">
        <w:rPr>
          <w:rFonts w:ascii="Times New Roman" w:hAnsi="Times New Roman" w:cs="Times New Roman"/>
          <w:sz w:val="24"/>
          <w:szCs w:val="24"/>
        </w:rPr>
        <w:t>and/or risks to the child</w:t>
      </w:r>
      <w:r>
        <w:rPr>
          <w:rFonts w:ascii="Times New Roman" w:hAnsi="Times New Roman" w:cs="Times New Roman"/>
          <w:sz w:val="24"/>
          <w:szCs w:val="24"/>
        </w:rPr>
        <w:t>,</w:t>
      </w:r>
      <w:r w:rsidR="00495CC6" w:rsidRPr="005F0196">
        <w:rPr>
          <w:rFonts w:ascii="Times New Roman" w:hAnsi="Times New Roman" w:cs="Times New Roman"/>
          <w:sz w:val="24"/>
          <w:szCs w:val="24"/>
        </w:rPr>
        <w:t xml:space="preserve"> which would trigger a full rehearing regarding legal parenthood.</w:t>
      </w:r>
      <w:r w:rsidR="00495CC6" w:rsidRPr="005F0196">
        <w:rPr>
          <w:rStyle w:val="FootnoteReference"/>
          <w:rFonts w:ascii="Times New Roman" w:hAnsi="Times New Roman" w:cs="Times New Roman"/>
          <w:sz w:val="24"/>
          <w:szCs w:val="24"/>
        </w:rPr>
        <w:footnoteReference w:id="13"/>
      </w:r>
      <w:r w:rsidR="00495CC6" w:rsidRPr="005F0196">
        <w:rPr>
          <w:rFonts w:ascii="Times New Roman" w:hAnsi="Times New Roman" w:cs="Times New Roman"/>
          <w:sz w:val="24"/>
          <w:szCs w:val="24"/>
        </w:rPr>
        <w:t xml:space="preserve"> </w:t>
      </w:r>
    </w:p>
    <w:p w:rsidR="00EB0D44" w:rsidRDefault="00EB0D44">
      <w:pPr>
        <w:rPr>
          <w:rFonts w:ascii="Times New Roman" w:hAnsi="Times New Roman" w:cs="Times New Roman"/>
          <w:sz w:val="24"/>
          <w:szCs w:val="24"/>
          <w:lang w:val="en-US"/>
        </w:rPr>
      </w:pPr>
    </w:p>
    <w:p w:rsidR="00C9200C" w:rsidRPr="00EB0D44" w:rsidRDefault="00C9200C" w:rsidP="00EB0D44">
      <w:pPr>
        <w:pStyle w:val="FootnoteText"/>
        <w:numPr>
          <w:ilvl w:val="0"/>
          <w:numId w:val="5"/>
        </w:numPr>
        <w:jc w:val="both"/>
        <w:rPr>
          <w:rFonts w:ascii="Times New Roman" w:hAnsi="Times New Roman" w:cs="Times New Roman"/>
          <w:sz w:val="24"/>
          <w:szCs w:val="24"/>
          <w:u w:val="single"/>
        </w:rPr>
      </w:pPr>
      <w:r w:rsidRPr="00EB0D44">
        <w:rPr>
          <w:rFonts w:ascii="Times New Roman" w:hAnsi="Times New Roman" w:cs="Times New Roman"/>
          <w:b/>
          <w:sz w:val="24"/>
          <w:szCs w:val="24"/>
          <w:u w:val="single"/>
        </w:rPr>
        <w:t>Involvemen</w:t>
      </w:r>
      <w:r w:rsidR="00294338">
        <w:rPr>
          <w:rFonts w:ascii="Times New Roman" w:hAnsi="Times New Roman" w:cs="Times New Roman"/>
          <w:b/>
          <w:sz w:val="24"/>
          <w:szCs w:val="24"/>
          <w:u w:val="single"/>
        </w:rPr>
        <w:t>t of Children in Surrogacy Pre-A</w:t>
      </w:r>
      <w:r w:rsidRPr="00EB0D44">
        <w:rPr>
          <w:rFonts w:ascii="Times New Roman" w:hAnsi="Times New Roman" w:cs="Times New Roman"/>
          <w:b/>
          <w:sz w:val="24"/>
          <w:szCs w:val="24"/>
          <w:u w:val="single"/>
        </w:rPr>
        <w:t>pproval Processes</w:t>
      </w:r>
    </w:p>
    <w:p w:rsidR="00EB0D44" w:rsidRPr="00C9200C" w:rsidRDefault="00EB0D44" w:rsidP="00EB0D44">
      <w:pPr>
        <w:pStyle w:val="FootnoteText"/>
        <w:ind w:left="720"/>
        <w:jc w:val="both"/>
        <w:rPr>
          <w:rFonts w:ascii="Times New Roman" w:hAnsi="Times New Roman" w:cs="Times New Roman"/>
          <w:sz w:val="24"/>
          <w:szCs w:val="24"/>
        </w:rPr>
      </w:pPr>
    </w:p>
    <w:p w:rsidR="00C9200C" w:rsidRDefault="00EB0D44" w:rsidP="00EB0D44">
      <w:pPr>
        <w:pStyle w:val="ListParagraph"/>
        <w:numPr>
          <w:ilvl w:val="0"/>
          <w:numId w:val="19"/>
        </w:numPr>
        <w:spacing w:line="240" w:lineRule="auto"/>
        <w:jc w:val="both"/>
        <w:rPr>
          <w:rFonts w:ascii="Times New Roman" w:hAnsi="Times New Roman" w:cs="Times New Roman"/>
          <w:sz w:val="24"/>
          <w:szCs w:val="24"/>
          <w:lang w:val="en-US"/>
        </w:rPr>
      </w:pPr>
      <w:r w:rsidRPr="00EB0D44">
        <w:rPr>
          <w:rFonts w:ascii="Times New Roman" w:hAnsi="Times New Roman" w:cs="Times New Roman"/>
          <w:sz w:val="24"/>
          <w:szCs w:val="24"/>
          <w:lang w:val="en-IE"/>
        </w:rPr>
        <w:t>I</w:t>
      </w:r>
      <w:r w:rsidR="00C9200C" w:rsidRPr="00EB0D44">
        <w:rPr>
          <w:rFonts w:ascii="Times New Roman" w:hAnsi="Times New Roman" w:cs="Times New Roman"/>
          <w:sz w:val="24"/>
          <w:szCs w:val="24"/>
          <w:lang w:val="en-US"/>
        </w:rPr>
        <w:t xml:space="preserve">f a system of pre-approval is introduced, any existing children of the surrogate and </w:t>
      </w:r>
      <w:r w:rsidR="00BA1930">
        <w:rPr>
          <w:rFonts w:ascii="Times New Roman" w:hAnsi="Times New Roman" w:cs="Times New Roman"/>
          <w:sz w:val="24"/>
          <w:szCs w:val="24"/>
          <w:lang w:val="en-US"/>
        </w:rPr>
        <w:t xml:space="preserve">of the </w:t>
      </w:r>
      <w:r w:rsidR="00C9200C" w:rsidRPr="00EB0D44">
        <w:rPr>
          <w:rFonts w:ascii="Times New Roman" w:hAnsi="Times New Roman" w:cs="Times New Roman"/>
          <w:sz w:val="24"/>
          <w:szCs w:val="24"/>
          <w:lang w:val="en-US"/>
        </w:rPr>
        <w:t xml:space="preserve">intending parents should be involved in the discussions during the pre-approval of the agreement in line with their evolving capacities. </w:t>
      </w:r>
    </w:p>
    <w:p w:rsidR="00C9200C" w:rsidRPr="00EB0D44" w:rsidRDefault="00C9200C" w:rsidP="00EB0D44">
      <w:pPr>
        <w:pStyle w:val="ListParagraph"/>
        <w:numPr>
          <w:ilvl w:val="0"/>
          <w:numId w:val="19"/>
        </w:numPr>
        <w:spacing w:line="240" w:lineRule="auto"/>
        <w:jc w:val="both"/>
        <w:rPr>
          <w:rFonts w:ascii="Times New Roman" w:hAnsi="Times New Roman" w:cs="Times New Roman"/>
          <w:sz w:val="24"/>
          <w:szCs w:val="24"/>
          <w:lang w:val="en-US"/>
        </w:rPr>
      </w:pPr>
      <w:r w:rsidRPr="00EB0D44">
        <w:rPr>
          <w:rFonts w:ascii="Times New Roman" w:hAnsi="Times New Roman" w:cs="Times New Roman"/>
          <w:sz w:val="24"/>
          <w:szCs w:val="24"/>
          <w:lang w:val="en-US"/>
        </w:rPr>
        <w:t>Such children could have their views taken into account about contact with children born through surrogacy, which, for example, in tradi</w:t>
      </w:r>
      <w:r w:rsidR="00EB0D44" w:rsidRPr="00EB0D44">
        <w:rPr>
          <w:rFonts w:ascii="Times New Roman" w:hAnsi="Times New Roman" w:cs="Times New Roman"/>
          <w:sz w:val="24"/>
          <w:szCs w:val="24"/>
          <w:lang w:val="en-US"/>
        </w:rPr>
        <w:t>tional surrogacy, will be their half-</w:t>
      </w:r>
      <w:r w:rsidRPr="00EB0D44">
        <w:rPr>
          <w:rFonts w:ascii="Times New Roman" w:hAnsi="Times New Roman" w:cs="Times New Roman"/>
          <w:sz w:val="24"/>
          <w:szCs w:val="24"/>
          <w:lang w:val="en-US"/>
        </w:rPr>
        <w:t xml:space="preserve">siblings. </w:t>
      </w:r>
    </w:p>
    <w:p w:rsidR="00BA1930" w:rsidRPr="00BA1930" w:rsidRDefault="00C9200C" w:rsidP="00BA1930">
      <w:pPr>
        <w:pStyle w:val="ListParagraph"/>
        <w:numPr>
          <w:ilvl w:val="0"/>
          <w:numId w:val="19"/>
        </w:numPr>
        <w:spacing w:line="240" w:lineRule="auto"/>
        <w:jc w:val="both"/>
        <w:rPr>
          <w:rFonts w:ascii="Times New Roman" w:hAnsi="Times New Roman" w:cs="Times New Roman"/>
          <w:sz w:val="24"/>
          <w:szCs w:val="24"/>
          <w:lang w:val="en-US"/>
        </w:rPr>
      </w:pPr>
      <w:r w:rsidRPr="00EB0D44">
        <w:rPr>
          <w:rFonts w:ascii="Times New Roman" w:hAnsi="Times New Roman" w:cs="Times New Roman"/>
          <w:sz w:val="24"/>
          <w:szCs w:val="24"/>
          <w:lang w:val="en-US"/>
        </w:rPr>
        <w:t>Any existing children should also be involved in counselling arrangements in l</w:t>
      </w:r>
      <w:r w:rsidR="00BA1930">
        <w:rPr>
          <w:rFonts w:ascii="Times New Roman" w:hAnsi="Times New Roman" w:cs="Times New Roman"/>
          <w:sz w:val="24"/>
          <w:szCs w:val="24"/>
          <w:lang w:val="en-US"/>
        </w:rPr>
        <w:t xml:space="preserve">ine with their age and maturity </w:t>
      </w:r>
      <w:r w:rsidRPr="00BA1930">
        <w:rPr>
          <w:rFonts w:ascii="Times New Roman" w:hAnsi="Times New Roman" w:cs="Times New Roman"/>
          <w:color w:val="000000"/>
          <w:sz w:val="24"/>
          <w:szCs w:val="24"/>
          <w:shd w:val="clear" w:color="auto" w:fill="FFFFFF"/>
        </w:rPr>
        <w:t xml:space="preserve">in order to </w:t>
      </w:r>
    </w:p>
    <w:p w:rsidR="00C9200C" w:rsidRPr="00BA1930" w:rsidRDefault="00C9200C" w:rsidP="00BA1930">
      <w:pPr>
        <w:pStyle w:val="ListParagraph"/>
        <w:numPr>
          <w:ilvl w:val="1"/>
          <w:numId w:val="19"/>
        </w:numPr>
        <w:spacing w:line="240" w:lineRule="auto"/>
        <w:jc w:val="both"/>
        <w:rPr>
          <w:rFonts w:ascii="Times New Roman" w:hAnsi="Times New Roman" w:cs="Times New Roman"/>
          <w:sz w:val="24"/>
          <w:szCs w:val="24"/>
          <w:lang w:val="en-US"/>
        </w:rPr>
      </w:pPr>
      <w:r w:rsidRPr="00BA1930">
        <w:rPr>
          <w:rFonts w:ascii="Times New Roman" w:hAnsi="Times New Roman" w:cs="Times New Roman"/>
          <w:color w:val="000000"/>
          <w:sz w:val="24"/>
          <w:szCs w:val="24"/>
          <w:shd w:val="clear" w:color="auto" w:fill="FFFFFF"/>
        </w:rPr>
        <w:t xml:space="preserve">provide them with information about the process </w:t>
      </w:r>
    </w:p>
    <w:p w:rsidR="00C9200C" w:rsidRPr="00EB0D44" w:rsidRDefault="00C9200C" w:rsidP="00EB0D44">
      <w:pPr>
        <w:pStyle w:val="ListParagraph"/>
        <w:numPr>
          <w:ilvl w:val="1"/>
          <w:numId w:val="19"/>
        </w:numPr>
        <w:rPr>
          <w:rFonts w:ascii="Times New Roman" w:hAnsi="Times New Roman" w:cs="Times New Roman"/>
          <w:sz w:val="24"/>
          <w:szCs w:val="24"/>
        </w:rPr>
      </w:pPr>
      <w:r w:rsidRPr="00B9773A">
        <w:rPr>
          <w:rFonts w:ascii="Times New Roman" w:hAnsi="Times New Roman" w:cs="Times New Roman"/>
          <w:color w:val="000000"/>
          <w:sz w:val="24"/>
          <w:szCs w:val="24"/>
          <w:shd w:val="clear" w:color="auto" w:fill="FFFFFF"/>
        </w:rPr>
        <w:t>address any possible concerns the child may have on experiencing their mother carrying and then relinquishing a child.</w:t>
      </w:r>
    </w:p>
    <w:p w:rsidR="00EB0D44" w:rsidRPr="00EB0D44" w:rsidRDefault="00EB0D44" w:rsidP="00EB0D44">
      <w:pPr>
        <w:pStyle w:val="ListParagraph"/>
        <w:numPr>
          <w:ilvl w:val="0"/>
          <w:numId w:val="1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in line with Article 12 which protects the right of children to express their </w:t>
      </w:r>
      <w:r w:rsidRPr="00EB0D44">
        <w:rPr>
          <w:rFonts w:ascii="Times New Roman" w:hAnsi="Times New Roman" w:cs="Times New Roman"/>
          <w:sz w:val="24"/>
          <w:szCs w:val="24"/>
          <w:lang w:val="en-US"/>
        </w:rPr>
        <w:t>views freely in</w:t>
      </w:r>
      <w:r>
        <w:rPr>
          <w:rFonts w:ascii="Times New Roman" w:hAnsi="Times New Roman" w:cs="Times New Roman"/>
          <w:sz w:val="24"/>
          <w:szCs w:val="24"/>
          <w:lang w:val="en-US"/>
        </w:rPr>
        <w:t xml:space="preserve"> all matters affecting them</w:t>
      </w:r>
      <w:r w:rsidRPr="00EB0D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also requiring States Parties to give those views </w:t>
      </w:r>
      <w:r w:rsidRPr="00EB0D44">
        <w:rPr>
          <w:rFonts w:ascii="Times New Roman" w:hAnsi="Times New Roman" w:cs="Times New Roman"/>
          <w:sz w:val="24"/>
          <w:szCs w:val="24"/>
          <w:lang w:val="en-US"/>
        </w:rPr>
        <w:t>due weight in accordance with the age and maturity of the child.</w:t>
      </w:r>
    </w:p>
    <w:p w:rsidR="00EB0D44" w:rsidRPr="00EB0D44" w:rsidRDefault="00EB0D44" w:rsidP="00EB0D44">
      <w:pPr>
        <w:rPr>
          <w:rFonts w:ascii="Times New Roman" w:hAnsi="Times New Roman" w:cs="Times New Roman"/>
          <w:sz w:val="24"/>
          <w:szCs w:val="24"/>
          <w:lang w:val="en-US"/>
        </w:rPr>
      </w:pPr>
    </w:p>
    <w:p w:rsidR="00C9200C" w:rsidRPr="00F7067A" w:rsidRDefault="00C9200C">
      <w:pPr>
        <w:rPr>
          <w:rFonts w:ascii="Times New Roman" w:hAnsi="Times New Roman" w:cs="Times New Roman"/>
          <w:sz w:val="24"/>
          <w:szCs w:val="24"/>
          <w:lang w:val="en-GB"/>
        </w:rPr>
      </w:pPr>
    </w:p>
    <w:sectPr w:rsidR="00C9200C" w:rsidRPr="00F706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7A" w:rsidRDefault="00F7067A" w:rsidP="00F7067A">
      <w:pPr>
        <w:spacing w:after="0" w:line="240" w:lineRule="auto"/>
      </w:pPr>
      <w:r>
        <w:separator/>
      </w:r>
    </w:p>
  </w:endnote>
  <w:endnote w:type="continuationSeparator" w:id="0">
    <w:p w:rsidR="00F7067A" w:rsidRDefault="00F7067A" w:rsidP="00F7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7A" w:rsidRDefault="00F7067A" w:rsidP="00F7067A">
      <w:pPr>
        <w:spacing w:after="0" w:line="240" w:lineRule="auto"/>
      </w:pPr>
      <w:r>
        <w:separator/>
      </w:r>
    </w:p>
  </w:footnote>
  <w:footnote w:type="continuationSeparator" w:id="0">
    <w:p w:rsidR="00F7067A" w:rsidRDefault="00F7067A" w:rsidP="00F7067A">
      <w:pPr>
        <w:spacing w:after="0" w:line="240" w:lineRule="auto"/>
      </w:pPr>
      <w:r>
        <w:continuationSeparator/>
      </w:r>
    </w:p>
  </w:footnote>
  <w:footnote w:id="1">
    <w:p w:rsidR="00235365" w:rsidRPr="00D9057A" w:rsidRDefault="00235365" w:rsidP="00235365">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The Committee has urged States Parties to ensure that adopted children can access information about the identity of their biological parents and to eliminate anonymous birth. See K. Wade, “The Legal Regulation of Surrogacy in the UK: A Children’s Rights Perspective” (2017) 29(2) </w:t>
      </w:r>
      <w:r w:rsidRPr="00D9057A">
        <w:rPr>
          <w:rFonts w:ascii="Times New Roman" w:hAnsi="Times New Roman" w:cs="Times New Roman"/>
          <w:i/>
          <w:iCs/>
        </w:rPr>
        <w:t>Child and Family Law Quarterly </w:t>
      </w:r>
      <w:r w:rsidRPr="00D9057A">
        <w:rPr>
          <w:rFonts w:ascii="Times New Roman" w:hAnsi="Times New Roman" w:cs="Times New Roman"/>
        </w:rPr>
        <w:t xml:space="preserve">113 at 123-124. </w:t>
      </w:r>
    </w:p>
  </w:footnote>
  <w:footnote w:id="2">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See </w:t>
      </w:r>
      <w:proofErr w:type="spellStart"/>
      <w:r w:rsidRPr="00D9057A">
        <w:rPr>
          <w:rFonts w:ascii="Times New Roman" w:hAnsi="Times New Roman" w:cs="Times New Roman"/>
          <w:i/>
          <w:iCs/>
        </w:rPr>
        <w:t>Odièvre</w:t>
      </w:r>
      <w:proofErr w:type="spellEnd"/>
      <w:r w:rsidRPr="00D9057A">
        <w:rPr>
          <w:rFonts w:ascii="Times New Roman" w:hAnsi="Times New Roman" w:cs="Times New Roman"/>
          <w:i/>
          <w:iCs/>
        </w:rPr>
        <w:t xml:space="preserve"> v France </w:t>
      </w:r>
      <w:r w:rsidRPr="00D9057A">
        <w:rPr>
          <w:rFonts w:ascii="Times New Roman" w:hAnsi="Times New Roman" w:cs="Times New Roman"/>
        </w:rPr>
        <w:t xml:space="preserve">(Application No 42326/98) (2003) 38 EHRR 871. It was held that the law permitting anonymous birth pursued the legitimate aims of avoiding abortions and the abandonment of children.  </w:t>
      </w:r>
    </w:p>
  </w:footnote>
  <w:footnote w:id="3">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w:t>
      </w:r>
      <w:proofErr w:type="spellStart"/>
      <w:r w:rsidRPr="00D9057A">
        <w:rPr>
          <w:rFonts w:ascii="Times New Roman" w:hAnsi="Times New Roman" w:cs="Times New Roman"/>
          <w:i/>
        </w:rPr>
        <w:t>Mikulic</w:t>
      </w:r>
      <w:proofErr w:type="spellEnd"/>
      <w:r w:rsidRPr="00D9057A">
        <w:rPr>
          <w:rFonts w:ascii="Times New Roman" w:hAnsi="Times New Roman" w:cs="Times New Roman"/>
          <w:i/>
        </w:rPr>
        <w:t xml:space="preserve"> v Croatia</w:t>
      </w:r>
      <w:r w:rsidRPr="00D9057A">
        <w:rPr>
          <w:rFonts w:ascii="Times New Roman" w:hAnsi="Times New Roman" w:cs="Times New Roman"/>
        </w:rPr>
        <w:t xml:space="preserve"> (Application No 52176/99) (2002) 11 BHRC 689, at para 64. </w:t>
      </w:r>
    </w:p>
  </w:footnote>
  <w:footnote w:id="4">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w:t>
      </w:r>
      <w:proofErr w:type="spellStart"/>
      <w:r w:rsidRPr="00D9057A">
        <w:rPr>
          <w:rFonts w:ascii="Times New Roman" w:hAnsi="Times New Roman" w:cs="Times New Roman"/>
          <w:i/>
          <w:iCs/>
        </w:rPr>
        <w:t>Odièvre</w:t>
      </w:r>
      <w:proofErr w:type="spellEnd"/>
      <w:r w:rsidRPr="00D9057A">
        <w:rPr>
          <w:rFonts w:ascii="Times New Roman" w:hAnsi="Times New Roman" w:cs="Times New Roman"/>
          <w:i/>
          <w:iCs/>
        </w:rPr>
        <w:t xml:space="preserve"> v France </w:t>
      </w:r>
      <w:r w:rsidRPr="00D9057A">
        <w:rPr>
          <w:rFonts w:ascii="Times New Roman" w:hAnsi="Times New Roman" w:cs="Times New Roman"/>
        </w:rPr>
        <w:t>(Application No 42326/98) (2003) 38 EHRR 871,</w:t>
      </w:r>
      <w:r w:rsidRPr="00D9057A">
        <w:rPr>
          <w:rFonts w:ascii="Times New Roman" w:hAnsi="Times New Roman" w:cs="Times New Roman"/>
          <w:color w:val="000000"/>
          <w:shd w:val="clear" w:color="auto" w:fill="FFFFFF"/>
        </w:rPr>
        <w:t xml:space="preserve"> </w:t>
      </w:r>
      <w:r w:rsidRPr="00D9057A">
        <w:rPr>
          <w:rFonts w:ascii="Times New Roman" w:hAnsi="Times New Roman" w:cs="Times New Roman"/>
        </w:rPr>
        <w:t>at para 29 (emphasis added).</w:t>
      </w:r>
    </w:p>
  </w:footnote>
  <w:footnote w:id="5">
    <w:p w:rsidR="00235365" w:rsidRPr="00235365" w:rsidRDefault="00235365" w:rsidP="00235365">
      <w:pPr>
        <w:pStyle w:val="FootnoteText"/>
        <w:jc w:val="both"/>
        <w:rPr>
          <w:rFonts w:ascii="Times New Roman" w:hAnsi="Times New Roman" w:cs="Times New Roman"/>
          <w:lang w:val="en-US"/>
        </w:rPr>
      </w:pPr>
      <w:r w:rsidRPr="00D9057A">
        <w:rPr>
          <w:rStyle w:val="FootnoteReference"/>
          <w:rFonts w:ascii="Times New Roman" w:hAnsi="Times New Roman" w:cs="Times New Roman"/>
        </w:rPr>
        <w:footnoteRef/>
      </w:r>
      <w:r>
        <w:rPr>
          <w:rFonts w:ascii="Times New Roman" w:hAnsi="Times New Roman" w:cs="Times New Roman"/>
        </w:rPr>
        <w:t xml:space="preserve"> Head 50(3), </w:t>
      </w:r>
      <w:r w:rsidRPr="00235365">
        <w:rPr>
          <w:rFonts w:ascii="Times New Roman" w:hAnsi="Times New Roman" w:cs="Times New Roman"/>
          <w:i/>
          <w:lang w:val="en-US"/>
        </w:rPr>
        <w:t>General Scheme of the Assisted Reproduction Bill 2017</w:t>
      </w:r>
      <w:r w:rsidRPr="00235365">
        <w:rPr>
          <w:rFonts w:ascii="Times New Roman" w:hAnsi="Times New Roman" w:cs="Times New Roman"/>
          <w:lang w:val="en-US"/>
        </w:rPr>
        <w:t>.</w:t>
      </w:r>
    </w:p>
  </w:footnote>
  <w:footnote w:id="6">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M. Freeman, ‘The New Birth Right?’ (1996) 4 </w:t>
      </w:r>
      <w:r w:rsidRPr="00D9057A">
        <w:rPr>
          <w:rFonts w:ascii="Times New Roman" w:hAnsi="Times New Roman" w:cs="Times New Roman"/>
          <w:i/>
        </w:rPr>
        <w:t xml:space="preserve">The International Journal of Children’s Rights </w:t>
      </w:r>
      <w:r w:rsidRPr="00D9057A">
        <w:rPr>
          <w:rFonts w:ascii="Times New Roman" w:hAnsi="Times New Roman" w:cs="Times New Roman"/>
        </w:rPr>
        <w:t xml:space="preserve">273 1996, 276 at 290. </w:t>
      </w:r>
    </w:p>
  </w:footnote>
  <w:footnote w:id="7">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See generally L. Blake, </w:t>
      </w:r>
      <w:r w:rsidRPr="00D9057A">
        <w:rPr>
          <w:rFonts w:ascii="Times New Roman" w:hAnsi="Times New Roman" w:cs="Times New Roman"/>
          <w:i/>
        </w:rPr>
        <w:t xml:space="preserve">et al, </w:t>
      </w:r>
      <w:r w:rsidRPr="00D9057A">
        <w:rPr>
          <w:rFonts w:ascii="Times New Roman" w:hAnsi="Times New Roman" w:cs="Times New Roman"/>
        </w:rPr>
        <w:t xml:space="preserve">‘Thoughts and Feelings About the Donor: A Family Perspective’ in </w:t>
      </w:r>
      <w:r w:rsidRPr="00D9057A">
        <w:rPr>
          <w:rFonts w:ascii="Times New Roman" w:hAnsi="Times New Roman" w:cs="Times New Roman"/>
          <w:color w:val="000000"/>
          <w:shd w:val="clear" w:color="auto" w:fill="FFFFFF"/>
        </w:rPr>
        <w:t xml:space="preserve">S. </w:t>
      </w:r>
      <w:proofErr w:type="spellStart"/>
      <w:r w:rsidRPr="00D9057A">
        <w:rPr>
          <w:rFonts w:ascii="Times New Roman" w:hAnsi="Times New Roman" w:cs="Times New Roman"/>
          <w:color w:val="000000"/>
          <w:shd w:val="clear" w:color="auto" w:fill="FFFFFF"/>
        </w:rPr>
        <w:t>Golombok</w:t>
      </w:r>
      <w:proofErr w:type="spellEnd"/>
      <w:r w:rsidRPr="00D9057A">
        <w:rPr>
          <w:rFonts w:ascii="Times New Roman" w:hAnsi="Times New Roman" w:cs="Times New Roman"/>
          <w:color w:val="000000"/>
          <w:shd w:val="clear" w:color="auto" w:fill="FFFFFF"/>
        </w:rPr>
        <w:t xml:space="preserve"> et al (</w:t>
      </w:r>
      <w:proofErr w:type="spellStart"/>
      <w:r w:rsidRPr="00D9057A">
        <w:rPr>
          <w:rFonts w:ascii="Times New Roman" w:hAnsi="Times New Roman" w:cs="Times New Roman"/>
          <w:color w:val="000000"/>
          <w:shd w:val="clear" w:color="auto" w:fill="FFFFFF"/>
        </w:rPr>
        <w:t>eds</w:t>
      </w:r>
      <w:proofErr w:type="spellEnd"/>
      <w:r w:rsidRPr="00D9057A">
        <w:rPr>
          <w:rFonts w:ascii="Times New Roman" w:hAnsi="Times New Roman" w:cs="Times New Roman"/>
          <w:color w:val="000000"/>
          <w:shd w:val="clear" w:color="auto" w:fill="FFFFFF"/>
        </w:rPr>
        <w:t>), </w:t>
      </w:r>
      <w:r w:rsidRPr="00D9057A">
        <w:rPr>
          <w:rStyle w:val="Emphasis"/>
          <w:rFonts w:ascii="Times New Roman" w:hAnsi="Times New Roman" w:cs="Times New Roman"/>
          <w:color w:val="000000"/>
          <w:shd w:val="clear" w:color="auto" w:fill="FFFFFF"/>
        </w:rPr>
        <w:t>Regulating Reproductive Donation</w:t>
      </w:r>
      <w:r w:rsidRPr="00D9057A">
        <w:rPr>
          <w:rFonts w:ascii="Times New Roman" w:hAnsi="Times New Roman" w:cs="Times New Roman"/>
          <w:color w:val="000000"/>
          <w:shd w:val="clear" w:color="auto" w:fill="FFFFFF"/>
        </w:rPr>
        <w:t xml:space="preserve"> (Cambridge University Press, 2016), 293 </w:t>
      </w:r>
      <w:r w:rsidRPr="00D9057A">
        <w:rPr>
          <w:rFonts w:ascii="Times New Roman" w:hAnsi="Times New Roman" w:cs="Times New Roman"/>
        </w:rPr>
        <w:t>at 296.</w:t>
      </w:r>
    </w:p>
  </w:footnote>
  <w:footnote w:id="8">
    <w:p w:rsidR="00235365" w:rsidRPr="00235365" w:rsidRDefault="00235365">
      <w:pPr>
        <w:pStyle w:val="FootnoteText"/>
      </w:pPr>
      <w:r>
        <w:rPr>
          <w:rStyle w:val="FootnoteReference"/>
        </w:rPr>
        <w:footnoteRef/>
      </w:r>
      <w:r>
        <w:t xml:space="preserve"> </w:t>
      </w:r>
      <w:r w:rsidRPr="00D9057A">
        <w:rPr>
          <w:rFonts w:ascii="Times New Roman" w:hAnsi="Times New Roman" w:cs="Times New Roman"/>
        </w:rPr>
        <w:t>K. Wade, “The Legal Regulation of Surrogacy in the UK: A Children’s Rights Perspective” (2017) 29(2) </w:t>
      </w:r>
      <w:r w:rsidRPr="00D9057A">
        <w:rPr>
          <w:rFonts w:ascii="Times New Roman" w:hAnsi="Times New Roman" w:cs="Times New Roman"/>
          <w:i/>
          <w:iCs/>
        </w:rPr>
        <w:t>Child and Family Law Quarterly </w:t>
      </w:r>
      <w:r w:rsidRPr="00D9057A">
        <w:rPr>
          <w:rFonts w:ascii="Times New Roman" w:hAnsi="Times New Roman" w:cs="Times New Roman"/>
        </w:rPr>
        <w:t>113</w:t>
      </w:r>
      <w:r>
        <w:rPr>
          <w:rFonts w:ascii="Times New Roman" w:hAnsi="Times New Roman" w:cs="Times New Roman"/>
        </w:rPr>
        <w:t>.</w:t>
      </w:r>
    </w:p>
  </w:footnote>
  <w:footnote w:id="9">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Committee on the Rights of the Child, </w:t>
      </w:r>
      <w:r w:rsidRPr="00D9057A">
        <w:rPr>
          <w:rFonts w:ascii="Times New Roman" w:hAnsi="Times New Roman" w:cs="Times New Roman"/>
          <w:i/>
        </w:rPr>
        <w:t>General Comment No. 7 (2005): Implementing Child Rights in Early Childhood</w:t>
      </w:r>
      <w:r w:rsidRPr="00D9057A">
        <w:rPr>
          <w:rFonts w:ascii="Times New Roman" w:hAnsi="Times New Roman" w:cs="Times New Roman"/>
        </w:rPr>
        <w:t>,</w:t>
      </w:r>
      <w:r w:rsidRPr="00D9057A">
        <w:rPr>
          <w:rFonts w:ascii="Times New Roman" w:hAnsi="Times New Roman" w:cs="Times New Roman"/>
          <w:i/>
        </w:rPr>
        <w:t xml:space="preserve"> </w:t>
      </w:r>
      <w:r w:rsidRPr="00D9057A">
        <w:rPr>
          <w:rFonts w:ascii="Times New Roman" w:hAnsi="Times New Roman" w:cs="Times New Roman"/>
        </w:rPr>
        <w:t>(CRC/C/GC/7/Rev. 1), at para 6(e)</w:t>
      </w:r>
    </w:p>
  </w:footnote>
  <w:footnote w:id="10">
    <w:p w:rsidR="00C9200C" w:rsidRPr="00D9057A" w:rsidRDefault="00C9200C" w:rsidP="00C9200C">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Pr="00D9057A">
        <w:rPr>
          <w:rFonts w:ascii="Times New Roman" w:hAnsi="Times New Roman" w:cs="Times New Roman"/>
        </w:rPr>
        <w:t xml:space="preserve"> Ibid,</w:t>
      </w:r>
      <w:r w:rsidRPr="00D9057A">
        <w:rPr>
          <w:rFonts w:ascii="Times New Roman" w:hAnsi="Times New Roman" w:cs="Times New Roman"/>
          <w:i/>
        </w:rPr>
        <w:t xml:space="preserve"> </w:t>
      </w:r>
      <w:r w:rsidRPr="00D9057A">
        <w:rPr>
          <w:rFonts w:ascii="Times New Roman" w:hAnsi="Times New Roman" w:cs="Times New Roman"/>
        </w:rPr>
        <w:t xml:space="preserve">at para 8. </w:t>
      </w:r>
    </w:p>
  </w:footnote>
  <w:footnote w:id="11">
    <w:p w:rsidR="00F7067A" w:rsidRPr="00F7067A" w:rsidRDefault="00F7067A">
      <w:pPr>
        <w:pStyle w:val="FootnoteText"/>
        <w:rPr>
          <w:i/>
        </w:rPr>
      </w:pPr>
      <w:r>
        <w:rPr>
          <w:rStyle w:val="FootnoteReference"/>
        </w:rPr>
        <w:footnoteRef/>
      </w:r>
      <w:r>
        <w:t xml:space="preserve"> S. 54, </w:t>
      </w:r>
      <w:r>
        <w:rPr>
          <w:i/>
        </w:rPr>
        <w:t xml:space="preserve">Human Fertilisation and Embryology Act 2008. </w:t>
      </w:r>
    </w:p>
  </w:footnote>
  <w:footnote w:id="12">
    <w:p w:rsidR="00F7067A" w:rsidRPr="00F35419" w:rsidRDefault="00F7067A" w:rsidP="00F7067A">
      <w:pPr>
        <w:pStyle w:val="FootnoteText"/>
        <w:jc w:val="both"/>
        <w:rPr>
          <w:rFonts w:ascii="Times New Roman" w:hAnsi="Times New Roman" w:cs="Times New Roman"/>
          <w:bCs/>
          <w:i/>
          <w:color w:val="000000"/>
        </w:rPr>
      </w:pPr>
      <w:r w:rsidRPr="00F35419">
        <w:rPr>
          <w:rStyle w:val="FootnoteReference"/>
          <w:rFonts w:ascii="Times New Roman" w:hAnsi="Times New Roman" w:cs="Times New Roman"/>
        </w:rPr>
        <w:footnoteRef/>
      </w:r>
      <w:r w:rsidRPr="00F35419">
        <w:rPr>
          <w:rFonts w:ascii="Times New Roman" w:hAnsi="Times New Roman" w:cs="Times New Roman"/>
        </w:rPr>
        <w:t xml:space="preserve"> </w:t>
      </w:r>
      <w:r w:rsidRPr="00F35419">
        <w:rPr>
          <w:rStyle w:val="Emphasis"/>
          <w:rFonts w:ascii="Times New Roman" w:hAnsi="Times New Roman" w:cs="Times New Roman"/>
        </w:rPr>
        <w:t>Re J (Specific Issue Orders: Muslim Upbringing and Circumcision)</w:t>
      </w:r>
      <w:r w:rsidRPr="00F35419">
        <w:rPr>
          <w:rStyle w:val="apple-converted-space"/>
          <w:rFonts w:ascii="Times New Roman" w:hAnsi="Times New Roman" w:cs="Times New Roman"/>
        </w:rPr>
        <w:t> </w:t>
      </w:r>
      <w:r w:rsidRPr="00F35419">
        <w:rPr>
          <w:rFonts w:ascii="Times New Roman" w:hAnsi="Times New Roman" w:cs="Times New Roman"/>
        </w:rPr>
        <w:t xml:space="preserve">[1999] 2 FLR 678, and </w:t>
      </w:r>
      <w:r w:rsidRPr="00F35419">
        <w:rPr>
          <w:rStyle w:val="Emphasis"/>
          <w:rFonts w:ascii="Times New Roman" w:hAnsi="Times New Roman" w:cs="Times New Roman"/>
        </w:rPr>
        <w:t>Re S (Specific Issue Order: Religion: Circumcision)</w:t>
      </w:r>
      <w:r w:rsidRPr="00F35419">
        <w:rPr>
          <w:rStyle w:val="apple-converted-space"/>
          <w:rFonts w:ascii="Times New Roman" w:hAnsi="Times New Roman" w:cs="Times New Roman"/>
        </w:rPr>
        <w:t> </w:t>
      </w:r>
      <w:r w:rsidRPr="00F35419">
        <w:rPr>
          <w:rFonts w:ascii="Times New Roman" w:hAnsi="Times New Roman" w:cs="Times New Roman"/>
        </w:rPr>
        <w:t xml:space="preserve">[2004] EWHC 1282 (Fam), [2005] 1 FLR 236, in relation to disputes over vaccinations, see </w:t>
      </w:r>
      <w:r w:rsidRPr="00F35419">
        <w:rPr>
          <w:rFonts w:ascii="Times New Roman" w:hAnsi="Times New Roman" w:cs="Times New Roman"/>
          <w:i/>
        </w:rPr>
        <w:t xml:space="preserve">Re C (Welfare of the Child: Immunisation) </w:t>
      </w:r>
      <w:r w:rsidRPr="00F35419">
        <w:rPr>
          <w:rFonts w:ascii="Times New Roman" w:hAnsi="Times New Roman" w:cs="Times New Roman"/>
        </w:rPr>
        <w:t xml:space="preserve">[2003] 2 FLR 1054; [2003] 2 FLR 1095, CA, </w:t>
      </w:r>
      <w:r w:rsidRPr="00F35419">
        <w:rPr>
          <w:rFonts w:ascii="Times New Roman" w:hAnsi="Times New Roman" w:cs="Times New Roman"/>
          <w:i/>
        </w:rPr>
        <w:t>LCC v A, B, C and D [2011] EWHC 4033</w:t>
      </w:r>
      <w:r w:rsidRPr="00F35419">
        <w:rPr>
          <w:rFonts w:ascii="Times New Roman" w:hAnsi="Times New Roman" w:cs="Times New Roman"/>
        </w:rPr>
        <w:t xml:space="preserve"> and </w:t>
      </w:r>
      <w:r w:rsidRPr="00F35419">
        <w:rPr>
          <w:rFonts w:ascii="Times New Roman" w:hAnsi="Times New Roman" w:cs="Times New Roman"/>
          <w:bCs/>
          <w:i/>
        </w:rPr>
        <w:t>F v F [2013] EWHC 2683 (Fam).</w:t>
      </w:r>
    </w:p>
  </w:footnote>
  <w:footnote w:id="13">
    <w:p w:rsidR="00495CC6" w:rsidRPr="00D9057A" w:rsidRDefault="00495CC6" w:rsidP="00495CC6">
      <w:pPr>
        <w:pStyle w:val="FootnoteText"/>
        <w:jc w:val="both"/>
        <w:rPr>
          <w:rFonts w:ascii="Times New Roman" w:hAnsi="Times New Roman" w:cs="Times New Roman"/>
        </w:rPr>
      </w:pPr>
      <w:r w:rsidRPr="00D9057A">
        <w:rPr>
          <w:rStyle w:val="FootnoteReference"/>
          <w:rFonts w:ascii="Times New Roman" w:hAnsi="Times New Roman" w:cs="Times New Roman"/>
        </w:rPr>
        <w:footnoteRef/>
      </w:r>
      <w:r w:rsidR="00CC1975">
        <w:rPr>
          <w:rFonts w:ascii="Times New Roman" w:hAnsi="Times New Roman" w:cs="Times New Roman"/>
        </w:rPr>
        <w:t xml:space="preserve"> </w:t>
      </w:r>
      <w:r w:rsidR="00CC1975" w:rsidRPr="00D9057A">
        <w:rPr>
          <w:rFonts w:ascii="Times New Roman" w:hAnsi="Times New Roman" w:cs="Times New Roman"/>
        </w:rPr>
        <w:t xml:space="preserve">M. Brazier and S. Waxman, “Reforming the law Regulating Surrogacy: Extending the Family” (2016) 4(3) </w:t>
      </w:r>
      <w:r w:rsidR="00CC1975" w:rsidRPr="00D9057A">
        <w:rPr>
          <w:rFonts w:ascii="Times New Roman" w:hAnsi="Times New Roman" w:cs="Times New Roman"/>
          <w:i/>
        </w:rPr>
        <w:t xml:space="preserve">Journal of Medical Law and Ethics </w:t>
      </w:r>
      <w:r w:rsidR="00CC1975">
        <w:rPr>
          <w:rFonts w:ascii="Times New Roman" w:hAnsi="Times New Roman" w:cs="Times New Roman"/>
        </w:rPr>
        <w:t>159 at 175</w:t>
      </w:r>
      <w:r w:rsidRPr="00D9057A">
        <w:rPr>
          <w:rFonts w:ascii="Times New Roman" w:hAnsi="Times New Roman" w:cs="Times New Roman"/>
        </w:rPr>
        <w:t xml:space="preserve">. See also </w:t>
      </w:r>
      <w:r w:rsidR="00CC1975" w:rsidRPr="00D9057A">
        <w:rPr>
          <w:rFonts w:ascii="Times New Roman" w:hAnsi="Times New Roman" w:cs="Times New Roman"/>
        </w:rPr>
        <w:t xml:space="preserve">N Gamble, ‘A better framework for United Kingdom surrogacy?’ in S </w:t>
      </w:r>
      <w:proofErr w:type="spellStart"/>
      <w:r w:rsidR="00CC1975" w:rsidRPr="00D9057A">
        <w:rPr>
          <w:rFonts w:ascii="Times New Roman" w:hAnsi="Times New Roman" w:cs="Times New Roman"/>
        </w:rPr>
        <w:t>Golombok</w:t>
      </w:r>
      <w:proofErr w:type="spellEnd"/>
      <w:r w:rsidR="00CC1975" w:rsidRPr="00D9057A">
        <w:rPr>
          <w:rFonts w:ascii="Times New Roman" w:hAnsi="Times New Roman" w:cs="Times New Roman"/>
        </w:rPr>
        <w:t xml:space="preserve"> et al</w:t>
      </w:r>
      <w:r w:rsidR="00CC1975" w:rsidRPr="00D9057A">
        <w:rPr>
          <w:rFonts w:ascii="Times New Roman" w:hAnsi="Times New Roman" w:cs="Times New Roman"/>
          <w:i/>
        </w:rPr>
        <w:t xml:space="preserve"> </w:t>
      </w:r>
      <w:r w:rsidR="00CC1975" w:rsidRPr="00D9057A">
        <w:rPr>
          <w:rFonts w:ascii="Times New Roman" w:hAnsi="Times New Roman" w:cs="Times New Roman"/>
        </w:rPr>
        <w:t>(</w:t>
      </w:r>
      <w:proofErr w:type="spellStart"/>
      <w:r w:rsidR="00CC1975" w:rsidRPr="00D9057A">
        <w:rPr>
          <w:rFonts w:ascii="Times New Roman" w:hAnsi="Times New Roman" w:cs="Times New Roman"/>
        </w:rPr>
        <w:t>eds</w:t>
      </w:r>
      <w:proofErr w:type="spellEnd"/>
      <w:r w:rsidR="00CC1975" w:rsidRPr="00D9057A">
        <w:rPr>
          <w:rFonts w:ascii="Times New Roman" w:hAnsi="Times New Roman" w:cs="Times New Roman"/>
        </w:rPr>
        <w:t xml:space="preserve">), </w:t>
      </w:r>
      <w:r w:rsidR="00CC1975" w:rsidRPr="00D9057A">
        <w:rPr>
          <w:rFonts w:ascii="Times New Roman" w:hAnsi="Times New Roman" w:cs="Times New Roman"/>
          <w:i/>
        </w:rPr>
        <w:t xml:space="preserve">Regulating Reproductive Donation </w:t>
      </w:r>
      <w:r w:rsidR="00CC1975" w:rsidRPr="00D9057A">
        <w:rPr>
          <w:rFonts w:ascii="Times New Roman" w:hAnsi="Times New Roman" w:cs="Times New Roman"/>
        </w:rPr>
        <w:t>(Ca</w:t>
      </w:r>
      <w:r w:rsidR="00CC1975">
        <w:rPr>
          <w:rFonts w:ascii="Times New Roman" w:hAnsi="Times New Roman" w:cs="Times New Roman"/>
        </w:rPr>
        <w:t xml:space="preserve">mbridge University Press, 2016). See also Law Commission of England and Wales and the Scottish law Commission, </w:t>
      </w:r>
      <w:r w:rsidR="00CC1975">
        <w:rPr>
          <w:rFonts w:ascii="Times New Roman" w:hAnsi="Times New Roman" w:cs="Times New Roman"/>
          <w:i/>
        </w:rPr>
        <w:t xml:space="preserve">Building Families Through Surrogacy: A New Law </w:t>
      </w:r>
      <w:r w:rsidR="00CC1975">
        <w:rPr>
          <w:rFonts w:ascii="Times New Roman" w:hAnsi="Times New Roman" w:cs="Times New Roman"/>
        </w:rPr>
        <w:t xml:space="preserve">(Law Commission Consultation Paper 244/Scottish Law Commission Discussion Paper 167, 2019) at 162.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34F"/>
    <w:multiLevelType w:val="hybridMultilevel"/>
    <w:tmpl w:val="72E8C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020C"/>
    <w:multiLevelType w:val="hybridMultilevel"/>
    <w:tmpl w:val="8FB0C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BD2FF5"/>
    <w:multiLevelType w:val="hybridMultilevel"/>
    <w:tmpl w:val="1068B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FA3A78"/>
    <w:multiLevelType w:val="hybridMultilevel"/>
    <w:tmpl w:val="81C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378D"/>
    <w:multiLevelType w:val="hybridMultilevel"/>
    <w:tmpl w:val="9C1E9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672D8"/>
    <w:multiLevelType w:val="hybridMultilevel"/>
    <w:tmpl w:val="3252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1ED6"/>
    <w:multiLevelType w:val="hybridMultilevel"/>
    <w:tmpl w:val="F5624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E0CC8"/>
    <w:multiLevelType w:val="hybridMultilevel"/>
    <w:tmpl w:val="9732D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380F62"/>
    <w:multiLevelType w:val="hybridMultilevel"/>
    <w:tmpl w:val="CEF404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653F3C"/>
    <w:multiLevelType w:val="hybridMultilevel"/>
    <w:tmpl w:val="453C6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3A0AFA"/>
    <w:multiLevelType w:val="hybridMultilevel"/>
    <w:tmpl w:val="75B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3665E"/>
    <w:multiLevelType w:val="hybridMultilevel"/>
    <w:tmpl w:val="D41832DE"/>
    <w:lvl w:ilvl="0" w:tplc="E3A4AE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42209"/>
    <w:multiLevelType w:val="hybridMultilevel"/>
    <w:tmpl w:val="ED6E5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71063"/>
    <w:multiLevelType w:val="hybridMultilevel"/>
    <w:tmpl w:val="9F60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63300"/>
    <w:multiLevelType w:val="hybridMultilevel"/>
    <w:tmpl w:val="3E7A3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894B16"/>
    <w:multiLevelType w:val="hybridMultilevel"/>
    <w:tmpl w:val="8986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57F80"/>
    <w:multiLevelType w:val="hybridMultilevel"/>
    <w:tmpl w:val="E3EEBD8A"/>
    <w:lvl w:ilvl="0" w:tplc="D69A4EAA">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60696E"/>
    <w:multiLevelType w:val="hybridMultilevel"/>
    <w:tmpl w:val="215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669B9"/>
    <w:multiLevelType w:val="hybridMultilevel"/>
    <w:tmpl w:val="4E96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7"/>
  </w:num>
  <w:num w:numId="5">
    <w:abstractNumId w:val="16"/>
  </w:num>
  <w:num w:numId="6">
    <w:abstractNumId w:val="9"/>
  </w:num>
  <w:num w:numId="7">
    <w:abstractNumId w:val="13"/>
  </w:num>
  <w:num w:numId="8">
    <w:abstractNumId w:val="17"/>
  </w:num>
  <w:num w:numId="9">
    <w:abstractNumId w:val="10"/>
  </w:num>
  <w:num w:numId="10">
    <w:abstractNumId w:val="3"/>
  </w:num>
  <w:num w:numId="11">
    <w:abstractNumId w:val="6"/>
  </w:num>
  <w:num w:numId="12">
    <w:abstractNumId w:val="0"/>
  </w:num>
  <w:num w:numId="13">
    <w:abstractNumId w:val="5"/>
  </w:num>
  <w:num w:numId="14">
    <w:abstractNumId w:val="11"/>
  </w:num>
  <w:num w:numId="15">
    <w:abstractNumId w:val="4"/>
  </w:num>
  <w:num w:numId="16">
    <w:abstractNumId w:val="1"/>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5C"/>
    <w:rsid w:val="00235365"/>
    <w:rsid w:val="00294338"/>
    <w:rsid w:val="002C385C"/>
    <w:rsid w:val="00495CC6"/>
    <w:rsid w:val="00A260D5"/>
    <w:rsid w:val="00BA1930"/>
    <w:rsid w:val="00BE4F0D"/>
    <w:rsid w:val="00C42619"/>
    <w:rsid w:val="00C9200C"/>
    <w:rsid w:val="00CC1975"/>
    <w:rsid w:val="00EB0D44"/>
    <w:rsid w:val="00F70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B06B"/>
  <w15:chartTrackingRefBased/>
  <w15:docId w15:val="{A516755D-A258-44EC-ACEB-2C72CD7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7A"/>
    <w:pPr>
      <w:ind w:left="720"/>
      <w:contextualSpacing/>
    </w:pPr>
    <w:rPr>
      <w:lang w:val="en-GB"/>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F7067A"/>
    <w:pPr>
      <w:spacing w:after="0" w:line="240" w:lineRule="auto"/>
    </w:pPr>
    <w:rPr>
      <w:sz w:val="20"/>
      <w:szCs w:val="20"/>
      <w:lang w:val="en-IE"/>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7067A"/>
    <w:rPr>
      <w:sz w:val="20"/>
      <w:szCs w:val="20"/>
      <w:lang w:val="en-I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F7067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7067A"/>
    <w:pPr>
      <w:spacing w:line="240" w:lineRule="exact"/>
      <w:jc w:val="both"/>
    </w:pPr>
    <w:rPr>
      <w:vertAlign w:val="superscript"/>
    </w:rPr>
  </w:style>
  <w:style w:type="character" w:styleId="Emphasis">
    <w:name w:val="Emphasis"/>
    <w:basedOn w:val="DefaultParagraphFont"/>
    <w:uiPriority w:val="20"/>
    <w:qFormat/>
    <w:rsid w:val="00F7067A"/>
    <w:rPr>
      <w:i/>
      <w:iCs/>
    </w:rPr>
  </w:style>
  <w:style w:type="character" w:customStyle="1" w:styleId="apple-converted-space">
    <w:name w:val="apple-converted-space"/>
    <w:basedOn w:val="DefaultParagraphFont"/>
    <w:rsid w:val="00F7067A"/>
  </w:style>
  <w:style w:type="character" w:styleId="Hyperlink">
    <w:name w:val="Hyperlink"/>
    <w:basedOn w:val="DefaultParagraphFont"/>
    <w:uiPriority w:val="99"/>
    <w:semiHidden/>
    <w:unhideWhenUsed/>
    <w:rsid w:val="00BE4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540169/"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A1C15-DD34-411F-B8F9-AAC6DA892C81}">
  <ds:schemaRefs>
    <ds:schemaRef ds:uri="http://schemas.openxmlformats.org/officeDocument/2006/bibliography"/>
  </ds:schemaRefs>
</ds:datastoreItem>
</file>

<file path=customXml/itemProps2.xml><?xml version="1.0" encoding="utf-8"?>
<ds:datastoreItem xmlns:ds="http://schemas.openxmlformats.org/officeDocument/2006/customXml" ds:itemID="{D1E3044B-C237-46B2-8C01-27C8A0C185E9}"/>
</file>

<file path=customXml/itemProps3.xml><?xml version="1.0" encoding="utf-8"?>
<ds:datastoreItem xmlns:ds="http://schemas.openxmlformats.org/officeDocument/2006/customXml" ds:itemID="{4E8D3172-B9AC-4AB8-9627-68CBCC279C30}"/>
</file>

<file path=customXml/itemProps4.xml><?xml version="1.0" encoding="utf-8"?>
<ds:datastoreItem xmlns:ds="http://schemas.openxmlformats.org/officeDocument/2006/customXml" ds:itemID="{AAB202CA-1B79-42E4-86B4-9BFA84B80F9A}"/>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dc:creator>
  <cp:keywords/>
  <dc:description/>
  <cp:lastModifiedBy>Wade, K.</cp:lastModifiedBy>
  <cp:revision>2</cp:revision>
  <dcterms:created xsi:type="dcterms:W3CDTF">2019-07-09T14:44:00Z</dcterms:created>
  <dcterms:modified xsi:type="dcterms:W3CDTF">2019-07-09T14:44:00Z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