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AA" w:rsidRDefault="003B38AA" w:rsidP="003B3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Grupo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peritos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ONU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lembra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Brasil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de que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desenvolvimento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econômico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não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deve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ocorrer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custa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humanos</w:t>
      </w:r>
      <w:proofErr w:type="spellEnd"/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BRASÍLIA (16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2015)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final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encorajou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aumentar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esforços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alcançar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econômico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*.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precisa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encontrar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equilíbrio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melhor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entre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econômicos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busca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crescimento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econômico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Pavel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Sulyandziga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afastar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abordagem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impositiva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grandes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planejados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consultas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significativas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acrescentou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Senhor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Sulyandziga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semanas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rompimento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barragem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rejeitos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causou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desastres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história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com graves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descobriu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várias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barragens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rompimento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alterações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propostas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Código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Mineração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ameaçam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causar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ecológicos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defensores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enfrentam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ameaças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reuniram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-se com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representantes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do Estado e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envolvidas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grandes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construção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conversaram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relataram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violações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consideráveis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relacionadas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F2F2F"/>
          <w:sz w:val="24"/>
          <w:szCs w:val="24"/>
        </w:rPr>
        <w:t>a</w:t>
      </w:r>
      <w:proofErr w:type="gram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atividades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empresariais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além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ausência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consultas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conversaram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estatais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observaram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papel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Procuradores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Promotores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2F2F2F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defesa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"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assumiram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compromissos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políticos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relativos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o que é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encorajador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todavia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há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uma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lacuna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relativa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sua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incorporação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implementação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nível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operacional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longo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cadeias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fornecimento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advertiu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Dante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Pesce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o outro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membro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Grupo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visitar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Brasil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“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Precisamos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ver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uma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intensificação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na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implementação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Princípios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Orientadores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por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parte do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das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Estatais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das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geral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das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associações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industriais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disse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Senhor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Pesce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fazendo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referência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conjunto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princípios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endossados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pelo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Unidas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2011, que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reafirmam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obrigações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Estados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proteger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cidadãos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contra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violações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seus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por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parte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além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esclarecer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lastRenderedPageBreak/>
        <w:t>responsabilidades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corporativas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respeitar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bem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como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necessidade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garantir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que 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tenham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acesso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eficazes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reparação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ressaltaram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que 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promessa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desenvolver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um Plano Nacional de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sobre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representa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F2F2F"/>
          <w:sz w:val="24"/>
          <w:szCs w:val="24"/>
        </w:rPr>
        <w:t>a</w:t>
      </w:r>
      <w:proofErr w:type="gram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oportunidade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ideal para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melhorar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diálogo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articulação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várias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partes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interessadas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relativas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Brasília; São Paulo; Rio de Janeiro; Belo Horizonte e Mariana, no Estado de Minas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e Altamira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no Estado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(*) 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texto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completo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declaração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missão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encontra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disponível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http://www.ohchr.org/Documents/Issues/Business/WG_Visits/20151215_EOM_statement_Brazil_portuguese.pdf</w:t>
        </w:r>
      </w:hyperlink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FIM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 </w:t>
      </w:r>
      <w:proofErr w:type="spellStart"/>
      <w:r>
        <w:rPr>
          <w:rFonts w:ascii="Arial" w:hAnsi="Arial" w:cs="Arial"/>
          <w:i/>
          <w:iCs/>
          <w:color w:val="000000"/>
        </w:rPr>
        <w:t>Grupo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Empresas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Transnacionais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Outras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Empresas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estabelecido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junho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2011. O </w:t>
      </w:r>
      <w:proofErr w:type="spellStart"/>
      <w:r>
        <w:rPr>
          <w:rFonts w:ascii="Arial" w:hAnsi="Arial" w:cs="Arial"/>
          <w:i/>
          <w:iCs/>
          <w:color w:val="000000"/>
        </w:rPr>
        <w:t>Grupo</w:t>
      </w:r>
      <w:proofErr w:type="spellEnd"/>
      <w:r>
        <w:rPr>
          <w:rFonts w:ascii="Arial" w:hAnsi="Arial" w:cs="Arial"/>
          <w:i/>
          <w:iCs/>
          <w:color w:val="000000"/>
        </w:rPr>
        <w:t xml:space="preserve"> é </w:t>
      </w:r>
      <w:proofErr w:type="spellStart"/>
      <w:r>
        <w:rPr>
          <w:rFonts w:ascii="Arial" w:hAnsi="Arial" w:cs="Arial"/>
          <w:i/>
          <w:iCs/>
          <w:color w:val="000000"/>
        </w:rPr>
        <w:t>composto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cinco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integrantes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Senhor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Michael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Addo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Gana</w:t>
      </w:r>
      <w:proofErr w:type="spellEnd"/>
      <w:r>
        <w:rPr>
          <w:rFonts w:ascii="Arial" w:hAnsi="Arial" w:cs="Arial"/>
          <w:i/>
          <w:iCs/>
          <w:color w:val="000000"/>
        </w:rPr>
        <w:t xml:space="preserve">),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Senhora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Margaret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Jungk</w:t>
      </w:r>
      <w:proofErr w:type="spellEnd"/>
      <w:r>
        <w:rPr>
          <w:rFonts w:ascii="Arial" w:hAnsi="Arial" w:cs="Arial"/>
          <w:i/>
          <w:iCs/>
          <w:color w:val="000000"/>
        </w:rPr>
        <w:t xml:space="preserve"> (EUA),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Senhor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Dante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Pesce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(Chile),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Senhor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Pavel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Sulyandziga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Federação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</w:rPr>
        <w:t>Rússia</w:t>
      </w:r>
      <w:proofErr w:type="spellEnd"/>
      <w:r>
        <w:rPr>
          <w:rFonts w:ascii="Arial" w:hAnsi="Arial" w:cs="Arial"/>
          <w:i/>
          <w:iCs/>
          <w:color w:val="000000"/>
        </w:rPr>
        <w:t xml:space="preserve">).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Grupos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se </w:t>
      </w:r>
      <w:proofErr w:type="spellStart"/>
      <w:r>
        <w:rPr>
          <w:rFonts w:ascii="Arial" w:hAnsi="Arial" w:cs="Arial"/>
          <w:i/>
          <w:iCs/>
          <w:color w:val="000000"/>
        </w:rPr>
        <w:t>conhece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corpo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</w:t>
      </w:r>
      <w:proofErr w:type="spellStart"/>
      <w:r>
        <w:rPr>
          <w:rFonts w:ascii="Arial" w:hAnsi="Arial" w:cs="Arial"/>
          <w:i/>
          <w:iCs/>
          <w:color w:val="000000"/>
        </w:rPr>
        <w:t>nome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Grupos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estão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subordinados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à Assembleia </w:t>
      </w:r>
      <w:proofErr w:type="spellStart"/>
      <w:r>
        <w:rPr>
          <w:rFonts w:ascii="Arial" w:hAnsi="Arial" w:cs="Arial"/>
          <w:i/>
          <w:iCs/>
          <w:color w:val="000000"/>
        </w:rPr>
        <w:t>Geral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integrantes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peritos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nomeados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proofErr w:type="spellStart"/>
      <w:r>
        <w:rPr>
          <w:rFonts w:ascii="Arial" w:hAnsi="Arial" w:cs="Arial"/>
          <w:i/>
          <w:iCs/>
          <w:color w:val="000000"/>
        </w:rPr>
        <w:t>tratar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determinados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países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abrangendo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peritos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caráter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individual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um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suas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atividades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Para saber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Grupo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visite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http://www.ohchr.org/EN/Issues/Business/Pages/WGHRandtransnationalcorporationsandotherbusiness.aspx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Princípios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Orientadores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Empresas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encontram</w:t>
      </w:r>
      <w:proofErr w:type="spellEnd"/>
      <w:r>
        <w:rPr>
          <w:rFonts w:ascii="Arial" w:hAnsi="Arial" w:cs="Arial"/>
          <w:i/>
          <w:iCs/>
          <w:color w:val="000000"/>
        </w:rPr>
        <w:t xml:space="preserve">-se </w:t>
      </w:r>
      <w:proofErr w:type="spellStart"/>
      <w:r>
        <w:rPr>
          <w:rFonts w:ascii="Arial" w:hAnsi="Arial" w:cs="Arial"/>
          <w:i/>
          <w:iCs/>
          <w:color w:val="000000"/>
        </w:rPr>
        <w:t>disponíveis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http://www.ohchr.org/EN/Issues/Business/Pages/Tools.aspx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ONU, </w:t>
      </w:r>
      <w:proofErr w:type="spellStart"/>
      <w:r>
        <w:rPr>
          <w:rFonts w:ascii="Arial" w:hAnsi="Arial" w:cs="Arial"/>
          <w:i/>
          <w:iCs/>
          <w:color w:val="000000"/>
        </w:rPr>
        <w:t>página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/>
        </w:rPr>
        <w:t>Brasil</w:t>
      </w:r>
      <w:proofErr w:type="spellEnd"/>
      <w:r>
        <w:rPr>
          <w:rFonts w:ascii="Arial" w:hAnsi="Arial" w:cs="Arial"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http://www.ohchr.org/EN/countries/LACRegion/Pages/BRIndex.aspx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adicionais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consultas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mídia</w:t>
      </w:r>
      <w:proofErr w:type="spellEnd"/>
      <w:r>
        <w:rPr>
          <w:rFonts w:ascii="Arial" w:hAnsi="Arial" w:cs="Arial"/>
          <w:i/>
          <w:iCs/>
          <w:color w:val="000000"/>
        </w:rPr>
        <w:t xml:space="preserve">, favor </w:t>
      </w:r>
      <w:proofErr w:type="spellStart"/>
      <w:r>
        <w:rPr>
          <w:rFonts w:ascii="Arial" w:hAnsi="Arial" w:cs="Arial"/>
          <w:i/>
          <w:iCs/>
          <w:color w:val="000000"/>
        </w:rPr>
        <w:t>contatar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Senhor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Ulrik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Halsteen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9323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uhalsteen@ohchr.org</w:t>
        </w:r>
      </w:hyperlink>
      <w:r>
        <w:rPr>
          <w:rFonts w:ascii="Arial" w:hAnsi="Arial" w:cs="Arial"/>
          <w:i/>
          <w:iCs/>
          <w:color w:val="000000"/>
        </w:rPr>
        <w:t xml:space="preserve">) e </w:t>
      </w:r>
      <w:proofErr w:type="spellStart"/>
      <w:r>
        <w:rPr>
          <w:rFonts w:ascii="Arial" w:hAnsi="Arial" w:cs="Arial"/>
          <w:i/>
          <w:iCs/>
          <w:color w:val="000000"/>
        </w:rPr>
        <w:t>Senhora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Natasha Andrews (+41 22 917 9269 /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nandrews@ohchr.org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 xml:space="preserve">para  </w:t>
      </w:r>
      <w:proofErr w:type="gramEnd"/>
      <w:r>
        <w:rPr>
          <w:rFonts w:ascii="Arial" w:hAnsi="Arial" w:cs="Arial"/>
          <w:i/>
          <w:iCs/>
          <w:color w:val="000000"/>
        </w:rPr>
        <w:fldChar w:fldCharType="begin"/>
      </w:r>
      <w:r>
        <w:rPr>
          <w:rFonts w:ascii="Arial" w:hAnsi="Arial" w:cs="Arial"/>
          <w:i/>
          <w:iCs/>
          <w:color w:val="000000"/>
        </w:rPr>
        <w:instrText xml:space="preserve"> HYPERLINK "mailto:wg-business@ohchr.org" </w:instrText>
      </w:r>
      <w:r>
        <w:rPr>
          <w:rFonts w:ascii="Arial" w:hAnsi="Arial" w:cs="Arial"/>
          <w:i/>
          <w:iCs/>
          <w:color w:val="000000"/>
        </w:rPr>
      </w:r>
      <w:r>
        <w:rPr>
          <w:rFonts w:ascii="Arial" w:hAnsi="Arial" w:cs="Arial"/>
          <w:i/>
          <w:iCs/>
          <w:color w:val="000000"/>
        </w:rPr>
        <w:fldChar w:fldCharType="separate"/>
      </w:r>
      <w:r>
        <w:rPr>
          <w:rFonts w:ascii="Arial" w:hAnsi="Arial" w:cs="Arial"/>
          <w:i/>
          <w:iCs/>
          <w:color w:val="0000FF"/>
          <w:u w:val="single"/>
        </w:rPr>
        <w:t>wg-business@ohchr.org</w:t>
      </w:r>
      <w:r>
        <w:rPr>
          <w:rFonts w:ascii="Arial" w:hAnsi="Arial" w:cs="Arial"/>
          <w:i/>
          <w:iCs/>
          <w:color w:val="000000"/>
        </w:rPr>
        <w:fldChar w:fldCharType="end"/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consultas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favor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contatar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UN Human Rights – Media Unit (+ 41 22 917 9383 /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favor,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siga-nos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2" w:history="1">
        <w:proofErr w:type="spellStart"/>
        <w:r>
          <w:rPr>
            <w:rFonts w:ascii="Arial" w:hAnsi="Arial" w:cs="Arial"/>
            <w:color w:val="0000FF"/>
            <w:sz w:val="18"/>
            <w:szCs w:val="18"/>
            <w:u w:val="single"/>
          </w:rPr>
          <w:t>UNrightswire</w:t>
        </w:r>
        <w:proofErr w:type="spellEnd"/>
      </w:hyperlink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3" w:history="1">
        <w:proofErr w:type="spellStart"/>
        <w:r>
          <w:rPr>
            <w:rFonts w:ascii="Arial" w:hAnsi="Arial" w:cs="Arial"/>
            <w:color w:val="0000FF"/>
            <w:sz w:val="18"/>
            <w:szCs w:val="18"/>
            <w:u w:val="single"/>
          </w:rPr>
          <w:t>unitednationshumanrights</w:t>
        </w:r>
        <w:proofErr w:type="spellEnd"/>
      </w:hyperlink>
    </w:p>
    <w:p w:rsidR="003B38AA" w:rsidRDefault="003B38AA" w:rsidP="003B3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4" w:history="1">
        <w:proofErr w:type="spellStart"/>
        <w:r>
          <w:rPr>
            <w:rFonts w:ascii="Arial" w:hAnsi="Arial" w:cs="Arial"/>
            <w:color w:val="0000FF"/>
            <w:sz w:val="18"/>
            <w:szCs w:val="18"/>
            <w:u w:val="single"/>
          </w:rPr>
          <w:t>unitednationshumanrights</w:t>
        </w:r>
        <w:proofErr w:type="spellEnd"/>
      </w:hyperlink>
    </w:p>
    <w:p w:rsidR="00862DF4" w:rsidRDefault="003B38AA" w:rsidP="003B38AA"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proofErr w:type="spellStart"/>
        <w:r>
          <w:rPr>
            <w:rFonts w:ascii="Arial" w:hAnsi="Arial" w:cs="Arial"/>
            <w:color w:val="0000FF"/>
            <w:sz w:val="18"/>
            <w:szCs w:val="18"/>
            <w:u w:val="single"/>
          </w:rPr>
          <w:t>unohchr</w:t>
        </w:r>
        <w:proofErr w:type="spellEnd"/>
      </w:hyperlink>
    </w:p>
    <w:sectPr w:rsidR="0086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A"/>
    <w:rsid w:val="00176F79"/>
    <w:rsid w:val="00355BD0"/>
    <w:rsid w:val="003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countries/LACRegion/Pages/BRIndex.aspx" TargetMode="External"/><Relationship Id="rId13" Type="http://schemas.openxmlformats.org/officeDocument/2006/relationships/hyperlink" Target="https://iconnect.ohchr.org/,DanaInfo=www.facebook.com+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Issues/Business/Pages/Tools.aspx" TargetMode="External"/><Relationship Id="rId12" Type="http://schemas.openxmlformats.org/officeDocument/2006/relationships/hyperlink" Target="https://iconnect.ohchr.org/,DanaInfo=twitter.com+UNrightswi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Business/Pages/WGHRandtransnationalcorporationsandotherbusiness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Documents/Issues/Business/WG_Visits/20151215_EOM_statement_Brazil_portuguese.pdf" TargetMode="External"/><Relationship Id="rId15" Type="http://schemas.openxmlformats.org/officeDocument/2006/relationships/hyperlink" Target="https://iconnect.ohchr.org/user/,DanaInfo=www.youtube.com,SSL+UNOHCHR" TargetMode="External"/><Relationship Id="rId10" Type="http://schemas.openxmlformats.org/officeDocument/2006/relationships/hyperlink" Target="mailto:nandrews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uhalsteen@ohchr.org" TargetMode="External"/><Relationship Id="rId14" Type="http://schemas.openxmlformats.org/officeDocument/2006/relationships/hyperlink" Target="https://iconnect.ohchr.org/,DanaInfo=www.facebook.com+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5383E-4FCD-4582-A595-6722FB93780F}"/>
</file>

<file path=customXml/itemProps2.xml><?xml version="1.0" encoding="utf-8"?>
<ds:datastoreItem xmlns:ds="http://schemas.openxmlformats.org/officeDocument/2006/customXml" ds:itemID="{C07F23A3-FA10-45D4-BDCB-DC0D8E870567}"/>
</file>

<file path=customXml/itemProps3.xml><?xml version="1.0" encoding="utf-8"?>
<ds:datastoreItem xmlns:ds="http://schemas.openxmlformats.org/officeDocument/2006/customXml" ds:itemID="{66C4EFC6-1241-4FD0-BA0F-19D26269B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on Business and Human Rights visit to Brazil (Portuguese)</dc:title>
  <dc:creator>Miriam</dc:creator>
  <cp:lastModifiedBy>Miriam</cp:lastModifiedBy>
  <cp:revision>1</cp:revision>
  <dcterms:created xsi:type="dcterms:W3CDTF">2015-12-16T15:45:00Z</dcterms:created>
  <dcterms:modified xsi:type="dcterms:W3CDTF">2015-12-16T15:48:00Z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3265100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