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10.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D4D76" w14:textId="492B595E" w:rsidR="00B0233B" w:rsidRPr="00CB2C31" w:rsidRDefault="004D30E4" w:rsidP="00623C41">
      <w:pPr>
        <w:pStyle w:val="DoublePara"/>
        <w:jc w:val="center"/>
        <w:rPr>
          <w:lang w:val="en-US"/>
        </w:rPr>
      </w:pPr>
      <w:bookmarkStart w:id="0" w:name="_Toc3"/>
      <w:bookmarkStart w:id="1" w:name="_GoBack"/>
      <w:bookmarkEnd w:id="1"/>
      <w:r>
        <w:rPr>
          <w:noProof/>
          <w:lang w:eastAsia="en-GB" w:bidi="ar-SA"/>
        </w:rPr>
        <w:drawing>
          <wp:inline distT="0" distB="0" distL="0" distR="0" wp14:anchorId="1F1047C3" wp14:editId="31934B7A">
            <wp:extent cx="4041214" cy="1300065"/>
            <wp:effectExtent l="0" t="0" r="0" b="0"/>
            <wp:docPr id="3" name="Picture 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menAtTheTable_LogoGradient cop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7952" cy="1315101"/>
                    </a:xfrm>
                    <a:prstGeom prst="rect">
                      <a:avLst/>
                    </a:prstGeom>
                  </pic:spPr>
                </pic:pic>
              </a:graphicData>
            </a:graphic>
          </wp:inline>
        </w:drawing>
      </w:r>
    </w:p>
    <w:p w14:paraId="599188C0" w14:textId="77777777" w:rsidR="00251A1C" w:rsidRPr="00CB2C31" w:rsidRDefault="00251A1C" w:rsidP="00623C41">
      <w:pPr>
        <w:jc w:val="center"/>
        <w:rPr>
          <w:lang w:val="en-US"/>
        </w:rPr>
      </w:pPr>
    </w:p>
    <w:p w14:paraId="3F380245" w14:textId="3DFA95EF" w:rsidR="00251A1C" w:rsidRPr="00CB2C31" w:rsidRDefault="00251A1C" w:rsidP="00623C41">
      <w:pPr>
        <w:jc w:val="center"/>
        <w:rPr>
          <w:lang w:val="en-US"/>
        </w:rPr>
      </w:pPr>
    </w:p>
    <w:p w14:paraId="62BBE6B5" w14:textId="092B2A74" w:rsidR="00251A1C" w:rsidRPr="00A555A0" w:rsidRDefault="004D30E4" w:rsidP="004D30E4">
      <w:pPr>
        <w:rPr>
          <w:sz w:val="20"/>
          <w:szCs w:val="20"/>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555A0">
        <w:rPr>
          <w:sz w:val="20"/>
          <w:szCs w:val="20"/>
          <w:lang w:val="en-US"/>
        </w:rPr>
        <w:t>Women at the Table</w:t>
      </w:r>
    </w:p>
    <w:p w14:paraId="58085A03" w14:textId="0D025D79" w:rsidR="004D30E4" w:rsidRPr="00A555A0" w:rsidRDefault="004D30E4" w:rsidP="004D30E4">
      <w:pPr>
        <w:rPr>
          <w:sz w:val="20"/>
          <w:szCs w:val="20"/>
          <w:lang w:val="en-US"/>
        </w:rPr>
      </w:pP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t>Ch. Eugène-Rigot, 2E</w:t>
      </w:r>
    </w:p>
    <w:p w14:paraId="2EC8B044" w14:textId="32A57D6F" w:rsidR="004D30E4" w:rsidRPr="00A555A0" w:rsidRDefault="004D30E4" w:rsidP="004D30E4">
      <w:pPr>
        <w:rPr>
          <w:sz w:val="20"/>
          <w:szCs w:val="20"/>
          <w:lang w:val="en-US"/>
        </w:rPr>
      </w:pP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t>Maison de la Paix</w:t>
      </w:r>
    </w:p>
    <w:p w14:paraId="11C9D07C" w14:textId="1D8369D1" w:rsidR="004D30E4" w:rsidRPr="00A555A0" w:rsidRDefault="004D30E4" w:rsidP="004D30E4">
      <w:pPr>
        <w:rPr>
          <w:sz w:val="20"/>
          <w:szCs w:val="20"/>
          <w:lang w:val="en-US"/>
        </w:rPr>
      </w:pP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r>
      <w:r w:rsidRPr="00A555A0">
        <w:rPr>
          <w:sz w:val="20"/>
          <w:szCs w:val="20"/>
          <w:lang w:val="en-US"/>
        </w:rPr>
        <w:tab/>
        <w:t>Geneva, Switzerland 1202</w:t>
      </w:r>
    </w:p>
    <w:p w14:paraId="5D8E9F32" w14:textId="77777777" w:rsidR="00251A1C" w:rsidRPr="00CB2C31" w:rsidRDefault="00251A1C" w:rsidP="00623C41">
      <w:pPr>
        <w:jc w:val="center"/>
        <w:rPr>
          <w:lang w:val="en-US"/>
        </w:rPr>
      </w:pPr>
    </w:p>
    <w:p w14:paraId="426ED105" w14:textId="77777777" w:rsidR="000A334C" w:rsidRPr="000A334C" w:rsidRDefault="000A334C" w:rsidP="000A334C">
      <w:pPr>
        <w:rPr>
          <w:lang w:val="en-US"/>
        </w:rPr>
      </w:pPr>
      <w:r w:rsidRPr="000A334C">
        <w:rPr>
          <w:lang w:val="en-US"/>
        </w:rPr>
        <w:t>Excellencies,</w:t>
      </w:r>
    </w:p>
    <w:p w14:paraId="5B8ED30A" w14:textId="5BF8AF57" w:rsidR="000A334C" w:rsidRPr="00C9468C" w:rsidRDefault="000A334C" w:rsidP="000A334C">
      <w:pPr>
        <w:pStyle w:val="CoverCenterLarge"/>
        <w:jc w:val="left"/>
        <w:rPr>
          <w:rFonts w:cstheme="minorHAnsi"/>
          <w:b w:val="0"/>
          <w:bCs w:val="0"/>
          <w:sz w:val="24"/>
          <w:szCs w:val="24"/>
          <w:lang w:val="en-US"/>
        </w:rPr>
      </w:pPr>
      <w:r w:rsidRPr="00C56BC3">
        <w:rPr>
          <w:rFonts w:cstheme="minorHAnsi"/>
          <w:b w:val="0"/>
          <w:bCs w:val="0"/>
          <w:sz w:val="24"/>
          <w:szCs w:val="24"/>
          <w:lang w:val="en-US"/>
        </w:rPr>
        <w:t xml:space="preserve">We have the honour to submit Women at the Table’s report on </w:t>
      </w:r>
      <w:r w:rsidRPr="00CC2821">
        <w:rPr>
          <w:rFonts w:cstheme="minorHAnsi"/>
          <w:sz w:val="24"/>
          <w:szCs w:val="24"/>
          <w:lang w:val="en-US"/>
        </w:rPr>
        <w:t>BEST PRACTICES FOR ELECTION OF MEMBERS TO INTERNATIONAL &amp; REGIONAL TREATY BODIES.</w:t>
      </w:r>
      <w:r w:rsidRPr="00C56BC3">
        <w:rPr>
          <w:rFonts w:cstheme="minorHAnsi"/>
          <w:b w:val="0"/>
          <w:bCs w:val="0"/>
          <w:sz w:val="24"/>
          <w:szCs w:val="24"/>
          <w:lang w:val="en-US"/>
        </w:rPr>
        <w:t xml:space="preserve"> </w:t>
      </w:r>
    </w:p>
    <w:p w14:paraId="11430A24" w14:textId="77777777" w:rsidR="000A334C" w:rsidRPr="00EB79F9" w:rsidRDefault="000A334C" w:rsidP="000A334C">
      <w:pPr>
        <w:rPr>
          <w:rFonts w:eastAsia="Avenir" w:cstheme="minorHAnsi"/>
          <w:szCs w:val="22"/>
        </w:rPr>
      </w:pPr>
      <w:r w:rsidRPr="00EB79F9">
        <w:rPr>
          <w:rFonts w:eastAsia="Avenir" w:cstheme="minorHAnsi"/>
          <w:szCs w:val="22"/>
        </w:rPr>
        <w:t xml:space="preserve">Gender equality is vital to the realization of human rights for all, and without it we have no hope of achieving the 17 Sustainable Development Goals. </w:t>
      </w:r>
      <w:r>
        <w:rPr>
          <w:rFonts w:eastAsia="Avenir" w:cstheme="minorHAnsi"/>
          <w:szCs w:val="22"/>
        </w:rPr>
        <w:t xml:space="preserve"> </w:t>
      </w:r>
      <w:r w:rsidRPr="00EB79F9">
        <w:rPr>
          <w:rFonts w:eastAsia="Avenir" w:cstheme="minorHAnsi"/>
          <w:szCs w:val="22"/>
        </w:rPr>
        <w:t xml:space="preserve">No country has achieved gender equality, and </w:t>
      </w:r>
      <w:r>
        <w:rPr>
          <w:rFonts w:eastAsia="Avenir" w:cstheme="minorHAnsi"/>
          <w:szCs w:val="22"/>
        </w:rPr>
        <w:t xml:space="preserve">the latest Global Gender Gap Report published by the World Economic Forum reported that </w:t>
      </w:r>
      <w:r w:rsidRPr="00EB79F9">
        <w:rPr>
          <w:rFonts w:eastAsia="Avenir" w:cstheme="minorHAnsi"/>
          <w:szCs w:val="22"/>
        </w:rPr>
        <w:t xml:space="preserve">at the current rate of progress it will take another 108 years to reach. </w:t>
      </w:r>
      <w:r>
        <w:rPr>
          <w:rFonts w:eastAsia="Avenir" w:cstheme="minorHAnsi"/>
          <w:szCs w:val="22"/>
        </w:rPr>
        <w:t xml:space="preserve"> </w:t>
      </w:r>
      <w:r w:rsidRPr="00EB79F9">
        <w:rPr>
          <w:rFonts w:eastAsia="Avenir" w:cstheme="minorHAnsi"/>
          <w:szCs w:val="22"/>
        </w:rPr>
        <w:t xml:space="preserve">It is clear that gender equality remains a fundamental challenge to be solved in this century. </w:t>
      </w:r>
    </w:p>
    <w:p w14:paraId="53E8C2F2" w14:textId="77777777" w:rsidR="000A334C" w:rsidRPr="00EB79F9" w:rsidRDefault="000A334C" w:rsidP="000A334C">
      <w:pPr>
        <w:rPr>
          <w:rFonts w:eastAsia="Avenir" w:cstheme="minorHAnsi"/>
          <w:szCs w:val="22"/>
        </w:rPr>
      </w:pPr>
    </w:p>
    <w:p w14:paraId="238B9CC6" w14:textId="77777777" w:rsidR="000A334C" w:rsidRPr="00EB79F9" w:rsidRDefault="000A334C" w:rsidP="000A334C">
      <w:pPr>
        <w:rPr>
          <w:rFonts w:eastAsia="Avenir" w:cstheme="minorHAnsi"/>
          <w:szCs w:val="22"/>
        </w:rPr>
      </w:pPr>
      <w:r w:rsidRPr="00EB79F9">
        <w:rPr>
          <w:rFonts w:eastAsia="Avenir" w:cstheme="minorHAnsi"/>
          <w:szCs w:val="22"/>
        </w:rPr>
        <w:t xml:space="preserve">UN treaty bodies are at the heart of the international human rights framework and gender equality is grounded within this framework and international commitments. </w:t>
      </w:r>
      <w:r>
        <w:rPr>
          <w:rFonts w:eastAsia="Avenir" w:cstheme="minorHAnsi"/>
          <w:szCs w:val="22"/>
        </w:rPr>
        <w:t xml:space="preserve"> </w:t>
      </w:r>
      <w:r w:rsidRPr="00EB79F9">
        <w:rPr>
          <w:rFonts w:eastAsia="Avenir" w:cstheme="minorHAnsi"/>
          <w:szCs w:val="22"/>
        </w:rPr>
        <w:t>However, the numbers of women participating in UN treaty bodies are abysmal.</w:t>
      </w:r>
    </w:p>
    <w:p w14:paraId="3E0A301F" w14:textId="77777777" w:rsidR="000A334C" w:rsidRPr="00EB79F9" w:rsidRDefault="000A334C" w:rsidP="000A334C">
      <w:pPr>
        <w:rPr>
          <w:rFonts w:eastAsia="Avenir" w:cstheme="minorHAnsi"/>
          <w:szCs w:val="22"/>
        </w:rPr>
      </w:pPr>
    </w:p>
    <w:p w14:paraId="27E4E716" w14:textId="77777777" w:rsidR="000A334C" w:rsidRPr="00EB79F9" w:rsidRDefault="000A334C" w:rsidP="000A334C">
      <w:pPr>
        <w:rPr>
          <w:rFonts w:eastAsia="Avenir" w:cstheme="minorHAnsi"/>
          <w:szCs w:val="22"/>
        </w:rPr>
      </w:pPr>
      <w:r w:rsidRPr="00EB79F9">
        <w:rPr>
          <w:rFonts w:eastAsia="Avenir" w:cstheme="minorHAnsi"/>
          <w:szCs w:val="22"/>
        </w:rPr>
        <w:t>Simple structural changes that guarantee women take their equal place at decision</w:t>
      </w:r>
      <w:r>
        <w:rPr>
          <w:rFonts w:eastAsia="Avenir" w:cstheme="minorHAnsi"/>
          <w:szCs w:val="22"/>
        </w:rPr>
        <w:t>-</w:t>
      </w:r>
      <w:r w:rsidRPr="00EB79F9">
        <w:rPr>
          <w:rFonts w:eastAsia="Avenir" w:cstheme="minorHAnsi"/>
          <w:szCs w:val="22"/>
        </w:rPr>
        <w:t xml:space="preserve">making tables are needed in addition to the innovative thinking necessary to drive gender equality.  </w:t>
      </w:r>
    </w:p>
    <w:p w14:paraId="1381F7F5" w14:textId="77777777" w:rsidR="000A334C" w:rsidRPr="00EB79F9" w:rsidRDefault="000A334C" w:rsidP="000A334C">
      <w:pPr>
        <w:rPr>
          <w:rFonts w:eastAsia="Avenir" w:cstheme="minorHAnsi"/>
          <w:szCs w:val="22"/>
        </w:rPr>
      </w:pPr>
    </w:p>
    <w:p w14:paraId="7C1237FC" w14:textId="77777777" w:rsidR="000A334C" w:rsidRPr="00EB79F9" w:rsidRDefault="000A334C" w:rsidP="000A334C">
      <w:pPr>
        <w:rPr>
          <w:rFonts w:eastAsia="Avenir" w:cstheme="minorHAnsi"/>
          <w:szCs w:val="22"/>
        </w:rPr>
      </w:pPr>
      <w:r w:rsidRPr="00EB79F9">
        <w:rPr>
          <w:rFonts w:eastAsia="Avenir" w:cstheme="minorHAnsi"/>
          <w:szCs w:val="22"/>
        </w:rPr>
        <w:t xml:space="preserve">In 2020, a UN Treaty Body Review process is scheduled, taking place in the same year as we commemorate the 25th anniversary of the Beijing Declaration and Platform for Action </w:t>
      </w:r>
      <w:r>
        <w:rPr>
          <w:rFonts w:eastAsia="Avenir" w:cstheme="minorHAnsi"/>
          <w:szCs w:val="22"/>
        </w:rPr>
        <w:t>–</w:t>
      </w:r>
      <w:r w:rsidRPr="00EB79F9">
        <w:rPr>
          <w:rFonts w:eastAsia="Avenir" w:cstheme="minorHAnsi"/>
          <w:szCs w:val="22"/>
        </w:rPr>
        <w:t xml:space="preserve"> the internationally agreed roadmap to gender equality. </w:t>
      </w:r>
      <w:r>
        <w:rPr>
          <w:rFonts w:eastAsia="Avenir" w:cstheme="minorHAnsi"/>
          <w:szCs w:val="22"/>
        </w:rPr>
        <w:t xml:space="preserve"> </w:t>
      </w:r>
      <w:r w:rsidRPr="00EB79F9">
        <w:rPr>
          <w:rFonts w:eastAsia="Avenir" w:cstheme="minorHAnsi"/>
          <w:szCs w:val="22"/>
        </w:rPr>
        <w:t xml:space="preserve">This confluence provides a unique opportunity for the international community and institutions to review and finally close gender parity gaps within treaty bodies through simple, lasting institutional change. </w:t>
      </w:r>
      <w:r>
        <w:rPr>
          <w:rFonts w:eastAsia="Avenir" w:cstheme="minorHAnsi"/>
          <w:szCs w:val="22"/>
        </w:rPr>
        <w:t xml:space="preserve"> </w:t>
      </w:r>
      <w:r w:rsidRPr="00EB79F9">
        <w:rPr>
          <w:rFonts w:eastAsia="Avenir" w:cstheme="minorHAnsi"/>
          <w:szCs w:val="22"/>
        </w:rPr>
        <w:t>The time to act is now.</w:t>
      </w:r>
    </w:p>
    <w:p w14:paraId="61FAB169" w14:textId="77777777" w:rsidR="000A334C" w:rsidRPr="00EB79F9" w:rsidRDefault="000A334C" w:rsidP="000A334C">
      <w:pPr>
        <w:rPr>
          <w:rFonts w:eastAsia="Avenir" w:cstheme="minorHAnsi"/>
          <w:szCs w:val="22"/>
        </w:rPr>
      </w:pPr>
    </w:p>
    <w:p w14:paraId="6974F484" w14:textId="2CFFF69B" w:rsidR="000A334C" w:rsidRPr="00EB79F9" w:rsidRDefault="000A334C" w:rsidP="000A334C">
      <w:pPr>
        <w:rPr>
          <w:rFonts w:eastAsia="Avenir" w:cstheme="minorHAnsi"/>
          <w:szCs w:val="22"/>
        </w:rPr>
      </w:pPr>
      <w:r w:rsidRPr="00EB79F9">
        <w:rPr>
          <w:rFonts w:eastAsia="Avenir" w:cstheme="minorHAnsi"/>
          <w:szCs w:val="22"/>
        </w:rPr>
        <w:t>Women</w:t>
      </w:r>
      <w:r w:rsidR="00A555A0">
        <w:rPr>
          <w:rFonts w:eastAsia="Avenir" w:cstheme="minorHAnsi"/>
          <w:szCs w:val="22"/>
        </w:rPr>
        <w:t xml:space="preserve"> at </w:t>
      </w:r>
      <w:r w:rsidRPr="00EB79F9">
        <w:rPr>
          <w:rFonts w:eastAsia="Avenir" w:cstheme="minorHAnsi"/>
          <w:szCs w:val="22"/>
        </w:rPr>
        <w:t>the</w:t>
      </w:r>
      <w:r w:rsidR="00A555A0">
        <w:rPr>
          <w:rFonts w:eastAsia="Avenir" w:cstheme="minorHAnsi"/>
          <w:szCs w:val="22"/>
        </w:rPr>
        <w:t xml:space="preserve"> </w:t>
      </w:r>
      <w:r w:rsidRPr="00EB79F9">
        <w:rPr>
          <w:rFonts w:eastAsia="Avenir" w:cstheme="minorHAnsi"/>
          <w:szCs w:val="22"/>
        </w:rPr>
        <w:t>Table, a global CSO based in Geneva and the first organi</w:t>
      </w:r>
      <w:r>
        <w:rPr>
          <w:rFonts w:eastAsia="Avenir" w:cstheme="minorHAnsi"/>
          <w:szCs w:val="22"/>
        </w:rPr>
        <w:t>z</w:t>
      </w:r>
      <w:r w:rsidRPr="00EB79F9">
        <w:rPr>
          <w:rFonts w:eastAsia="Avenir" w:cstheme="minorHAnsi"/>
          <w:szCs w:val="22"/>
        </w:rPr>
        <w:t>ation to focus on systems change by helping feminists gain influence in sectors that have key structural impact: democracy and governance, economy, technology and sustainability initiated this r</w:t>
      </w:r>
      <w:r>
        <w:rPr>
          <w:rFonts w:eastAsia="Avenir" w:cstheme="minorHAnsi"/>
          <w:szCs w:val="22"/>
        </w:rPr>
        <w:t xml:space="preserve">eport </w:t>
      </w:r>
      <w:r w:rsidRPr="00EB79F9">
        <w:rPr>
          <w:rFonts w:eastAsia="Avenir" w:cstheme="minorHAnsi"/>
          <w:szCs w:val="22"/>
        </w:rPr>
        <w:t xml:space="preserve">in collaboration with </w:t>
      </w:r>
      <w:r>
        <w:rPr>
          <w:rFonts w:eastAsia="Avenir" w:cstheme="minorHAnsi"/>
          <w:szCs w:val="22"/>
        </w:rPr>
        <w:t xml:space="preserve">Elizabeth Robertson, Kathlene Burke and James Anderson from Skadden, Arps, Slate, Meagher &amp; Flom (UK) LLP. </w:t>
      </w:r>
      <w:r w:rsidRPr="00EB79F9">
        <w:rPr>
          <w:rFonts w:eastAsia="Avenir" w:cstheme="minorHAnsi"/>
          <w:szCs w:val="22"/>
        </w:rPr>
        <w:t xml:space="preserve"> We felt a comprehensive report on what exists, what works, and where, why and how it works to drive gender equality would be useful.</w:t>
      </w:r>
    </w:p>
    <w:p w14:paraId="46D550F5" w14:textId="77777777" w:rsidR="000A334C" w:rsidRPr="00EB79F9" w:rsidRDefault="000A334C" w:rsidP="000A334C">
      <w:pPr>
        <w:rPr>
          <w:rFonts w:eastAsia="Avenir" w:cstheme="minorHAnsi"/>
          <w:szCs w:val="22"/>
        </w:rPr>
      </w:pPr>
    </w:p>
    <w:p w14:paraId="008F9B27" w14:textId="77777777" w:rsidR="000A334C" w:rsidRPr="00EB79F9" w:rsidRDefault="000A334C" w:rsidP="000A334C">
      <w:pPr>
        <w:rPr>
          <w:rFonts w:eastAsia="Avenir" w:cstheme="minorHAnsi"/>
          <w:szCs w:val="22"/>
        </w:rPr>
      </w:pPr>
      <w:r>
        <w:rPr>
          <w:rFonts w:eastAsia="Avenir" w:cstheme="minorHAnsi"/>
          <w:szCs w:val="22"/>
        </w:rPr>
        <w:t>The r</w:t>
      </w:r>
      <w:r w:rsidRPr="00EB79F9">
        <w:rPr>
          <w:rFonts w:eastAsia="Avenir" w:cstheme="minorHAnsi"/>
          <w:szCs w:val="22"/>
        </w:rPr>
        <w:t>eport analyzes country policies, regional treaty bodies, and private sector corporate governance to map how gender equality could be achieved and structurally improved within UN Treaty Bodies.</w:t>
      </w:r>
      <w:r>
        <w:rPr>
          <w:rFonts w:eastAsia="Avenir" w:cstheme="minorHAnsi"/>
          <w:szCs w:val="22"/>
        </w:rPr>
        <w:t xml:space="preserve"> </w:t>
      </w:r>
      <w:r w:rsidRPr="00EB79F9">
        <w:rPr>
          <w:rFonts w:eastAsia="Avenir" w:cstheme="minorHAnsi"/>
          <w:szCs w:val="22"/>
        </w:rPr>
        <w:t xml:space="preserve"> The recommendations are feasible and functional, and have the benefit of being road tested either by international organizations, regional treaty bodies, countries or the private sector, with each recommendation having had lasting positive institutional impact.   </w:t>
      </w:r>
    </w:p>
    <w:p w14:paraId="203FD9F9" w14:textId="77777777" w:rsidR="000A334C" w:rsidRPr="00EB79F9" w:rsidRDefault="000A334C" w:rsidP="000A334C">
      <w:pPr>
        <w:rPr>
          <w:rFonts w:eastAsia="Avenir" w:cstheme="minorHAnsi"/>
          <w:szCs w:val="22"/>
        </w:rPr>
      </w:pPr>
    </w:p>
    <w:p w14:paraId="4C99DEC7" w14:textId="77777777" w:rsidR="000A334C" w:rsidRPr="00EB79F9" w:rsidRDefault="000A334C" w:rsidP="000A334C">
      <w:pPr>
        <w:rPr>
          <w:rFonts w:eastAsia="Avenir" w:cstheme="minorHAnsi"/>
          <w:szCs w:val="22"/>
        </w:rPr>
      </w:pPr>
      <w:r w:rsidRPr="00EB79F9">
        <w:rPr>
          <w:rFonts w:eastAsia="Avenir" w:cstheme="minorHAnsi"/>
          <w:szCs w:val="22"/>
        </w:rPr>
        <w:lastRenderedPageBreak/>
        <w:t>Cent</w:t>
      </w:r>
      <w:r>
        <w:rPr>
          <w:rFonts w:eastAsia="Avenir" w:cstheme="minorHAnsi"/>
          <w:szCs w:val="22"/>
        </w:rPr>
        <w:t>e</w:t>
      </w:r>
      <w:r w:rsidRPr="00EB79F9">
        <w:rPr>
          <w:rFonts w:eastAsia="Avenir" w:cstheme="minorHAnsi"/>
          <w:szCs w:val="22"/>
        </w:rPr>
        <w:t>red around inclusion, disclosure and transparency within existing treaty body nomination and election processes, our aim is to help to correct for the visibility, quality of interaction and influence of half the world’s adult population – women.</w:t>
      </w:r>
    </w:p>
    <w:p w14:paraId="46045BE9" w14:textId="77777777" w:rsidR="000A334C" w:rsidRPr="00EB79F9" w:rsidRDefault="000A334C" w:rsidP="000A334C">
      <w:pPr>
        <w:rPr>
          <w:rFonts w:eastAsia="Avenir" w:cstheme="minorHAnsi"/>
          <w:szCs w:val="22"/>
        </w:rPr>
      </w:pPr>
    </w:p>
    <w:p w14:paraId="3046D31C" w14:textId="77777777" w:rsidR="000A334C" w:rsidRDefault="000A334C" w:rsidP="000A334C">
      <w:pPr>
        <w:rPr>
          <w:rFonts w:eastAsia="Avenir" w:cstheme="minorHAnsi"/>
          <w:szCs w:val="22"/>
        </w:rPr>
      </w:pPr>
      <w:r w:rsidRPr="00EB79F9">
        <w:rPr>
          <w:rFonts w:eastAsia="Avenir" w:cstheme="minorHAnsi"/>
          <w:szCs w:val="22"/>
        </w:rPr>
        <w:t xml:space="preserve">If we want individuals to trust and respect the credibility of our institutions, our institutions and the international community must show leadership and turn words into accountability and concrete action.  Women are an essential, untapped resource. </w:t>
      </w:r>
      <w:r>
        <w:rPr>
          <w:rFonts w:eastAsia="Avenir" w:cstheme="minorHAnsi"/>
          <w:szCs w:val="22"/>
        </w:rPr>
        <w:t xml:space="preserve"> </w:t>
      </w:r>
      <w:r w:rsidRPr="00EB79F9">
        <w:rPr>
          <w:rFonts w:eastAsia="Avenir" w:cstheme="minorHAnsi"/>
          <w:szCs w:val="22"/>
        </w:rPr>
        <w:t>If we focus on gender equality and democracy for both women and men, especially in our international institutions, now, then everyone can thrive.  As the 2030 Agenda for Sustainable Development pledges, ‘We must leave no one behind.</w:t>
      </w:r>
      <w:r>
        <w:rPr>
          <w:rFonts w:eastAsia="Avenir" w:cstheme="minorHAnsi"/>
          <w:szCs w:val="22"/>
        </w:rPr>
        <w:t>’</w:t>
      </w:r>
      <w:r w:rsidRPr="00EB79F9">
        <w:rPr>
          <w:rFonts w:eastAsia="Avenir" w:cstheme="minorHAnsi"/>
          <w:szCs w:val="22"/>
        </w:rPr>
        <w:t xml:space="preserve"> </w:t>
      </w:r>
    </w:p>
    <w:p w14:paraId="281DAE5E" w14:textId="77777777" w:rsidR="000A334C" w:rsidRPr="00EB79F9" w:rsidRDefault="000A334C" w:rsidP="000A334C">
      <w:pPr>
        <w:rPr>
          <w:rFonts w:eastAsia="Avenir" w:cstheme="minorHAnsi"/>
          <w:szCs w:val="22"/>
        </w:rPr>
      </w:pPr>
    </w:p>
    <w:p w14:paraId="15B713C8" w14:textId="77777777" w:rsidR="000A334C" w:rsidRPr="000A334C" w:rsidRDefault="000A334C" w:rsidP="000A334C">
      <w:pPr>
        <w:keepNext/>
        <w:rPr>
          <w:rFonts w:eastAsia="Avenir" w:cstheme="minorHAnsi"/>
          <w:b/>
          <w:szCs w:val="22"/>
          <w:lang w:val="de-CH"/>
        </w:rPr>
      </w:pPr>
      <w:r w:rsidRPr="000A334C">
        <w:rPr>
          <w:rFonts w:eastAsia="Avenir" w:cstheme="minorHAnsi"/>
          <w:b/>
          <w:szCs w:val="22"/>
          <w:lang w:val="de-CH"/>
        </w:rPr>
        <w:t>Caitlin Kraft-Buchman</w:t>
      </w:r>
    </w:p>
    <w:p w14:paraId="2B7EAC02" w14:textId="77777777" w:rsidR="000A334C" w:rsidRPr="000A334C" w:rsidRDefault="000A334C" w:rsidP="000A334C">
      <w:pPr>
        <w:keepNext/>
        <w:rPr>
          <w:rFonts w:eastAsia="Avenir" w:cstheme="minorHAnsi"/>
          <w:szCs w:val="22"/>
          <w:lang w:val="de-CH"/>
        </w:rPr>
      </w:pPr>
      <w:r w:rsidRPr="000A334C">
        <w:rPr>
          <w:rFonts w:eastAsia="Avenir" w:cstheme="minorHAnsi"/>
          <w:szCs w:val="22"/>
          <w:lang w:val="de-CH"/>
        </w:rPr>
        <w:t>CEO / Founder</w:t>
      </w:r>
    </w:p>
    <w:p w14:paraId="3599A617" w14:textId="64F3ED56" w:rsidR="000A334C" w:rsidRPr="000A334C" w:rsidRDefault="000A334C" w:rsidP="000A334C">
      <w:pPr>
        <w:keepNext/>
        <w:rPr>
          <w:rFonts w:eastAsia="Avenir" w:cstheme="minorHAnsi"/>
          <w:szCs w:val="22"/>
          <w:lang w:val="de-CH"/>
        </w:rPr>
      </w:pPr>
      <w:r w:rsidRPr="000A334C">
        <w:rPr>
          <w:rFonts w:eastAsia="Avenir" w:cstheme="minorHAnsi"/>
          <w:szCs w:val="22"/>
          <w:lang w:val="de-CH"/>
        </w:rPr>
        <w:t>Women</w:t>
      </w:r>
      <w:r w:rsidR="00CC2821">
        <w:rPr>
          <w:rFonts w:eastAsia="Avenir" w:cstheme="minorHAnsi"/>
          <w:szCs w:val="22"/>
          <w:lang w:val="de-CH"/>
        </w:rPr>
        <w:t xml:space="preserve"> at the Table </w:t>
      </w:r>
    </w:p>
    <w:p w14:paraId="3696AE95" w14:textId="3F470FE6" w:rsidR="000A334C" w:rsidRDefault="000A334C" w:rsidP="000A334C">
      <w:pPr>
        <w:sectPr w:rsidR="000A334C" w:rsidSect="000A334C">
          <w:footerReference w:type="default" r:id="rId10"/>
          <w:footerReference w:type="first" r:id="rId11"/>
          <w:type w:val="continuous"/>
          <w:pgSz w:w="11907" w:h="16839" w:code="9"/>
          <w:pgMar w:top="1440" w:right="1440" w:bottom="1440" w:left="1440" w:header="706" w:footer="706" w:gutter="0"/>
          <w:pgNumType w:fmt="lowerRoman"/>
          <w:cols w:space="720"/>
          <w:titlePg/>
          <w:docGrid w:linePitch="360"/>
        </w:sectPr>
      </w:pPr>
    </w:p>
    <w:p w14:paraId="437E1B27" w14:textId="6E6B77F1" w:rsidR="00251A1C" w:rsidRDefault="00251A1C" w:rsidP="00CC2821">
      <w:pPr>
        <w:rPr>
          <w:lang w:val="en-US"/>
        </w:rPr>
      </w:pPr>
    </w:p>
    <w:p w14:paraId="2BE54280" w14:textId="77E0BFD0" w:rsidR="000A334C" w:rsidRDefault="000A334C" w:rsidP="00CC2821">
      <w:pPr>
        <w:jc w:val="left"/>
        <w:rPr>
          <w:lang w:val="en-US"/>
        </w:rPr>
      </w:pPr>
    </w:p>
    <w:p w14:paraId="2CC19FA0" w14:textId="1B1586EF" w:rsidR="000A334C" w:rsidRDefault="000A334C" w:rsidP="00623C41">
      <w:pPr>
        <w:jc w:val="center"/>
        <w:rPr>
          <w:lang w:val="en-US"/>
        </w:rPr>
      </w:pPr>
    </w:p>
    <w:p w14:paraId="23E62F15" w14:textId="77777777" w:rsidR="000A334C" w:rsidRPr="00CB2C31" w:rsidRDefault="000A334C" w:rsidP="00623C41">
      <w:pPr>
        <w:jc w:val="center"/>
        <w:rPr>
          <w:lang w:val="en-US"/>
        </w:rPr>
      </w:pPr>
    </w:p>
    <w:p w14:paraId="57E486C6" w14:textId="77777777" w:rsidR="00251A1C" w:rsidRPr="00CB2C31" w:rsidRDefault="00251A1C" w:rsidP="00623C41">
      <w:pPr>
        <w:pBdr>
          <w:bottom w:val="single" w:sz="18" w:space="1" w:color="auto"/>
        </w:pBdr>
        <w:jc w:val="center"/>
        <w:rPr>
          <w:lang w:val="en-US"/>
        </w:rPr>
      </w:pPr>
    </w:p>
    <w:p w14:paraId="75135170" w14:textId="77777777" w:rsidR="00251A1C" w:rsidRPr="00CB2C31" w:rsidRDefault="00CB5748" w:rsidP="00623C41">
      <w:pPr>
        <w:pStyle w:val="CoverCenterLarge"/>
        <w:rPr>
          <w:lang w:val="en-US"/>
        </w:rPr>
      </w:pPr>
      <w:r w:rsidRPr="00CB2C31">
        <w:rPr>
          <w:lang w:val="en-US"/>
        </w:rPr>
        <w:t xml:space="preserve">BEST PRACTICES FOR ELECTION OF MEMBERS TO </w:t>
      </w:r>
      <w:r w:rsidR="00E53BD0" w:rsidRPr="00CB2C31">
        <w:rPr>
          <w:lang w:val="en-US"/>
        </w:rPr>
        <w:t xml:space="preserve">INTERNATIONAL &amp; REGIONAL </w:t>
      </w:r>
      <w:r w:rsidRPr="00CB2C31">
        <w:rPr>
          <w:lang w:val="en-US"/>
        </w:rPr>
        <w:t>TREATY BODIES</w:t>
      </w:r>
    </w:p>
    <w:p w14:paraId="01282B08" w14:textId="77777777" w:rsidR="00251A1C" w:rsidRPr="00CB2C31" w:rsidRDefault="00251A1C" w:rsidP="00623C41">
      <w:pPr>
        <w:pBdr>
          <w:top w:val="single" w:sz="18" w:space="1" w:color="auto"/>
        </w:pBdr>
        <w:jc w:val="center"/>
        <w:rPr>
          <w:lang w:val="en-US"/>
        </w:rPr>
      </w:pPr>
    </w:p>
    <w:p w14:paraId="7D077066" w14:textId="77777777" w:rsidR="00251A1C" w:rsidRPr="00CB2C31" w:rsidRDefault="00911FE4" w:rsidP="00623C41">
      <w:pPr>
        <w:pStyle w:val="CoverCenter"/>
        <w:rPr>
          <w:b w:val="0"/>
          <w:lang w:val="en-US"/>
        </w:rPr>
      </w:pPr>
      <w:r w:rsidRPr="00CB2C31">
        <w:rPr>
          <w:b w:val="0"/>
          <w:lang w:val="en-US"/>
        </w:rPr>
        <w:t>20</w:t>
      </w:r>
      <w:r w:rsidR="005D6644">
        <w:rPr>
          <w:b w:val="0"/>
          <w:lang w:val="en-US"/>
        </w:rPr>
        <w:t>19</w:t>
      </w:r>
      <w:r w:rsidR="005B7540" w:rsidRPr="00CB2C31">
        <w:rPr>
          <w:b w:val="0"/>
          <w:lang w:val="en-US"/>
        </w:rPr>
        <w:br/>
      </w:r>
      <w:r w:rsidR="00700BEE" w:rsidRPr="00CB2C31">
        <w:rPr>
          <w:b w:val="0"/>
          <w:lang w:val="en-US"/>
        </w:rPr>
        <w:t xml:space="preserve">Elizabeth Robertson, </w:t>
      </w:r>
      <w:r w:rsidR="00200928" w:rsidRPr="00CB2C31">
        <w:rPr>
          <w:b w:val="0"/>
          <w:lang w:val="en-US"/>
        </w:rPr>
        <w:t xml:space="preserve">Kathlene Burke and </w:t>
      </w:r>
      <w:r w:rsidR="00700BEE" w:rsidRPr="00CB2C31">
        <w:rPr>
          <w:b w:val="0"/>
          <w:lang w:val="en-US"/>
        </w:rPr>
        <w:t xml:space="preserve">James </w:t>
      </w:r>
      <w:r w:rsidR="008F6AC4" w:rsidRPr="00CB2C31">
        <w:rPr>
          <w:b w:val="0"/>
          <w:lang w:val="en-US"/>
        </w:rPr>
        <w:t>Anderson</w:t>
      </w:r>
      <w:r w:rsidR="00700BEE" w:rsidRPr="00CB2C31">
        <w:rPr>
          <w:rStyle w:val="FootnoteReference"/>
          <w:b w:val="0"/>
          <w:lang w:val="en-US"/>
        </w:rPr>
        <w:footnoteReference w:id="2"/>
      </w:r>
    </w:p>
    <w:p w14:paraId="216FF67D" w14:textId="77777777" w:rsidR="00157C99" w:rsidRPr="00CB2C31" w:rsidRDefault="00157C99" w:rsidP="00623C41">
      <w:pPr>
        <w:rPr>
          <w:lang w:val="en-US"/>
        </w:rPr>
      </w:pPr>
    </w:p>
    <w:p w14:paraId="5F4FDAF9" w14:textId="77777777" w:rsidR="00D1242B" w:rsidRPr="00CB2C31" w:rsidRDefault="00D1242B" w:rsidP="00623C41">
      <w:pPr>
        <w:rPr>
          <w:lang w:val="en-US"/>
        </w:rPr>
      </w:pPr>
    </w:p>
    <w:p w14:paraId="3FE81265" w14:textId="77777777" w:rsidR="003029FD" w:rsidRPr="00CB2C31" w:rsidRDefault="003029FD" w:rsidP="00623C41">
      <w:pPr>
        <w:rPr>
          <w:b/>
          <w:lang w:val="en-US"/>
        </w:rPr>
        <w:sectPr w:rsidR="003029FD" w:rsidRPr="00CB2C31" w:rsidSect="003F58CB">
          <w:footerReference w:type="even" r:id="rId12"/>
          <w:footerReference w:type="default" r:id="rId13"/>
          <w:footerReference w:type="first" r:id="rId14"/>
          <w:endnotePr>
            <w:numFmt w:val="decimal"/>
          </w:endnotePr>
          <w:type w:val="continuous"/>
          <w:pgSz w:w="11907" w:h="16839" w:code="9"/>
          <w:pgMar w:top="1440" w:right="1440" w:bottom="1440" w:left="1440" w:header="720" w:footer="720" w:gutter="0"/>
          <w:cols w:space="720"/>
          <w:docGrid w:linePitch="360"/>
        </w:sectPr>
      </w:pPr>
    </w:p>
    <w:p w14:paraId="451679A5" w14:textId="77777777" w:rsidR="008414D7" w:rsidRPr="008D629E" w:rsidRDefault="008414D7" w:rsidP="00623C41">
      <w:pPr>
        <w:pStyle w:val="HeadingCenterBold"/>
        <w:jc w:val="both"/>
        <w:rPr>
          <w:lang w:val="en-US"/>
        </w:rPr>
      </w:pPr>
      <w:r w:rsidRPr="008D629E">
        <w:rPr>
          <w:lang w:val="en-US"/>
        </w:rPr>
        <w:lastRenderedPageBreak/>
        <w:t>TABLE OF CONTENTS</w:t>
      </w:r>
    </w:p>
    <w:p w14:paraId="6AA3CFA9" w14:textId="77777777" w:rsidR="00141FF7" w:rsidRDefault="002376B9">
      <w:pPr>
        <w:pStyle w:val="TOC4"/>
        <w:rPr>
          <w:rFonts w:eastAsiaTheme="minorEastAsia"/>
          <w:noProof/>
          <w:szCs w:val="22"/>
          <w:lang w:val="en-US" w:eastAsia="en-US"/>
        </w:rPr>
      </w:pPr>
      <w:r>
        <w:rPr>
          <w:lang w:val="en-US"/>
        </w:rPr>
        <w:fldChar w:fldCharType="begin"/>
      </w:r>
      <w:r>
        <w:rPr>
          <w:lang w:val="en-US"/>
        </w:rPr>
        <w:instrText xml:space="preserve"> TOC \h \z \t "Heading: LeftBoldUnd,4,LegalCombo1,1,LegalCombo2,2,LegalCombo3,3" </w:instrText>
      </w:r>
      <w:r>
        <w:rPr>
          <w:lang w:val="en-US"/>
        </w:rPr>
        <w:fldChar w:fldCharType="separate"/>
      </w:r>
      <w:hyperlink w:anchor="_Toc24114360" w:history="1">
        <w:r w:rsidR="00141FF7" w:rsidRPr="009E6533">
          <w:rPr>
            <w:rStyle w:val="Hyperlink"/>
            <w:lang w:bidi="he-IL"/>
          </w:rPr>
          <w:t>FOREWORD</w:t>
        </w:r>
        <w:r w:rsidR="00141FF7">
          <w:rPr>
            <w:noProof/>
            <w:webHidden/>
          </w:rPr>
          <w:tab/>
        </w:r>
        <w:r w:rsidR="00141FF7">
          <w:rPr>
            <w:noProof/>
            <w:webHidden/>
          </w:rPr>
          <w:fldChar w:fldCharType="begin"/>
        </w:r>
        <w:r w:rsidR="00141FF7">
          <w:rPr>
            <w:noProof/>
            <w:webHidden/>
          </w:rPr>
          <w:instrText xml:space="preserve"> PAGEREF _Toc24114360 \h </w:instrText>
        </w:r>
        <w:r w:rsidR="00141FF7">
          <w:rPr>
            <w:noProof/>
            <w:webHidden/>
          </w:rPr>
        </w:r>
        <w:r w:rsidR="00141FF7">
          <w:rPr>
            <w:noProof/>
            <w:webHidden/>
          </w:rPr>
          <w:fldChar w:fldCharType="separate"/>
        </w:r>
        <w:r w:rsidR="00AE4BA1">
          <w:rPr>
            <w:noProof/>
            <w:webHidden/>
          </w:rPr>
          <w:t>iii</w:t>
        </w:r>
        <w:r w:rsidR="00141FF7">
          <w:rPr>
            <w:noProof/>
            <w:webHidden/>
          </w:rPr>
          <w:fldChar w:fldCharType="end"/>
        </w:r>
      </w:hyperlink>
    </w:p>
    <w:p w14:paraId="2962731E" w14:textId="77777777" w:rsidR="00141FF7" w:rsidRDefault="002125ED">
      <w:pPr>
        <w:pStyle w:val="TOC1"/>
        <w:rPr>
          <w:rFonts w:eastAsiaTheme="minorEastAsia"/>
          <w:noProof/>
          <w:szCs w:val="22"/>
          <w:lang w:val="en-US" w:eastAsia="en-US"/>
        </w:rPr>
      </w:pPr>
      <w:hyperlink w:anchor="_Toc24114361" w:history="1">
        <w:r w:rsidR="00141FF7" w:rsidRPr="009E6533">
          <w:rPr>
            <w:rStyle w:val="Hyperlink"/>
          </w:rPr>
          <w:t>SECTION I.</w:t>
        </w:r>
        <w:r w:rsidR="00141FF7">
          <w:rPr>
            <w:rFonts w:eastAsiaTheme="minorEastAsia"/>
            <w:noProof/>
            <w:szCs w:val="22"/>
            <w:lang w:val="en-US" w:eastAsia="en-US"/>
          </w:rPr>
          <w:tab/>
        </w:r>
        <w:r w:rsidR="00141FF7" w:rsidRPr="009E6533">
          <w:rPr>
            <w:rStyle w:val="Hyperlink"/>
          </w:rPr>
          <w:t>OVERVIEW AND RECOMMENDATIONS</w:t>
        </w:r>
        <w:r w:rsidR="00141FF7">
          <w:rPr>
            <w:noProof/>
            <w:webHidden/>
          </w:rPr>
          <w:tab/>
        </w:r>
        <w:r w:rsidR="00141FF7">
          <w:rPr>
            <w:noProof/>
            <w:webHidden/>
          </w:rPr>
          <w:fldChar w:fldCharType="begin"/>
        </w:r>
        <w:r w:rsidR="00141FF7">
          <w:rPr>
            <w:noProof/>
            <w:webHidden/>
          </w:rPr>
          <w:instrText xml:space="preserve"> PAGEREF _Toc24114361 \h </w:instrText>
        </w:r>
        <w:r w:rsidR="00141FF7">
          <w:rPr>
            <w:noProof/>
            <w:webHidden/>
          </w:rPr>
        </w:r>
        <w:r w:rsidR="00141FF7">
          <w:rPr>
            <w:noProof/>
            <w:webHidden/>
          </w:rPr>
          <w:fldChar w:fldCharType="separate"/>
        </w:r>
        <w:r w:rsidR="00AE4BA1">
          <w:rPr>
            <w:noProof/>
            <w:webHidden/>
          </w:rPr>
          <w:t>1</w:t>
        </w:r>
        <w:r w:rsidR="00141FF7">
          <w:rPr>
            <w:noProof/>
            <w:webHidden/>
          </w:rPr>
          <w:fldChar w:fldCharType="end"/>
        </w:r>
      </w:hyperlink>
    </w:p>
    <w:p w14:paraId="40E70EE1" w14:textId="77777777" w:rsidR="00141FF7" w:rsidRDefault="002125ED">
      <w:pPr>
        <w:pStyle w:val="TOC2"/>
        <w:rPr>
          <w:rFonts w:eastAsiaTheme="minorEastAsia"/>
          <w:caps w:val="0"/>
          <w:noProof/>
          <w:szCs w:val="22"/>
          <w:lang w:val="en-US" w:eastAsia="en-US"/>
        </w:rPr>
      </w:pPr>
      <w:hyperlink w:anchor="_Toc24114362" w:history="1">
        <w:r w:rsidR="00141FF7" w:rsidRPr="009E6533">
          <w:rPr>
            <w:rStyle w:val="Hyperlink"/>
          </w:rPr>
          <w:t>1.</w:t>
        </w:r>
        <w:r w:rsidR="00141FF7">
          <w:rPr>
            <w:rFonts w:eastAsiaTheme="minorEastAsia"/>
            <w:caps w:val="0"/>
            <w:noProof/>
            <w:szCs w:val="22"/>
            <w:lang w:val="en-US" w:eastAsia="en-US"/>
          </w:rPr>
          <w:tab/>
        </w:r>
        <w:r w:rsidR="00141FF7" w:rsidRPr="009E6533">
          <w:rPr>
            <w:rStyle w:val="Hyperlink"/>
          </w:rPr>
          <w:t>iNTRODUCTION</w:t>
        </w:r>
        <w:r w:rsidR="00141FF7">
          <w:rPr>
            <w:noProof/>
            <w:webHidden/>
          </w:rPr>
          <w:tab/>
        </w:r>
        <w:r w:rsidR="00141FF7">
          <w:rPr>
            <w:noProof/>
            <w:webHidden/>
          </w:rPr>
          <w:fldChar w:fldCharType="begin"/>
        </w:r>
        <w:r w:rsidR="00141FF7">
          <w:rPr>
            <w:noProof/>
            <w:webHidden/>
          </w:rPr>
          <w:instrText xml:space="preserve"> PAGEREF _Toc24114362 \h </w:instrText>
        </w:r>
        <w:r w:rsidR="00141FF7">
          <w:rPr>
            <w:noProof/>
            <w:webHidden/>
          </w:rPr>
        </w:r>
        <w:r w:rsidR="00141FF7">
          <w:rPr>
            <w:noProof/>
            <w:webHidden/>
          </w:rPr>
          <w:fldChar w:fldCharType="separate"/>
        </w:r>
        <w:r w:rsidR="00AE4BA1">
          <w:rPr>
            <w:noProof/>
            <w:webHidden/>
          </w:rPr>
          <w:t>1</w:t>
        </w:r>
        <w:r w:rsidR="00141FF7">
          <w:rPr>
            <w:noProof/>
            <w:webHidden/>
          </w:rPr>
          <w:fldChar w:fldCharType="end"/>
        </w:r>
      </w:hyperlink>
    </w:p>
    <w:p w14:paraId="7B32A46D" w14:textId="77777777" w:rsidR="00141FF7" w:rsidRDefault="002125ED">
      <w:pPr>
        <w:pStyle w:val="TOC2"/>
        <w:rPr>
          <w:rFonts w:eastAsiaTheme="minorEastAsia"/>
          <w:caps w:val="0"/>
          <w:noProof/>
          <w:szCs w:val="22"/>
          <w:lang w:val="en-US" w:eastAsia="en-US"/>
        </w:rPr>
      </w:pPr>
      <w:hyperlink w:anchor="_Toc24114363" w:history="1">
        <w:r w:rsidR="00141FF7" w:rsidRPr="009E6533">
          <w:rPr>
            <w:rStyle w:val="Hyperlink"/>
          </w:rPr>
          <w:t>2.</w:t>
        </w:r>
        <w:r w:rsidR="00141FF7">
          <w:rPr>
            <w:rFonts w:eastAsiaTheme="minorEastAsia"/>
            <w:caps w:val="0"/>
            <w:noProof/>
            <w:szCs w:val="22"/>
            <w:lang w:val="en-US" w:eastAsia="en-US"/>
          </w:rPr>
          <w:tab/>
        </w:r>
        <w:r w:rsidR="00141FF7" w:rsidRPr="009E6533">
          <w:rPr>
            <w:rStyle w:val="Hyperlink"/>
          </w:rPr>
          <w:t>landscape</w:t>
        </w:r>
        <w:r w:rsidR="00141FF7">
          <w:rPr>
            <w:noProof/>
            <w:webHidden/>
          </w:rPr>
          <w:tab/>
        </w:r>
        <w:r w:rsidR="00141FF7">
          <w:rPr>
            <w:noProof/>
            <w:webHidden/>
          </w:rPr>
          <w:fldChar w:fldCharType="begin"/>
        </w:r>
        <w:r w:rsidR="00141FF7">
          <w:rPr>
            <w:noProof/>
            <w:webHidden/>
          </w:rPr>
          <w:instrText xml:space="preserve"> PAGEREF _Toc24114363 \h </w:instrText>
        </w:r>
        <w:r w:rsidR="00141FF7">
          <w:rPr>
            <w:noProof/>
            <w:webHidden/>
          </w:rPr>
        </w:r>
        <w:r w:rsidR="00141FF7">
          <w:rPr>
            <w:noProof/>
            <w:webHidden/>
          </w:rPr>
          <w:fldChar w:fldCharType="separate"/>
        </w:r>
        <w:r w:rsidR="00AE4BA1">
          <w:rPr>
            <w:noProof/>
            <w:webHidden/>
          </w:rPr>
          <w:t>1</w:t>
        </w:r>
        <w:r w:rsidR="00141FF7">
          <w:rPr>
            <w:noProof/>
            <w:webHidden/>
          </w:rPr>
          <w:fldChar w:fldCharType="end"/>
        </w:r>
      </w:hyperlink>
    </w:p>
    <w:p w14:paraId="60DAEFDE" w14:textId="77777777" w:rsidR="00141FF7" w:rsidRDefault="002125ED">
      <w:pPr>
        <w:pStyle w:val="TOC2"/>
        <w:rPr>
          <w:rFonts w:eastAsiaTheme="minorEastAsia"/>
          <w:caps w:val="0"/>
          <w:noProof/>
          <w:szCs w:val="22"/>
          <w:lang w:val="en-US" w:eastAsia="en-US"/>
        </w:rPr>
      </w:pPr>
      <w:hyperlink w:anchor="_Toc24114364" w:history="1">
        <w:r w:rsidR="00141FF7" w:rsidRPr="009E6533">
          <w:rPr>
            <w:rStyle w:val="Hyperlink"/>
          </w:rPr>
          <w:t>3.</w:t>
        </w:r>
        <w:r w:rsidR="00141FF7">
          <w:rPr>
            <w:rFonts w:eastAsiaTheme="minorEastAsia"/>
            <w:caps w:val="0"/>
            <w:noProof/>
            <w:szCs w:val="22"/>
            <w:lang w:val="en-US" w:eastAsia="en-US"/>
          </w:rPr>
          <w:tab/>
        </w:r>
        <w:r w:rsidR="00141FF7" w:rsidRPr="009E6533">
          <w:rPr>
            <w:rStyle w:val="Hyperlink"/>
          </w:rPr>
          <w:t>RECOMMENDATIONS</w:t>
        </w:r>
        <w:r w:rsidR="00141FF7">
          <w:rPr>
            <w:noProof/>
            <w:webHidden/>
          </w:rPr>
          <w:tab/>
        </w:r>
        <w:r w:rsidR="00141FF7">
          <w:rPr>
            <w:noProof/>
            <w:webHidden/>
          </w:rPr>
          <w:fldChar w:fldCharType="begin"/>
        </w:r>
        <w:r w:rsidR="00141FF7">
          <w:rPr>
            <w:noProof/>
            <w:webHidden/>
          </w:rPr>
          <w:instrText xml:space="preserve"> PAGEREF _Toc24114364 \h </w:instrText>
        </w:r>
        <w:r w:rsidR="00141FF7">
          <w:rPr>
            <w:noProof/>
            <w:webHidden/>
          </w:rPr>
        </w:r>
        <w:r w:rsidR="00141FF7">
          <w:rPr>
            <w:noProof/>
            <w:webHidden/>
          </w:rPr>
          <w:fldChar w:fldCharType="separate"/>
        </w:r>
        <w:r w:rsidR="00AE4BA1">
          <w:rPr>
            <w:noProof/>
            <w:webHidden/>
          </w:rPr>
          <w:t>4</w:t>
        </w:r>
        <w:r w:rsidR="00141FF7">
          <w:rPr>
            <w:noProof/>
            <w:webHidden/>
          </w:rPr>
          <w:fldChar w:fldCharType="end"/>
        </w:r>
      </w:hyperlink>
    </w:p>
    <w:p w14:paraId="4A3104AB" w14:textId="77777777" w:rsidR="00141FF7" w:rsidRDefault="002125ED">
      <w:pPr>
        <w:pStyle w:val="TOC3"/>
        <w:rPr>
          <w:rFonts w:eastAsiaTheme="minorEastAsia"/>
          <w:noProof/>
          <w:szCs w:val="22"/>
          <w:lang w:val="en-US" w:eastAsia="en-US"/>
        </w:rPr>
      </w:pPr>
      <w:hyperlink w:anchor="_Toc24114365" w:history="1">
        <w:r w:rsidR="00141FF7" w:rsidRPr="009E6533">
          <w:rPr>
            <w:rStyle w:val="Hyperlink"/>
          </w:rPr>
          <w:t>3.1</w:t>
        </w:r>
        <w:r w:rsidR="00141FF7">
          <w:rPr>
            <w:rFonts w:eastAsiaTheme="minorEastAsia"/>
            <w:noProof/>
            <w:szCs w:val="22"/>
            <w:lang w:val="en-US" w:eastAsia="en-US"/>
          </w:rPr>
          <w:tab/>
        </w:r>
        <w:r w:rsidR="00141FF7" w:rsidRPr="009E6533">
          <w:rPr>
            <w:rStyle w:val="Hyperlink"/>
          </w:rPr>
          <w:t>Nomination</w:t>
        </w:r>
        <w:r w:rsidR="00141FF7">
          <w:rPr>
            <w:noProof/>
            <w:webHidden/>
          </w:rPr>
          <w:tab/>
        </w:r>
        <w:r w:rsidR="00141FF7">
          <w:rPr>
            <w:noProof/>
            <w:webHidden/>
          </w:rPr>
          <w:fldChar w:fldCharType="begin"/>
        </w:r>
        <w:r w:rsidR="00141FF7">
          <w:rPr>
            <w:noProof/>
            <w:webHidden/>
          </w:rPr>
          <w:instrText xml:space="preserve"> PAGEREF _Toc24114365 \h </w:instrText>
        </w:r>
        <w:r w:rsidR="00141FF7">
          <w:rPr>
            <w:noProof/>
            <w:webHidden/>
          </w:rPr>
        </w:r>
        <w:r w:rsidR="00141FF7">
          <w:rPr>
            <w:noProof/>
            <w:webHidden/>
          </w:rPr>
          <w:fldChar w:fldCharType="separate"/>
        </w:r>
        <w:r w:rsidR="00AE4BA1">
          <w:rPr>
            <w:noProof/>
            <w:webHidden/>
          </w:rPr>
          <w:t>4</w:t>
        </w:r>
        <w:r w:rsidR="00141FF7">
          <w:rPr>
            <w:noProof/>
            <w:webHidden/>
          </w:rPr>
          <w:fldChar w:fldCharType="end"/>
        </w:r>
      </w:hyperlink>
    </w:p>
    <w:p w14:paraId="558CF8F9" w14:textId="77777777" w:rsidR="00141FF7" w:rsidRDefault="002125ED">
      <w:pPr>
        <w:pStyle w:val="TOC3"/>
        <w:rPr>
          <w:rFonts w:eastAsiaTheme="minorEastAsia"/>
          <w:noProof/>
          <w:szCs w:val="22"/>
          <w:lang w:val="en-US" w:eastAsia="en-US"/>
        </w:rPr>
      </w:pPr>
      <w:hyperlink w:anchor="_Toc24114366" w:history="1">
        <w:r w:rsidR="00141FF7" w:rsidRPr="009E6533">
          <w:rPr>
            <w:rStyle w:val="Hyperlink"/>
          </w:rPr>
          <w:t>3.2</w:t>
        </w:r>
        <w:r w:rsidR="00141FF7">
          <w:rPr>
            <w:rFonts w:eastAsiaTheme="minorEastAsia"/>
            <w:noProof/>
            <w:szCs w:val="22"/>
            <w:lang w:val="en-US" w:eastAsia="en-US"/>
          </w:rPr>
          <w:tab/>
        </w:r>
        <w:r w:rsidR="00141FF7" w:rsidRPr="009E6533">
          <w:rPr>
            <w:rStyle w:val="Hyperlink"/>
          </w:rPr>
          <w:t>Election</w:t>
        </w:r>
        <w:r w:rsidR="00141FF7">
          <w:rPr>
            <w:noProof/>
            <w:webHidden/>
          </w:rPr>
          <w:tab/>
        </w:r>
        <w:r w:rsidR="00141FF7">
          <w:rPr>
            <w:noProof/>
            <w:webHidden/>
          </w:rPr>
          <w:fldChar w:fldCharType="begin"/>
        </w:r>
        <w:r w:rsidR="00141FF7">
          <w:rPr>
            <w:noProof/>
            <w:webHidden/>
          </w:rPr>
          <w:instrText xml:space="preserve"> PAGEREF _Toc24114366 \h </w:instrText>
        </w:r>
        <w:r w:rsidR="00141FF7">
          <w:rPr>
            <w:noProof/>
            <w:webHidden/>
          </w:rPr>
        </w:r>
        <w:r w:rsidR="00141FF7">
          <w:rPr>
            <w:noProof/>
            <w:webHidden/>
          </w:rPr>
          <w:fldChar w:fldCharType="separate"/>
        </w:r>
        <w:r w:rsidR="00AE4BA1">
          <w:rPr>
            <w:noProof/>
            <w:webHidden/>
          </w:rPr>
          <w:t>6</w:t>
        </w:r>
        <w:r w:rsidR="00141FF7">
          <w:rPr>
            <w:noProof/>
            <w:webHidden/>
          </w:rPr>
          <w:fldChar w:fldCharType="end"/>
        </w:r>
      </w:hyperlink>
    </w:p>
    <w:p w14:paraId="1C385508" w14:textId="77777777" w:rsidR="00141FF7" w:rsidRDefault="002125ED">
      <w:pPr>
        <w:pStyle w:val="TOC3"/>
        <w:rPr>
          <w:rFonts w:eastAsiaTheme="minorEastAsia"/>
          <w:noProof/>
          <w:szCs w:val="22"/>
          <w:lang w:val="en-US" w:eastAsia="en-US"/>
        </w:rPr>
      </w:pPr>
      <w:hyperlink w:anchor="_Toc24114367" w:history="1">
        <w:r w:rsidR="00141FF7" w:rsidRPr="009E6533">
          <w:rPr>
            <w:rStyle w:val="Hyperlink"/>
          </w:rPr>
          <w:t>3.3</w:t>
        </w:r>
        <w:r w:rsidR="00141FF7">
          <w:rPr>
            <w:rFonts w:eastAsiaTheme="minorEastAsia"/>
            <w:noProof/>
            <w:szCs w:val="22"/>
            <w:lang w:val="en-US" w:eastAsia="en-US"/>
          </w:rPr>
          <w:tab/>
        </w:r>
        <w:r w:rsidR="00141FF7" w:rsidRPr="009E6533">
          <w:rPr>
            <w:rStyle w:val="Hyperlink"/>
          </w:rPr>
          <w:t>Disclosure and Transparency</w:t>
        </w:r>
        <w:r w:rsidR="00141FF7">
          <w:rPr>
            <w:noProof/>
            <w:webHidden/>
          </w:rPr>
          <w:tab/>
        </w:r>
        <w:r w:rsidR="00141FF7">
          <w:rPr>
            <w:noProof/>
            <w:webHidden/>
          </w:rPr>
          <w:fldChar w:fldCharType="begin"/>
        </w:r>
        <w:r w:rsidR="00141FF7">
          <w:rPr>
            <w:noProof/>
            <w:webHidden/>
          </w:rPr>
          <w:instrText xml:space="preserve"> PAGEREF _Toc24114367 \h </w:instrText>
        </w:r>
        <w:r w:rsidR="00141FF7">
          <w:rPr>
            <w:noProof/>
            <w:webHidden/>
          </w:rPr>
        </w:r>
        <w:r w:rsidR="00141FF7">
          <w:rPr>
            <w:noProof/>
            <w:webHidden/>
          </w:rPr>
          <w:fldChar w:fldCharType="separate"/>
        </w:r>
        <w:r w:rsidR="00AE4BA1">
          <w:rPr>
            <w:noProof/>
            <w:webHidden/>
          </w:rPr>
          <w:t>6</w:t>
        </w:r>
        <w:r w:rsidR="00141FF7">
          <w:rPr>
            <w:noProof/>
            <w:webHidden/>
          </w:rPr>
          <w:fldChar w:fldCharType="end"/>
        </w:r>
      </w:hyperlink>
    </w:p>
    <w:p w14:paraId="3822CEF3" w14:textId="77777777" w:rsidR="00141FF7" w:rsidRDefault="002125ED">
      <w:pPr>
        <w:pStyle w:val="TOC1"/>
        <w:rPr>
          <w:rFonts w:eastAsiaTheme="minorEastAsia"/>
          <w:noProof/>
          <w:szCs w:val="22"/>
          <w:lang w:val="en-US" w:eastAsia="en-US"/>
        </w:rPr>
      </w:pPr>
      <w:hyperlink w:anchor="_Toc24114368" w:history="1">
        <w:r w:rsidR="00141FF7" w:rsidRPr="009E6533">
          <w:rPr>
            <w:rStyle w:val="Hyperlink"/>
          </w:rPr>
          <w:t>SECTION II.</w:t>
        </w:r>
        <w:r w:rsidR="00141FF7">
          <w:rPr>
            <w:rFonts w:eastAsiaTheme="minorEastAsia"/>
            <w:noProof/>
            <w:szCs w:val="22"/>
            <w:lang w:val="en-US" w:eastAsia="en-US"/>
          </w:rPr>
          <w:tab/>
        </w:r>
        <w:r w:rsidR="00141FF7" w:rsidRPr="009E6533">
          <w:rPr>
            <w:rStyle w:val="Hyperlink"/>
          </w:rPr>
          <w:t>CURRENT &amp; BEST PRACTICES IN INTERNATIONAL &amp; REGIONAL TREATY BODIES AND ORGANIZATIONS</w:t>
        </w:r>
        <w:r w:rsidR="00141FF7">
          <w:rPr>
            <w:noProof/>
            <w:webHidden/>
          </w:rPr>
          <w:tab/>
        </w:r>
        <w:r w:rsidR="00141FF7">
          <w:rPr>
            <w:noProof/>
            <w:webHidden/>
          </w:rPr>
          <w:fldChar w:fldCharType="begin"/>
        </w:r>
        <w:r w:rsidR="00141FF7">
          <w:rPr>
            <w:noProof/>
            <w:webHidden/>
          </w:rPr>
          <w:instrText xml:space="preserve"> PAGEREF _Toc24114368 \h </w:instrText>
        </w:r>
        <w:r w:rsidR="00141FF7">
          <w:rPr>
            <w:noProof/>
            <w:webHidden/>
          </w:rPr>
        </w:r>
        <w:r w:rsidR="00141FF7">
          <w:rPr>
            <w:noProof/>
            <w:webHidden/>
          </w:rPr>
          <w:fldChar w:fldCharType="separate"/>
        </w:r>
        <w:r w:rsidR="00AE4BA1">
          <w:rPr>
            <w:noProof/>
            <w:webHidden/>
          </w:rPr>
          <w:t>8</w:t>
        </w:r>
        <w:r w:rsidR="00141FF7">
          <w:rPr>
            <w:noProof/>
            <w:webHidden/>
          </w:rPr>
          <w:fldChar w:fldCharType="end"/>
        </w:r>
      </w:hyperlink>
    </w:p>
    <w:p w14:paraId="2A6A1F37" w14:textId="77777777" w:rsidR="00141FF7" w:rsidRDefault="002125ED">
      <w:pPr>
        <w:pStyle w:val="TOC2"/>
        <w:rPr>
          <w:rFonts w:eastAsiaTheme="minorEastAsia"/>
          <w:caps w:val="0"/>
          <w:noProof/>
          <w:szCs w:val="22"/>
          <w:lang w:val="en-US" w:eastAsia="en-US"/>
        </w:rPr>
      </w:pPr>
      <w:hyperlink w:anchor="_Toc24114369" w:history="1">
        <w:r w:rsidR="00141FF7" w:rsidRPr="009E6533">
          <w:rPr>
            <w:rStyle w:val="Hyperlink"/>
          </w:rPr>
          <w:t>1.</w:t>
        </w:r>
        <w:r w:rsidR="00141FF7">
          <w:rPr>
            <w:rFonts w:eastAsiaTheme="minorEastAsia"/>
            <w:caps w:val="0"/>
            <w:noProof/>
            <w:szCs w:val="22"/>
            <w:lang w:val="en-US" w:eastAsia="en-US"/>
          </w:rPr>
          <w:tab/>
        </w:r>
        <w:r w:rsidR="00141FF7" w:rsidRPr="009E6533">
          <w:rPr>
            <w:rStyle w:val="Hyperlink"/>
          </w:rPr>
          <w:t>INTRODUCTION</w:t>
        </w:r>
        <w:r w:rsidR="00141FF7">
          <w:rPr>
            <w:noProof/>
            <w:webHidden/>
          </w:rPr>
          <w:tab/>
        </w:r>
        <w:r w:rsidR="00141FF7">
          <w:rPr>
            <w:noProof/>
            <w:webHidden/>
          </w:rPr>
          <w:fldChar w:fldCharType="begin"/>
        </w:r>
        <w:r w:rsidR="00141FF7">
          <w:rPr>
            <w:noProof/>
            <w:webHidden/>
          </w:rPr>
          <w:instrText xml:space="preserve"> PAGEREF _Toc24114369 \h </w:instrText>
        </w:r>
        <w:r w:rsidR="00141FF7">
          <w:rPr>
            <w:noProof/>
            <w:webHidden/>
          </w:rPr>
        </w:r>
        <w:r w:rsidR="00141FF7">
          <w:rPr>
            <w:noProof/>
            <w:webHidden/>
          </w:rPr>
          <w:fldChar w:fldCharType="separate"/>
        </w:r>
        <w:r w:rsidR="00AE4BA1">
          <w:rPr>
            <w:noProof/>
            <w:webHidden/>
          </w:rPr>
          <w:t>8</w:t>
        </w:r>
        <w:r w:rsidR="00141FF7">
          <w:rPr>
            <w:noProof/>
            <w:webHidden/>
          </w:rPr>
          <w:fldChar w:fldCharType="end"/>
        </w:r>
      </w:hyperlink>
    </w:p>
    <w:p w14:paraId="443C39C7" w14:textId="77777777" w:rsidR="00141FF7" w:rsidRDefault="002125ED">
      <w:pPr>
        <w:pStyle w:val="TOC2"/>
        <w:rPr>
          <w:rFonts w:eastAsiaTheme="minorEastAsia"/>
          <w:caps w:val="0"/>
          <w:noProof/>
          <w:szCs w:val="22"/>
          <w:lang w:val="en-US" w:eastAsia="en-US"/>
        </w:rPr>
      </w:pPr>
      <w:hyperlink w:anchor="_Toc24114370" w:history="1">
        <w:r w:rsidR="00141FF7" w:rsidRPr="009E6533">
          <w:rPr>
            <w:rStyle w:val="Hyperlink"/>
          </w:rPr>
          <w:t>2.</w:t>
        </w:r>
        <w:r w:rsidR="00141FF7">
          <w:rPr>
            <w:rFonts w:eastAsiaTheme="minorEastAsia"/>
            <w:caps w:val="0"/>
            <w:noProof/>
            <w:szCs w:val="22"/>
            <w:lang w:val="en-US" w:eastAsia="en-US"/>
          </w:rPr>
          <w:tab/>
        </w:r>
        <w:r w:rsidR="00141FF7" w:rsidRPr="009E6533">
          <w:rPr>
            <w:rStyle w:val="Hyperlink"/>
          </w:rPr>
          <w:t>OVERVIEW OF Current PracticeS for nominations &amp; Elections</w:t>
        </w:r>
        <w:r w:rsidR="00141FF7">
          <w:rPr>
            <w:noProof/>
            <w:webHidden/>
          </w:rPr>
          <w:tab/>
        </w:r>
        <w:r w:rsidR="00141FF7">
          <w:rPr>
            <w:noProof/>
            <w:webHidden/>
          </w:rPr>
          <w:fldChar w:fldCharType="begin"/>
        </w:r>
        <w:r w:rsidR="00141FF7">
          <w:rPr>
            <w:noProof/>
            <w:webHidden/>
          </w:rPr>
          <w:instrText xml:space="preserve"> PAGEREF _Toc24114370 \h </w:instrText>
        </w:r>
        <w:r w:rsidR="00141FF7">
          <w:rPr>
            <w:noProof/>
            <w:webHidden/>
          </w:rPr>
        </w:r>
        <w:r w:rsidR="00141FF7">
          <w:rPr>
            <w:noProof/>
            <w:webHidden/>
          </w:rPr>
          <w:fldChar w:fldCharType="separate"/>
        </w:r>
        <w:r w:rsidR="00AE4BA1">
          <w:rPr>
            <w:noProof/>
            <w:webHidden/>
          </w:rPr>
          <w:t>8</w:t>
        </w:r>
        <w:r w:rsidR="00141FF7">
          <w:rPr>
            <w:noProof/>
            <w:webHidden/>
          </w:rPr>
          <w:fldChar w:fldCharType="end"/>
        </w:r>
      </w:hyperlink>
    </w:p>
    <w:p w14:paraId="558154FE" w14:textId="77777777" w:rsidR="00141FF7" w:rsidRDefault="002125ED">
      <w:pPr>
        <w:pStyle w:val="TOC3"/>
        <w:rPr>
          <w:rFonts w:eastAsiaTheme="minorEastAsia"/>
          <w:noProof/>
          <w:szCs w:val="22"/>
          <w:lang w:val="en-US" w:eastAsia="en-US"/>
        </w:rPr>
      </w:pPr>
      <w:hyperlink w:anchor="_Toc24114371" w:history="1">
        <w:r w:rsidR="00141FF7" w:rsidRPr="009E6533">
          <w:rPr>
            <w:rStyle w:val="Hyperlink"/>
          </w:rPr>
          <w:t>2.1</w:t>
        </w:r>
        <w:r w:rsidR="00141FF7">
          <w:rPr>
            <w:rFonts w:eastAsiaTheme="minorEastAsia"/>
            <w:noProof/>
            <w:szCs w:val="22"/>
            <w:lang w:val="en-US" w:eastAsia="en-US"/>
          </w:rPr>
          <w:tab/>
        </w:r>
        <w:r w:rsidR="00141FF7" w:rsidRPr="009E6533">
          <w:rPr>
            <w:rStyle w:val="Hyperlink"/>
          </w:rPr>
          <w:t>Diversity Criteria</w:t>
        </w:r>
        <w:r w:rsidR="00141FF7">
          <w:rPr>
            <w:noProof/>
            <w:webHidden/>
          </w:rPr>
          <w:tab/>
        </w:r>
        <w:r w:rsidR="00141FF7">
          <w:rPr>
            <w:noProof/>
            <w:webHidden/>
          </w:rPr>
          <w:fldChar w:fldCharType="begin"/>
        </w:r>
        <w:r w:rsidR="00141FF7">
          <w:rPr>
            <w:noProof/>
            <w:webHidden/>
          </w:rPr>
          <w:instrText xml:space="preserve"> PAGEREF _Toc24114371 \h </w:instrText>
        </w:r>
        <w:r w:rsidR="00141FF7">
          <w:rPr>
            <w:noProof/>
            <w:webHidden/>
          </w:rPr>
        </w:r>
        <w:r w:rsidR="00141FF7">
          <w:rPr>
            <w:noProof/>
            <w:webHidden/>
          </w:rPr>
          <w:fldChar w:fldCharType="separate"/>
        </w:r>
        <w:r w:rsidR="00AE4BA1">
          <w:rPr>
            <w:noProof/>
            <w:webHidden/>
          </w:rPr>
          <w:t>8</w:t>
        </w:r>
        <w:r w:rsidR="00141FF7">
          <w:rPr>
            <w:noProof/>
            <w:webHidden/>
          </w:rPr>
          <w:fldChar w:fldCharType="end"/>
        </w:r>
      </w:hyperlink>
    </w:p>
    <w:p w14:paraId="5DA67BF9" w14:textId="77777777" w:rsidR="00141FF7" w:rsidRDefault="002125ED">
      <w:pPr>
        <w:pStyle w:val="TOC3"/>
        <w:rPr>
          <w:rFonts w:eastAsiaTheme="minorEastAsia"/>
          <w:noProof/>
          <w:szCs w:val="22"/>
          <w:lang w:val="en-US" w:eastAsia="en-US"/>
        </w:rPr>
      </w:pPr>
      <w:hyperlink w:anchor="_Toc24114372" w:history="1">
        <w:r w:rsidR="00141FF7" w:rsidRPr="009E6533">
          <w:rPr>
            <w:rStyle w:val="Hyperlink"/>
          </w:rPr>
          <w:t>2.2</w:t>
        </w:r>
        <w:r w:rsidR="00141FF7">
          <w:rPr>
            <w:rFonts w:eastAsiaTheme="minorEastAsia"/>
            <w:noProof/>
            <w:szCs w:val="22"/>
            <w:lang w:val="en-US" w:eastAsia="en-US"/>
          </w:rPr>
          <w:tab/>
        </w:r>
        <w:r w:rsidR="00141FF7" w:rsidRPr="009E6533">
          <w:rPr>
            <w:rStyle w:val="Hyperlink"/>
          </w:rPr>
          <w:t>Number of Nominees per State</w:t>
        </w:r>
        <w:r w:rsidR="00141FF7">
          <w:rPr>
            <w:noProof/>
            <w:webHidden/>
          </w:rPr>
          <w:tab/>
        </w:r>
        <w:r w:rsidR="00141FF7">
          <w:rPr>
            <w:noProof/>
            <w:webHidden/>
          </w:rPr>
          <w:fldChar w:fldCharType="begin"/>
        </w:r>
        <w:r w:rsidR="00141FF7">
          <w:rPr>
            <w:noProof/>
            <w:webHidden/>
          </w:rPr>
          <w:instrText xml:space="preserve"> PAGEREF _Toc24114372 \h </w:instrText>
        </w:r>
        <w:r w:rsidR="00141FF7">
          <w:rPr>
            <w:noProof/>
            <w:webHidden/>
          </w:rPr>
        </w:r>
        <w:r w:rsidR="00141FF7">
          <w:rPr>
            <w:noProof/>
            <w:webHidden/>
          </w:rPr>
          <w:fldChar w:fldCharType="separate"/>
        </w:r>
        <w:r w:rsidR="00AE4BA1">
          <w:rPr>
            <w:noProof/>
            <w:webHidden/>
          </w:rPr>
          <w:t>9</w:t>
        </w:r>
        <w:r w:rsidR="00141FF7">
          <w:rPr>
            <w:noProof/>
            <w:webHidden/>
          </w:rPr>
          <w:fldChar w:fldCharType="end"/>
        </w:r>
      </w:hyperlink>
    </w:p>
    <w:p w14:paraId="56EEE848" w14:textId="77777777" w:rsidR="00141FF7" w:rsidRDefault="002125ED">
      <w:pPr>
        <w:pStyle w:val="TOC3"/>
        <w:rPr>
          <w:rFonts w:eastAsiaTheme="minorEastAsia"/>
          <w:noProof/>
          <w:szCs w:val="22"/>
          <w:lang w:val="en-US" w:eastAsia="en-US"/>
        </w:rPr>
      </w:pPr>
      <w:hyperlink w:anchor="_Toc24114373" w:history="1">
        <w:r w:rsidR="00141FF7" w:rsidRPr="009E6533">
          <w:rPr>
            <w:rStyle w:val="Hyperlink"/>
          </w:rPr>
          <w:t>2.3</w:t>
        </w:r>
        <w:r w:rsidR="00141FF7">
          <w:rPr>
            <w:rFonts w:eastAsiaTheme="minorEastAsia"/>
            <w:noProof/>
            <w:szCs w:val="22"/>
            <w:lang w:val="en-US" w:eastAsia="en-US"/>
          </w:rPr>
          <w:tab/>
        </w:r>
        <w:r w:rsidR="00141FF7" w:rsidRPr="009E6533">
          <w:rPr>
            <w:rStyle w:val="Hyperlink"/>
          </w:rPr>
          <w:t>Suitability Requirements</w:t>
        </w:r>
        <w:r w:rsidR="00141FF7">
          <w:rPr>
            <w:noProof/>
            <w:webHidden/>
          </w:rPr>
          <w:tab/>
        </w:r>
        <w:r w:rsidR="00141FF7">
          <w:rPr>
            <w:noProof/>
            <w:webHidden/>
          </w:rPr>
          <w:fldChar w:fldCharType="begin"/>
        </w:r>
        <w:r w:rsidR="00141FF7">
          <w:rPr>
            <w:noProof/>
            <w:webHidden/>
          </w:rPr>
          <w:instrText xml:space="preserve"> PAGEREF _Toc24114373 \h </w:instrText>
        </w:r>
        <w:r w:rsidR="00141FF7">
          <w:rPr>
            <w:noProof/>
            <w:webHidden/>
          </w:rPr>
        </w:r>
        <w:r w:rsidR="00141FF7">
          <w:rPr>
            <w:noProof/>
            <w:webHidden/>
          </w:rPr>
          <w:fldChar w:fldCharType="separate"/>
        </w:r>
        <w:r w:rsidR="00AE4BA1">
          <w:rPr>
            <w:noProof/>
            <w:webHidden/>
          </w:rPr>
          <w:t>9</w:t>
        </w:r>
        <w:r w:rsidR="00141FF7">
          <w:rPr>
            <w:noProof/>
            <w:webHidden/>
          </w:rPr>
          <w:fldChar w:fldCharType="end"/>
        </w:r>
      </w:hyperlink>
    </w:p>
    <w:p w14:paraId="2651F06B" w14:textId="77777777" w:rsidR="00141FF7" w:rsidRDefault="002125ED">
      <w:pPr>
        <w:pStyle w:val="TOC3"/>
        <w:rPr>
          <w:rFonts w:eastAsiaTheme="minorEastAsia"/>
          <w:noProof/>
          <w:szCs w:val="22"/>
          <w:lang w:val="en-US" w:eastAsia="en-US"/>
        </w:rPr>
      </w:pPr>
      <w:hyperlink w:anchor="_Toc24114374" w:history="1">
        <w:r w:rsidR="00141FF7" w:rsidRPr="009E6533">
          <w:rPr>
            <w:rStyle w:val="Hyperlink"/>
          </w:rPr>
          <w:t>2.4</w:t>
        </w:r>
        <w:r w:rsidR="00141FF7">
          <w:rPr>
            <w:rFonts w:eastAsiaTheme="minorEastAsia"/>
            <w:noProof/>
            <w:szCs w:val="22"/>
            <w:lang w:val="en-US" w:eastAsia="en-US"/>
          </w:rPr>
          <w:tab/>
        </w:r>
        <w:r w:rsidR="00141FF7" w:rsidRPr="009E6533">
          <w:rPr>
            <w:rStyle w:val="Hyperlink"/>
          </w:rPr>
          <w:t>Submission and Election Process</w:t>
        </w:r>
        <w:r w:rsidR="00141FF7">
          <w:rPr>
            <w:noProof/>
            <w:webHidden/>
          </w:rPr>
          <w:tab/>
        </w:r>
        <w:r w:rsidR="00141FF7">
          <w:rPr>
            <w:noProof/>
            <w:webHidden/>
          </w:rPr>
          <w:fldChar w:fldCharType="begin"/>
        </w:r>
        <w:r w:rsidR="00141FF7">
          <w:rPr>
            <w:noProof/>
            <w:webHidden/>
          </w:rPr>
          <w:instrText xml:space="preserve"> PAGEREF _Toc24114374 \h </w:instrText>
        </w:r>
        <w:r w:rsidR="00141FF7">
          <w:rPr>
            <w:noProof/>
            <w:webHidden/>
          </w:rPr>
        </w:r>
        <w:r w:rsidR="00141FF7">
          <w:rPr>
            <w:noProof/>
            <w:webHidden/>
          </w:rPr>
          <w:fldChar w:fldCharType="separate"/>
        </w:r>
        <w:r w:rsidR="00AE4BA1">
          <w:rPr>
            <w:noProof/>
            <w:webHidden/>
          </w:rPr>
          <w:t>10</w:t>
        </w:r>
        <w:r w:rsidR="00141FF7">
          <w:rPr>
            <w:noProof/>
            <w:webHidden/>
          </w:rPr>
          <w:fldChar w:fldCharType="end"/>
        </w:r>
      </w:hyperlink>
    </w:p>
    <w:p w14:paraId="3080FFAE" w14:textId="77777777" w:rsidR="00141FF7" w:rsidRDefault="002125ED">
      <w:pPr>
        <w:pStyle w:val="TOC3"/>
        <w:rPr>
          <w:rFonts w:eastAsiaTheme="minorEastAsia"/>
          <w:noProof/>
          <w:szCs w:val="22"/>
          <w:lang w:val="en-US" w:eastAsia="en-US"/>
        </w:rPr>
      </w:pPr>
      <w:hyperlink w:anchor="_Toc24114375" w:history="1">
        <w:r w:rsidR="00141FF7" w:rsidRPr="009E6533">
          <w:rPr>
            <w:rStyle w:val="Hyperlink"/>
          </w:rPr>
          <w:t>2.5</w:t>
        </w:r>
        <w:r w:rsidR="00141FF7">
          <w:rPr>
            <w:rFonts w:eastAsiaTheme="minorEastAsia"/>
            <w:noProof/>
            <w:szCs w:val="22"/>
            <w:lang w:val="en-US" w:eastAsia="en-US"/>
          </w:rPr>
          <w:tab/>
        </w:r>
        <w:r w:rsidR="00141FF7" w:rsidRPr="009E6533">
          <w:rPr>
            <w:rStyle w:val="Hyperlink"/>
          </w:rPr>
          <w:t>Terms</w:t>
        </w:r>
        <w:r w:rsidR="00141FF7">
          <w:rPr>
            <w:noProof/>
            <w:webHidden/>
          </w:rPr>
          <w:tab/>
        </w:r>
        <w:r w:rsidR="00141FF7">
          <w:rPr>
            <w:noProof/>
            <w:webHidden/>
          </w:rPr>
          <w:fldChar w:fldCharType="begin"/>
        </w:r>
        <w:r w:rsidR="00141FF7">
          <w:rPr>
            <w:noProof/>
            <w:webHidden/>
          </w:rPr>
          <w:instrText xml:space="preserve"> PAGEREF _Toc24114375 \h </w:instrText>
        </w:r>
        <w:r w:rsidR="00141FF7">
          <w:rPr>
            <w:noProof/>
            <w:webHidden/>
          </w:rPr>
        </w:r>
        <w:r w:rsidR="00141FF7">
          <w:rPr>
            <w:noProof/>
            <w:webHidden/>
          </w:rPr>
          <w:fldChar w:fldCharType="separate"/>
        </w:r>
        <w:r w:rsidR="00AE4BA1">
          <w:rPr>
            <w:noProof/>
            <w:webHidden/>
          </w:rPr>
          <w:t>10</w:t>
        </w:r>
        <w:r w:rsidR="00141FF7">
          <w:rPr>
            <w:noProof/>
            <w:webHidden/>
          </w:rPr>
          <w:fldChar w:fldCharType="end"/>
        </w:r>
      </w:hyperlink>
    </w:p>
    <w:p w14:paraId="5FDD82A3" w14:textId="77777777" w:rsidR="00141FF7" w:rsidRDefault="002125ED">
      <w:pPr>
        <w:pStyle w:val="TOC2"/>
        <w:rPr>
          <w:rFonts w:eastAsiaTheme="minorEastAsia"/>
          <w:caps w:val="0"/>
          <w:noProof/>
          <w:szCs w:val="22"/>
          <w:lang w:val="en-US" w:eastAsia="en-US"/>
        </w:rPr>
      </w:pPr>
      <w:hyperlink w:anchor="_Toc24114376" w:history="1">
        <w:r w:rsidR="00141FF7" w:rsidRPr="009E6533">
          <w:rPr>
            <w:rStyle w:val="Hyperlink"/>
          </w:rPr>
          <w:t>3.</w:t>
        </w:r>
        <w:r w:rsidR="00141FF7">
          <w:rPr>
            <w:rFonts w:eastAsiaTheme="minorEastAsia"/>
            <w:caps w:val="0"/>
            <w:noProof/>
            <w:szCs w:val="22"/>
            <w:lang w:val="en-US" w:eastAsia="en-US"/>
          </w:rPr>
          <w:tab/>
        </w:r>
        <w:r w:rsidR="00141FF7" w:rsidRPr="009E6533">
          <w:rPr>
            <w:rStyle w:val="Hyperlink"/>
          </w:rPr>
          <w:t>EXISTING TREATY BODY PRACTICES</w:t>
        </w:r>
        <w:r w:rsidR="00141FF7">
          <w:rPr>
            <w:noProof/>
            <w:webHidden/>
          </w:rPr>
          <w:tab/>
        </w:r>
        <w:r w:rsidR="00141FF7">
          <w:rPr>
            <w:noProof/>
            <w:webHidden/>
          </w:rPr>
          <w:fldChar w:fldCharType="begin"/>
        </w:r>
        <w:r w:rsidR="00141FF7">
          <w:rPr>
            <w:noProof/>
            <w:webHidden/>
          </w:rPr>
          <w:instrText xml:space="preserve"> PAGEREF _Toc24114376 \h </w:instrText>
        </w:r>
        <w:r w:rsidR="00141FF7">
          <w:rPr>
            <w:noProof/>
            <w:webHidden/>
          </w:rPr>
        </w:r>
        <w:r w:rsidR="00141FF7">
          <w:rPr>
            <w:noProof/>
            <w:webHidden/>
          </w:rPr>
          <w:fldChar w:fldCharType="separate"/>
        </w:r>
        <w:r w:rsidR="00AE4BA1">
          <w:rPr>
            <w:noProof/>
            <w:webHidden/>
          </w:rPr>
          <w:t>11</w:t>
        </w:r>
        <w:r w:rsidR="00141FF7">
          <w:rPr>
            <w:noProof/>
            <w:webHidden/>
          </w:rPr>
          <w:fldChar w:fldCharType="end"/>
        </w:r>
      </w:hyperlink>
    </w:p>
    <w:p w14:paraId="4FE98B8B" w14:textId="77777777" w:rsidR="00141FF7" w:rsidRDefault="002125ED">
      <w:pPr>
        <w:pStyle w:val="TOC3"/>
        <w:rPr>
          <w:rFonts w:eastAsiaTheme="minorEastAsia"/>
          <w:noProof/>
          <w:szCs w:val="22"/>
          <w:lang w:val="en-US" w:eastAsia="en-US"/>
        </w:rPr>
      </w:pPr>
      <w:hyperlink w:anchor="_Toc24114377" w:history="1">
        <w:r w:rsidR="00141FF7" w:rsidRPr="009E6533">
          <w:rPr>
            <w:rStyle w:val="Hyperlink"/>
          </w:rPr>
          <w:t>3.1</w:t>
        </w:r>
        <w:r w:rsidR="00141FF7">
          <w:rPr>
            <w:rFonts w:eastAsiaTheme="minorEastAsia"/>
            <w:noProof/>
            <w:szCs w:val="22"/>
            <w:lang w:val="en-US" w:eastAsia="en-US"/>
          </w:rPr>
          <w:tab/>
        </w:r>
        <w:r w:rsidR="00141FF7" w:rsidRPr="009E6533">
          <w:rPr>
            <w:rStyle w:val="Hyperlink"/>
          </w:rPr>
          <w:t>Nomination</w:t>
        </w:r>
        <w:r w:rsidR="00141FF7">
          <w:rPr>
            <w:noProof/>
            <w:webHidden/>
          </w:rPr>
          <w:tab/>
        </w:r>
        <w:r w:rsidR="00141FF7">
          <w:rPr>
            <w:noProof/>
            <w:webHidden/>
          </w:rPr>
          <w:fldChar w:fldCharType="begin"/>
        </w:r>
        <w:r w:rsidR="00141FF7">
          <w:rPr>
            <w:noProof/>
            <w:webHidden/>
          </w:rPr>
          <w:instrText xml:space="preserve"> PAGEREF _Toc24114377 \h </w:instrText>
        </w:r>
        <w:r w:rsidR="00141FF7">
          <w:rPr>
            <w:noProof/>
            <w:webHidden/>
          </w:rPr>
        </w:r>
        <w:r w:rsidR="00141FF7">
          <w:rPr>
            <w:noProof/>
            <w:webHidden/>
          </w:rPr>
          <w:fldChar w:fldCharType="separate"/>
        </w:r>
        <w:r w:rsidR="00AE4BA1">
          <w:rPr>
            <w:noProof/>
            <w:webHidden/>
          </w:rPr>
          <w:t>11</w:t>
        </w:r>
        <w:r w:rsidR="00141FF7">
          <w:rPr>
            <w:noProof/>
            <w:webHidden/>
          </w:rPr>
          <w:fldChar w:fldCharType="end"/>
        </w:r>
      </w:hyperlink>
    </w:p>
    <w:p w14:paraId="4D9B35A7" w14:textId="77777777" w:rsidR="00141FF7" w:rsidRDefault="002125ED">
      <w:pPr>
        <w:pStyle w:val="TOC3"/>
        <w:rPr>
          <w:rFonts w:eastAsiaTheme="minorEastAsia"/>
          <w:noProof/>
          <w:szCs w:val="22"/>
          <w:lang w:val="en-US" w:eastAsia="en-US"/>
        </w:rPr>
      </w:pPr>
      <w:hyperlink w:anchor="_Toc24114378" w:history="1">
        <w:r w:rsidR="00141FF7" w:rsidRPr="009E6533">
          <w:rPr>
            <w:rStyle w:val="Hyperlink"/>
          </w:rPr>
          <w:t>3.2</w:t>
        </w:r>
        <w:r w:rsidR="00141FF7">
          <w:rPr>
            <w:rFonts w:eastAsiaTheme="minorEastAsia"/>
            <w:noProof/>
            <w:szCs w:val="22"/>
            <w:lang w:val="en-US" w:eastAsia="en-US"/>
          </w:rPr>
          <w:tab/>
        </w:r>
        <w:r w:rsidR="00141FF7" w:rsidRPr="009E6533">
          <w:rPr>
            <w:rStyle w:val="Hyperlink"/>
          </w:rPr>
          <w:t>Existing Support and Recommendations for Gender Balance in Treaty Bodies</w:t>
        </w:r>
        <w:r w:rsidR="00141FF7">
          <w:rPr>
            <w:noProof/>
            <w:webHidden/>
          </w:rPr>
          <w:tab/>
        </w:r>
        <w:r w:rsidR="00141FF7">
          <w:rPr>
            <w:noProof/>
            <w:webHidden/>
          </w:rPr>
          <w:fldChar w:fldCharType="begin"/>
        </w:r>
        <w:r w:rsidR="00141FF7">
          <w:rPr>
            <w:noProof/>
            <w:webHidden/>
          </w:rPr>
          <w:instrText xml:space="preserve"> PAGEREF _Toc24114378 \h </w:instrText>
        </w:r>
        <w:r w:rsidR="00141FF7">
          <w:rPr>
            <w:noProof/>
            <w:webHidden/>
          </w:rPr>
        </w:r>
        <w:r w:rsidR="00141FF7">
          <w:rPr>
            <w:noProof/>
            <w:webHidden/>
          </w:rPr>
          <w:fldChar w:fldCharType="separate"/>
        </w:r>
        <w:r w:rsidR="00AE4BA1">
          <w:rPr>
            <w:noProof/>
            <w:webHidden/>
          </w:rPr>
          <w:t>12</w:t>
        </w:r>
        <w:r w:rsidR="00141FF7">
          <w:rPr>
            <w:noProof/>
            <w:webHidden/>
          </w:rPr>
          <w:fldChar w:fldCharType="end"/>
        </w:r>
      </w:hyperlink>
    </w:p>
    <w:p w14:paraId="56661F8F" w14:textId="77777777" w:rsidR="00141FF7" w:rsidRDefault="002125ED">
      <w:pPr>
        <w:pStyle w:val="TOC2"/>
        <w:rPr>
          <w:rFonts w:eastAsiaTheme="minorEastAsia"/>
          <w:caps w:val="0"/>
          <w:noProof/>
          <w:szCs w:val="22"/>
          <w:lang w:val="en-US" w:eastAsia="en-US"/>
        </w:rPr>
      </w:pPr>
      <w:hyperlink w:anchor="_Toc24114379" w:history="1">
        <w:r w:rsidR="00141FF7" w:rsidRPr="009E6533">
          <w:rPr>
            <w:rStyle w:val="Hyperlink"/>
          </w:rPr>
          <w:t>4.</w:t>
        </w:r>
        <w:r w:rsidR="00141FF7">
          <w:rPr>
            <w:rFonts w:eastAsiaTheme="minorEastAsia"/>
            <w:caps w:val="0"/>
            <w:noProof/>
            <w:szCs w:val="22"/>
            <w:lang w:val="en-US" w:eastAsia="en-US"/>
          </w:rPr>
          <w:tab/>
        </w:r>
        <w:r w:rsidR="00141FF7" w:rsidRPr="009E6533">
          <w:rPr>
            <w:rStyle w:val="Hyperlink"/>
          </w:rPr>
          <w:t>INTERNATIONAL BEST PRACTICES</w:t>
        </w:r>
        <w:r w:rsidR="00141FF7">
          <w:rPr>
            <w:noProof/>
            <w:webHidden/>
          </w:rPr>
          <w:tab/>
        </w:r>
        <w:r w:rsidR="00141FF7">
          <w:rPr>
            <w:noProof/>
            <w:webHidden/>
          </w:rPr>
          <w:fldChar w:fldCharType="begin"/>
        </w:r>
        <w:r w:rsidR="00141FF7">
          <w:rPr>
            <w:noProof/>
            <w:webHidden/>
          </w:rPr>
          <w:instrText xml:space="preserve"> PAGEREF _Toc24114379 \h </w:instrText>
        </w:r>
        <w:r w:rsidR="00141FF7">
          <w:rPr>
            <w:noProof/>
            <w:webHidden/>
          </w:rPr>
        </w:r>
        <w:r w:rsidR="00141FF7">
          <w:rPr>
            <w:noProof/>
            <w:webHidden/>
          </w:rPr>
          <w:fldChar w:fldCharType="separate"/>
        </w:r>
        <w:r w:rsidR="00AE4BA1">
          <w:rPr>
            <w:noProof/>
            <w:webHidden/>
          </w:rPr>
          <w:t>15</w:t>
        </w:r>
        <w:r w:rsidR="00141FF7">
          <w:rPr>
            <w:noProof/>
            <w:webHidden/>
          </w:rPr>
          <w:fldChar w:fldCharType="end"/>
        </w:r>
      </w:hyperlink>
    </w:p>
    <w:p w14:paraId="26D58D43" w14:textId="77777777" w:rsidR="00141FF7" w:rsidRDefault="002125ED">
      <w:pPr>
        <w:pStyle w:val="TOC3"/>
        <w:rPr>
          <w:rFonts w:eastAsiaTheme="minorEastAsia"/>
          <w:noProof/>
          <w:szCs w:val="22"/>
          <w:lang w:val="en-US" w:eastAsia="en-US"/>
        </w:rPr>
      </w:pPr>
      <w:hyperlink w:anchor="_Toc24114380" w:history="1">
        <w:r w:rsidR="00141FF7" w:rsidRPr="009E6533">
          <w:rPr>
            <w:rStyle w:val="Hyperlink"/>
          </w:rPr>
          <w:t>4.1</w:t>
        </w:r>
        <w:r w:rsidR="00141FF7">
          <w:rPr>
            <w:rFonts w:eastAsiaTheme="minorEastAsia"/>
            <w:noProof/>
            <w:szCs w:val="22"/>
            <w:lang w:val="en-US" w:eastAsia="en-US"/>
          </w:rPr>
          <w:tab/>
        </w:r>
        <w:r w:rsidR="00141FF7" w:rsidRPr="009E6533">
          <w:rPr>
            <w:rStyle w:val="Hyperlink"/>
          </w:rPr>
          <w:t>Parliamentary Assembly</w:t>
        </w:r>
        <w:r w:rsidR="00141FF7">
          <w:rPr>
            <w:noProof/>
            <w:webHidden/>
          </w:rPr>
          <w:tab/>
        </w:r>
        <w:r w:rsidR="00141FF7">
          <w:rPr>
            <w:noProof/>
            <w:webHidden/>
          </w:rPr>
          <w:fldChar w:fldCharType="begin"/>
        </w:r>
        <w:r w:rsidR="00141FF7">
          <w:rPr>
            <w:noProof/>
            <w:webHidden/>
          </w:rPr>
          <w:instrText xml:space="preserve"> PAGEREF _Toc24114380 \h </w:instrText>
        </w:r>
        <w:r w:rsidR="00141FF7">
          <w:rPr>
            <w:noProof/>
            <w:webHidden/>
          </w:rPr>
        </w:r>
        <w:r w:rsidR="00141FF7">
          <w:rPr>
            <w:noProof/>
            <w:webHidden/>
          </w:rPr>
          <w:fldChar w:fldCharType="separate"/>
        </w:r>
        <w:r w:rsidR="00AE4BA1">
          <w:rPr>
            <w:noProof/>
            <w:webHidden/>
          </w:rPr>
          <w:t>15</w:t>
        </w:r>
        <w:r w:rsidR="00141FF7">
          <w:rPr>
            <w:noProof/>
            <w:webHidden/>
          </w:rPr>
          <w:fldChar w:fldCharType="end"/>
        </w:r>
      </w:hyperlink>
    </w:p>
    <w:p w14:paraId="699914C9" w14:textId="77777777" w:rsidR="00141FF7" w:rsidRDefault="002125ED">
      <w:pPr>
        <w:pStyle w:val="TOC3"/>
        <w:rPr>
          <w:rFonts w:eastAsiaTheme="minorEastAsia"/>
          <w:noProof/>
          <w:szCs w:val="22"/>
          <w:lang w:val="en-US" w:eastAsia="en-US"/>
        </w:rPr>
      </w:pPr>
      <w:hyperlink w:anchor="_Toc24114381" w:history="1">
        <w:r w:rsidR="00141FF7" w:rsidRPr="009E6533">
          <w:rPr>
            <w:rStyle w:val="Hyperlink"/>
          </w:rPr>
          <w:t>4.2</w:t>
        </w:r>
        <w:r w:rsidR="00141FF7">
          <w:rPr>
            <w:rFonts w:eastAsiaTheme="minorEastAsia"/>
            <w:noProof/>
            <w:szCs w:val="22"/>
            <w:lang w:val="en-US" w:eastAsia="en-US"/>
          </w:rPr>
          <w:tab/>
        </w:r>
        <w:r w:rsidR="00141FF7" w:rsidRPr="009E6533">
          <w:rPr>
            <w:rStyle w:val="Hyperlink"/>
          </w:rPr>
          <w:t>ICC</w:t>
        </w:r>
        <w:r w:rsidR="00141FF7">
          <w:rPr>
            <w:noProof/>
            <w:webHidden/>
          </w:rPr>
          <w:tab/>
        </w:r>
        <w:r w:rsidR="00141FF7">
          <w:rPr>
            <w:noProof/>
            <w:webHidden/>
          </w:rPr>
          <w:fldChar w:fldCharType="begin"/>
        </w:r>
        <w:r w:rsidR="00141FF7">
          <w:rPr>
            <w:noProof/>
            <w:webHidden/>
          </w:rPr>
          <w:instrText xml:space="preserve"> PAGEREF _Toc24114381 \h </w:instrText>
        </w:r>
        <w:r w:rsidR="00141FF7">
          <w:rPr>
            <w:noProof/>
            <w:webHidden/>
          </w:rPr>
        </w:r>
        <w:r w:rsidR="00141FF7">
          <w:rPr>
            <w:noProof/>
            <w:webHidden/>
          </w:rPr>
          <w:fldChar w:fldCharType="separate"/>
        </w:r>
        <w:r w:rsidR="00AE4BA1">
          <w:rPr>
            <w:noProof/>
            <w:webHidden/>
          </w:rPr>
          <w:t>17</w:t>
        </w:r>
        <w:r w:rsidR="00141FF7">
          <w:rPr>
            <w:noProof/>
            <w:webHidden/>
          </w:rPr>
          <w:fldChar w:fldCharType="end"/>
        </w:r>
      </w:hyperlink>
    </w:p>
    <w:p w14:paraId="30BF4DDE" w14:textId="77777777" w:rsidR="00141FF7" w:rsidRDefault="002125ED">
      <w:pPr>
        <w:pStyle w:val="TOC2"/>
        <w:rPr>
          <w:rFonts w:eastAsiaTheme="minorEastAsia"/>
          <w:caps w:val="0"/>
          <w:noProof/>
          <w:szCs w:val="22"/>
          <w:lang w:val="en-US" w:eastAsia="en-US"/>
        </w:rPr>
      </w:pPr>
      <w:hyperlink w:anchor="_Toc24114382" w:history="1">
        <w:r w:rsidR="00141FF7" w:rsidRPr="009E6533">
          <w:rPr>
            <w:rStyle w:val="Hyperlink"/>
          </w:rPr>
          <w:t>5.</w:t>
        </w:r>
        <w:r w:rsidR="00141FF7">
          <w:rPr>
            <w:rFonts w:eastAsiaTheme="minorEastAsia"/>
            <w:caps w:val="0"/>
            <w:noProof/>
            <w:szCs w:val="22"/>
            <w:lang w:val="en-US" w:eastAsia="en-US"/>
          </w:rPr>
          <w:tab/>
        </w:r>
        <w:r w:rsidR="00141FF7" w:rsidRPr="009E6533">
          <w:rPr>
            <w:rStyle w:val="Hyperlink"/>
          </w:rPr>
          <w:t>EUROPEAN INITIATIVES</w:t>
        </w:r>
        <w:r w:rsidR="00141FF7">
          <w:rPr>
            <w:noProof/>
            <w:webHidden/>
          </w:rPr>
          <w:tab/>
        </w:r>
        <w:r w:rsidR="00141FF7">
          <w:rPr>
            <w:noProof/>
            <w:webHidden/>
          </w:rPr>
          <w:fldChar w:fldCharType="begin"/>
        </w:r>
        <w:r w:rsidR="00141FF7">
          <w:rPr>
            <w:noProof/>
            <w:webHidden/>
          </w:rPr>
          <w:instrText xml:space="preserve"> PAGEREF _Toc24114382 \h </w:instrText>
        </w:r>
        <w:r w:rsidR="00141FF7">
          <w:rPr>
            <w:noProof/>
            <w:webHidden/>
          </w:rPr>
        </w:r>
        <w:r w:rsidR="00141FF7">
          <w:rPr>
            <w:noProof/>
            <w:webHidden/>
          </w:rPr>
          <w:fldChar w:fldCharType="separate"/>
        </w:r>
        <w:r w:rsidR="00AE4BA1">
          <w:rPr>
            <w:noProof/>
            <w:webHidden/>
          </w:rPr>
          <w:t>19</w:t>
        </w:r>
        <w:r w:rsidR="00141FF7">
          <w:rPr>
            <w:noProof/>
            <w:webHidden/>
          </w:rPr>
          <w:fldChar w:fldCharType="end"/>
        </w:r>
      </w:hyperlink>
    </w:p>
    <w:p w14:paraId="361B183D" w14:textId="77777777" w:rsidR="00141FF7" w:rsidRDefault="002125ED">
      <w:pPr>
        <w:pStyle w:val="TOC3"/>
        <w:rPr>
          <w:rFonts w:eastAsiaTheme="minorEastAsia"/>
          <w:noProof/>
          <w:szCs w:val="22"/>
          <w:lang w:val="en-US" w:eastAsia="en-US"/>
        </w:rPr>
      </w:pPr>
      <w:hyperlink w:anchor="_Toc24114383" w:history="1">
        <w:r w:rsidR="00141FF7" w:rsidRPr="009E6533">
          <w:rPr>
            <w:rStyle w:val="Hyperlink"/>
          </w:rPr>
          <w:t>5.1</w:t>
        </w:r>
        <w:r w:rsidR="00141FF7">
          <w:rPr>
            <w:rFonts w:eastAsiaTheme="minorEastAsia"/>
            <w:noProof/>
            <w:szCs w:val="22"/>
            <w:lang w:val="en-US" w:eastAsia="en-US"/>
          </w:rPr>
          <w:tab/>
        </w:r>
        <w:r w:rsidR="00141FF7" w:rsidRPr="009E6533">
          <w:rPr>
            <w:rStyle w:val="Hyperlink"/>
          </w:rPr>
          <w:t>Introduction</w:t>
        </w:r>
        <w:r w:rsidR="00141FF7">
          <w:rPr>
            <w:noProof/>
            <w:webHidden/>
          </w:rPr>
          <w:tab/>
        </w:r>
        <w:r w:rsidR="00141FF7">
          <w:rPr>
            <w:noProof/>
            <w:webHidden/>
          </w:rPr>
          <w:fldChar w:fldCharType="begin"/>
        </w:r>
        <w:r w:rsidR="00141FF7">
          <w:rPr>
            <w:noProof/>
            <w:webHidden/>
          </w:rPr>
          <w:instrText xml:space="preserve"> PAGEREF _Toc24114383 \h </w:instrText>
        </w:r>
        <w:r w:rsidR="00141FF7">
          <w:rPr>
            <w:noProof/>
            <w:webHidden/>
          </w:rPr>
        </w:r>
        <w:r w:rsidR="00141FF7">
          <w:rPr>
            <w:noProof/>
            <w:webHidden/>
          </w:rPr>
          <w:fldChar w:fldCharType="separate"/>
        </w:r>
        <w:r w:rsidR="00AE4BA1">
          <w:rPr>
            <w:noProof/>
            <w:webHidden/>
          </w:rPr>
          <w:t>19</w:t>
        </w:r>
        <w:r w:rsidR="00141FF7">
          <w:rPr>
            <w:noProof/>
            <w:webHidden/>
          </w:rPr>
          <w:fldChar w:fldCharType="end"/>
        </w:r>
      </w:hyperlink>
    </w:p>
    <w:p w14:paraId="487DA6CA" w14:textId="77777777" w:rsidR="00141FF7" w:rsidRDefault="002125ED">
      <w:pPr>
        <w:pStyle w:val="TOC3"/>
        <w:rPr>
          <w:rFonts w:eastAsiaTheme="minorEastAsia"/>
          <w:noProof/>
          <w:szCs w:val="22"/>
          <w:lang w:val="en-US" w:eastAsia="en-US"/>
        </w:rPr>
      </w:pPr>
      <w:hyperlink w:anchor="_Toc24114384" w:history="1">
        <w:r w:rsidR="00141FF7" w:rsidRPr="009E6533">
          <w:rPr>
            <w:rStyle w:val="Hyperlink"/>
          </w:rPr>
          <w:t>5.2</w:t>
        </w:r>
        <w:r w:rsidR="00141FF7">
          <w:rPr>
            <w:rFonts w:eastAsiaTheme="minorEastAsia"/>
            <w:noProof/>
            <w:szCs w:val="22"/>
            <w:lang w:val="en-US" w:eastAsia="en-US"/>
          </w:rPr>
          <w:tab/>
        </w:r>
        <w:r w:rsidR="00141FF7" w:rsidRPr="009E6533">
          <w:rPr>
            <w:rStyle w:val="Hyperlink"/>
          </w:rPr>
          <w:t>Proposed Directive Regarding Gender Balance on Corporate Boards</w:t>
        </w:r>
        <w:r w:rsidR="00141FF7">
          <w:rPr>
            <w:noProof/>
            <w:webHidden/>
          </w:rPr>
          <w:tab/>
        </w:r>
        <w:r w:rsidR="00141FF7">
          <w:rPr>
            <w:noProof/>
            <w:webHidden/>
          </w:rPr>
          <w:fldChar w:fldCharType="begin"/>
        </w:r>
        <w:r w:rsidR="00141FF7">
          <w:rPr>
            <w:noProof/>
            <w:webHidden/>
          </w:rPr>
          <w:instrText xml:space="preserve"> PAGEREF _Toc24114384 \h </w:instrText>
        </w:r>
        <w:r w:rsidR="00141FF7">
          <w:rPr>
            <w:noProof/>
            <w:webHidden/>
          </w:rPr>
        </w:r>
        <w:r w:rsidR="00141FF7">
          <w:rPr>
            <w:noProof/>
            <w:webHidden/>
          </w:rPr>
          <w:fldChar w:fldCharType="separate"/>
        </w:r>
        <w:r w:rsidR="00AE4BA1">
          <w:rPr>
            <w:noProof/>
            <w:webHidden/>
          </w:rPr>
          <w:t>20</w:t>
        </w:r>
        <w:r w:rsidR="00141FF7">
          <w:rPr>
            <w:noProof/>
            <w:webHidden/>
          </w:rPr>
          <w:fldChar w:fldCharType="end"/>
        </w:r>
      </w:hyperlink>
    </w:p>
    <w:p w14:paraId="177469EE" w14:textId="77777777" w:rsidR="00141FF7" w:rsidRDefault="002125ED">
      <w:pPr>
        <w:pStyle w:val="TOC3"/>
        <w:rPr>
          <w:rFonts w:eastAsiaTheme="minorEastAsia"/>
          <w:noProof/>
          <w:szCs w:val="22"/>
          <w:lang w:val="en-US" w:eastAsia="en-US"/>
        </w:rPr>
      </w:pPr>
      <w:hyperlink w:anchor="_Toc24114385" w:history="1">
        <w:r w:rsidR="00141FF7" w:rsidRPr="009E6533">
          <w:rPr>
            <w:rStyle w:val="Hyperlink"/>
          </w:rPr>
          <w:t>5.3</w:t>
        </w:r>
        <w:r w:rsidR="00141FF7">
          <w:rPr>
            <w:rFonts w:eastAsiaTheme="minorEastAsia"/>
            <w:noProof/>
            <w:szCs w:val="22"/>
            <w:lang w:val="en-US" w:eastAsia="en-US"/>
          </w:rPr>
          <w:tab/>
        </w:r>
        <w:r w:rsidR="00141FF7" w:rsidRPr="009E6533">
          <w:rPr>
            <w:rStyle w:val="Hyperlink"/>
          </w:rPr>
          <w:t>Other Initiatives</w:t>
        </w:r>
        <w:r w:rsidR="00141FF7">
          <w:rPr>
            <w:noProof/>
            <w:webHidden/>
          </w:rPr>
          <w:tab/>
        </w:r>
        <w:r w:rsidR="00141FF7">
          <w:rPr>
            <w:noProof/>
            <w:webHidden/>
          </w:rPr>
          <w:fldChar w:fldCharType="begin"/>
        </w:r>
        <w:r w:rsidR="00141FF7">
          <w:rPr>
            <w:noProof/>
            <w:webHidden/>
          </w:rPr>
          <w:instrText xml:space="preserve"> PAGEREF _Toc24114385 \h </w:instrText>
        </w:r>
        <w:r w:rsidR="00141FF7">
          <w:rPr>
            <w:noProof/>
            <w:webHidden/>
          </w:rPr>
        </w:r>
        <w:r w:rsidR="00141FF7">
          <w:rPr>
            <w:noProof/>
            <w:webHidden/>
          </w:rPr>
          <w:fldChar w:fldCharType="separate"/>
        </w:r>
        <w:r w:rsidR="00AE4BA1">
          <w:rPr>
            <w:noProof/>
            <w:webHidden/>
          </w:rPr>
          <w:t>22</w:t>
        </w:r>
        <w:r w:rsidR="00141FF7">
          <w:rPr>
            <w:noProof/>
            <w:webHidden/>
          </w:rPr>
          <w:fldChar w:fldCharType="end"/>
        </w:r>
      </w:hyperlink>
    </w:p>
    <w:p w14:paraId="68107B11" w14:textId="77777777" w:rsidR="00141FF7" w:rsidRDefault="002125ED">
      <w:pPr>
        <w:pStyle w:val="TOC3"/>
        <w:rPr>
          <w:rFonts w:eastAsiaTheme="minorEastAsia"/>
          <w:noProof/>
          <w:szCs w:val="22"/>
          <w:lang w:val="en-US" w:eastAsia="en-US"/>
        </w:rPr>
      </w:pPr>
      <w:hyperlink w:anchor="_Toc24114386" w:history="1">
        <w:r w:rsidR="00141FF7" w:rsidRPr="009E6533">
          <w:rPr>
            <w:rStyle w:val="Hyperlink"/>
          </w:rPr>
          <w:t>5.4</w:t>
        </w:r>
        <w:r w:rsidR="00141FF7">
          <w:rPr>
            <w:rFonts w:eastAsiaTheme="minorEastAsia"/>
            <w:noProof/>
            <w:szCs w:val="22"/>
            <w:lang w:val="en-US" w:eastAsia="en-US"/>
          </w:rPr>
          <w:tab/>
        </w:r>
        <w:r w:rsidR="00141FF7" w:rsidRPr="009E6533">
          <w:rPr>
            <w:rStyle w:val="Hyperlink"/>
          </w:rPr>
          <w:t>Conclusion</w:t>
        </w:r>
        <w:r w:rsidR="00141FF7">
          <w:rPr>
            <w:noProof/>
            <w:webHidden/>
          </w:rPr>
          <w:tab/>
        </w:r>
        <w:r w:rsidR="00141FF7">
          <w:rPr>
            <w:noProof/>
            <w:webHidden/>
          </w:rPr>
          <w:fldChar w:fldCharType="begin"/>
        </w:r>
        <w:r w:rsidR="00141FF7">
          <w:rPr>
            <w:noProof/>
            <w:webHidden/>
          </w:rPr>
          <w:instrText xml:space="preserve"> PAGEREF _Toc24114386 \h </w:instrText>
        </w:r>
        <w:r w:rsidR="00141FF7">
          <w:rPr>
            <w:noProof/>
            <w:webHidden/>
          </w:rPr>
        </w:r>
        <w:r w:rsidR="00141FF7">
          <w:rPr>
            <w:noProof/>
            <w:webHidden/>
          </w:rPr>
          <w:fldChar w:fldCharType="separate"/>
        </w:r>
        <w:r w:rsidR="00AE4BA1">
          <w:rPr>
            <w:noProof/>
            <w:webHidden/>
          </w:rPr>
          <w:t>24</w:t>
        </w:r>
        <w:r w:rsidR="00141FF7">
          <w:rPr>
            <w:noProof/>
            <w:webHidden/>
          </w:rPr>
          <w:fldChar w:fldCharType="end"/>
        </w:r>
      </w:hyperlink>
    </w:p>
    <w:p w14:paraId="5B4E3070" w14:textId="77777777" w:rsidR="00141FF7" w:rsidRDefault="002125ED">
      <w:pPr>
        <w:pStyle w:val="TOC1"/>
        <w:rPr>
          <w:rFonts w:eastAsiaTheme="minorEastAsia"/>
          <w:noProof/>
          <w:szCs w:val="22"/>
          <w:lang w:val="en-US" w:eastAsia="en-US"/>
        </w:rPr>
      </w:pPr>
      <w:hyperlink w:anchor="_Toc24114387" w:history="1">
        <w:r w:rsidR="00141FF7" w:rsidRPr="009E6533">
          <w:rPr>
            <w:rStyle w:val="Hyperlink"/>
          </w:rPr>
          <w:t>SECTION III.</w:t>
        </w:r>
        <w:r w:rsidR="00141FF7">
          <w:rPr>
            <w:rFonts w:eastAsiaTheme="minorEastAsia"/>
            <w:noProof/>
            <w:szCs w:val="22"/>
            <w:lang w:val="en-US" w:eastAsia="en-US"/>
          </w:rPr>
          <w:tab/>
        </w:r>
        <w:r w:rsidR="00141FF7" w:rsidRPr="009E6533">
          <w:rPr>
            <w:rStyle w:val="Hyperlink"/>
          </w:rPr>
          <w:t>CURRENT &amp; BEST PRACTICES AROUND THE WORLD IN THE PRIVATE SECTOR</w:t>
        </w:r>
        <w:r w:rsidR="00141FF7">
          <w:rPr>
            <w:noProof/>
            <w:webHidden/>
          </w:rPr>
          <w:tab/>
        </w:r>
        <w:r w:rsidR="00141FF7">
          <w:rPr>
            <w:noProof/>
            <w:webHidden/>
          </w:rPr>
          <w:fldChar w:fldCharType="begin"/>
        </w:r>
        <w:r w:rsidR="00141FF7">
          <w:rPr>
            <w:noProof/>
            <w:webHidden/>
          </w:rPr>
          <w:instrText xml:space="preserve"> PAGEREF _Toc24114387 \h </w:instrText>
        </w:r>
        <w:r w:rsidR="00141FF7">
          <w:rPr>
            <w:noProof/>
            <w:webHidden/>
          </w:rPr>
        </w:r>
        <w:r w:rsidR="00141FF7">
          <w:rPr>
            <w:noProof/>
            <w:webHidden/>
          </w:rPr>
          <w:fldChar w:fldCharType="separate"/>
        </w:r>
        <w:r w:rsidR="00AE4BA1">
          <w:rPr>
            <w:noProof/>
            <w:webHidden/>
          </w:rPr>
          <w:t>26</w:t>
        </w:r>
        <w:r w:rsidR="00141FF7">
          <w:rPr>
            <w:noProof/>
            <w:webHidden/>
          </w:rPr>
          <w:fldChar w:fldCharType="end"/>
        </w:r>
      </w:hyperlink>
    </w:p>
    <w:p w14:paraId="61A51CCA" w14:textId="77777777" w:rsidR="00141FF7" w:rsidRDefault="002125ED">
      <w:pPr>
        <w:pStyle w:val="TOC2"/>
        <w:rPr>
          <w:rFonts w:eastAsiaTheme="minorEastAsia"/>
          <w:caps w:val="0"/>
          <w:noProof/>
          <w:szCs w:val="22"/>
          <w:lang w:val="en-US" w:eastAsia="en-US"/>
        </w:rPr>
      </w:pPr>
      <w:hyperlink w:anchor="_Toc24114388" w:history="1">
        <w:r w:rsidR="00141FF7" w:rsidRPr="009E6533">
          <w:rPr>
            <w:rStyle w:val="Hyperlink"/>
          </w:rPr>
          <w:t>1.</w:t>
        </w:r>
        <w:r w:rsidR="00141FF7">
          <w:rPr>
            <w:rFonts w:eastAsiaTheme="minorEastAsia"/>
            <w:caps w:val="0"/>
            <w:noProof/>
            <w:szCs w:val="22"/>
            <w:lang w:val="en-US" w:eastAsia="en-US"/>
          </w:rPr>
          <w:tab/>
        </w:r>
        <w:r w:rsidR="00141FF7" w:rsidRPr="009E6533">
          <w:rPr>
            <w:rStyle w:val="Hyperlink"/>
          </w:rPr>
          <w:t>Europe</w:t>
        </w:r>
        <w:r w:rsidR="00141FF7">
          <w:rPr>
            <w:noProof/>
            <w:webHidden/>
          </w:rPr>
          <w:tab/>
        </w:r>
        <w:r w:rsidR="00141FF7">
          <w:rPr>
            <w:noProof/>
            <w:webHidden/>
          </w:rPr>
          <w:fldChar w:fldCharType="begin"/>
        </w:r>
        <w:r w:rsidR="00141FF7">
          <w:rPr>
            <w:noProof/>
            <w:webHidden/>
          </w:rPr>
          <w:instrText xml:space="preserve"> PAGEREF _Toc24114388 \h </w:instrText>
        </w:r>
        <w:r w:rsidR="00141FF7">
          <w:rPr>
            <w:noProof/>
            <w:webHidden/>
          </w:rPr>
        </w:r>
        <w:r w:rsidR="00141FF7">
          <w:rPr>
            <w:noProof/>
            <w:webHidden/>
          </w:rPr>
          <w:fldChar w:fldCharType="separate"/>
        </w:r>
        <w:r w:rsidR="00AE4BA1">
          <w:rPr>
            <w:noProof/>
            <w:webHidden/>
          </w:rPr>
          <w:t>26</w:t>
        </w:r>
        <w:r w:rsidR="00141FF7">
          <w:rPr>
            <w:noProof/>
            <w:webHidden/>
          </w:rPr>
          <w:fldChar w:fldCharType="end"/>
        </w:r>
      </w:hyperlink>
    </w:p>
    <w:p w14:paraId="164E6500" w14:textId="77777777" w:rsidR="00141FF7" w:rsidRDefault="002125ED">
      <w:pPr>
        <w:pStyle w:val="TOC3"/>
        <w:rPr>
          <w:rFonts w:eastAsiaTheme="minorEastAsia"/>
          <w:noProof/>
          <w:szCs w:val="22"/>
          <w:lang w:val="en-US" w:eastAsia="en-US"/>
        </w:rPr>
      </w:pPr>
      <w:hyperlink w:anchor="_Toc24114389" w:history="1">
        <w:r w:rsidR="00141FF7" w:rsidRPr="009E6533">
          <w:rPr>
            <w:rStyle w:val="Hyperlink"/>
          </w:rPr>
          <w:t>1.1</w:t>
        </w:r>
        <w:r w:rsidR="00141FF7">
          <w:rPr>
            <w:rFonts w:eastAsiaTheme="minorEastAsia"/>
            <w:noProof/>
            <w:szCs w:val="22"/>
            <w:lang w:val="en-US" w:eastAsia="en-US"/>
          </w:rPr>
          <w:tab/>
        </w:r>
        <w:r w:rsidR="00141FF7" w:rsidRPr="009E6533">
          <w:rPr>
            <w:rStyle w:val="Hyperlink"/>
          </w:rPr>
          <w:t>The Nordic Countries</w:t>
        </w:r>
        <w:r w:rsidR="00141FF7">
          <w:rPr>
            <w:noProof/>
            <w:webHidden/>
          </w:rPr>
          <w:tab/>
        </w:r>
        <w:r w:rsidR="00141FF7">
          <w:rPr>
            <w:noProof/>
            <w:webHidden/>
          </w:rPr>
          <w:fldChar w:fldCharType="begin"/>
        </w:r>
        <w:r w:rsidR="00141FF7">
          <w:rPr>
            <w:noProof/>
            <w:webHidden/>
          </w:rPr>
          <w:instrText xml:space="preserve"> PAGEREF _Toc24114389 \h </w:instrText>
        </w:r>
        <w:r w:rsidR="00141FF7">
          <w:rPr>
            <w:noProof/>
            <w:webHidden/>
          </w:rPr>
        </w:r>
        <w:r w:rsidR="00141FF7">
          <w:rPr>
            <w:noProof/>
            <w:webHidden/>
          </w:rPr>
          <w:fldChar w:fldCharType="separate"/>
        </w:r>
        <w:r w:rsidR="00AE4BA1">
          <w:rPr>
            <w:noProof/>
            <w:webHidden/>
          </w:rPr>
          <w:t>26</w:t>
        </w:r>
        <w:r w:rsidR="00141FF7">
          <w:rPr>
            <w:noProof/>
            <w:webHidden/>
          </w:rPr>
          <w:fldChar w:fldCharType="end"/>
        </w:r>
      </w:hyperlink>
    </w:p>
    <w:p w14:paraId="58856EE4" w14:textId="77777777" w:rsidR="00141FF7" w:rsidRDefault="002125ED">
      <w:pPr>
        <w:pStyle w:val="TOC3"/>
        <w:rPr>
          <w:rFonts w:eastAsiaTheme="minorEastAsia"/>
          <w:noProof/>
          <w:szCs w:val="22"/>
          <w:lang w:val="en-US" w:eastAsia="en-US"/>
        </w:rPr>
      </w:pPr>
      <w:hyperlink w:anchor="_Toc24114390" w:history="1">
        <w:r w:rsidR="00141FF7" w:rsidRPr="009E6533">
          <w:rPr>
            <w:rStyle w:val="Hyperlink"/>
          </w:rPr>
          <w:t>1.2</w:t>
        </w:r>
        <w:r w:rsidR="00141FF7">
          <w:rPr>
            <w:rFonts w:eastAsiaTheme="minorEastAsia"/>
            <w:noProof/>
            <w:szCs w:val="22"/>
            <w:lang w:val="en-US" w:eastAsia="en-US"/>
          </w:rPr>
          <w:tab/>
        </w:r>
        <w:r w:rsidR="00141FF7" w:rsidRPr="009E6533">
          <w:rPr>
            <w:rStyle w:val="Hyperlink"/>
          </w:rPr>
          <w:t>The United Kingdom</w:t>
        </w:r>
        <w:r w:rsidR="00141FF7">
          <w:rPr>
            <w:noProof/>
            <w:webHidden/>
          </w:rPr>
          <w:tab/>
        </w:r>
        <w:r w:rsidR="00141FF7">
          <w:rPr>
            <w:noProof/>
            <w:webHidden/>
          </w:rPr>
          <w:fldChar w:fldCharType="begin"/>
        </w:r>
        <w:r w:rsidR="00141FF7">
          <w:rPr>
            <w:noProof/>
            <w:webHidden/>
          </w:rPr>
          <w:instrText xml:space="preserve"> PAGEREF _Toc24114390 \h </w:instrText>
        </w:r>
        <w:r w:rsidR="00141FF7">
          <w:rPr>
            <w:noProof/>
            <w:webHidden/>
          </w:rPr>
        </w:r>
        <w:r w:rsidR="00141FF7">
          <w:rPr>
            <w:noProof/>
            <w:webHidden/>
          </w:rPr>
          <w:fldChar w:fldCharType="separate"/>
        </w:r>
        <w:r w:rsidR="00AE4BA1">
          <w:rPr>
            <w:noProof/>
            <w:webHidden/>
          </w:rPr>
          <w:t>31</w:t>
        </w:r>
        <w:r w:rsidR="00141FF7">
          <w:rPr>
            <w:noProof/>
            <w:webHidden/>
          </w:rPr>
          <w:fldChar w:fldCharType="end"/>
        </w:r>
      </w:hyperlink>
    </w:p>
    <w:p w14:paraId="11FBFC05" w14:textId="77777777" w:rsidR="00141FF7" w:rsidRDefault="002125ED">
      <w:pPr>
        <w:pStyle w:val="TOC3"/>
        <w:rPr>
          <w:rFonts w:eastAsiaTheme="minorEastAsia"/>
          <w:noProof/>
          <w:szCs w:val="22"/>
          <w:lang w:val="en-US" w:eastAsia="en-US"/>
        </w:rPr>
      </w:pPr>
      <w:hyperlink w:anchor="_Toc24114391" w:history="1">
        <w:r w:rsidR="00141FF7" w:rsidRPr="009E6533">
          <w:rPr>
            <w:rStyle w:val="Hyperlink"/>
          </w:rPr>
          <w:t>1.3</w:t>
        </w:r>
        <w:r w:rsidR="00141FF7">
          <w:rPr>
            <w:rFonts w:eastAsiaTheme="minorEastAsia"/>
            <w:noProof/>
            <w:szCs w:val="22"/>
            <w:lang w:val="en-US" w:eastAsia="en-US"/>
          </w:rPr>
          <w:tab/>
        </w:r>
        <w:r w:rsidR="00141FF7" w:rsidRPr="009E6533">
          <w:rPr>
            <w:rStyle w:val="Hyperlink"/>
          </w:rPr>
          <w:t>Belgium</w:t>
        </w:r>
        <w:r w:rsidR="00141FF7">
          <w:rPr>
            <w:noProof/>
            <w:webHidden/>
          </w:rPr>
          <w:tab/>
        </w:r>
        <w:r w:rsidR="00141FF7">
          <w:rPr>
            <w:noProof/>
            <w:webHidden/>
          </w:rPr>
          <w:fldChar w:fldCharType="begin"/>
        </w:r>
        <w:r w:rsidR="00141FF7">
          <w:rPr>
            <w:noProof/>
            <w:webHidden/>
          </w:rPr>
          <w:instrText xml:space="preserve"> PAGEREF _Toc24114391 \h </w:instrText>
        </w:r>
        <w:r w:rsidR="00141FF7">
          <w:rPr>
            <w:noProof/>
            <w:webHidden/>
          </w:rPr>
        </w:r>
        <w:r w:rsidR="00141FF7">
          <w:rPr>
            <w:noProof/>
            <w:webHidden/>
          </w:rPr>
          <w:fldChar w:fldCharType="separate"/>
        </w:r>
        <w:r w:rsidR="00AE4BA1">
          <w:rPr>
            <w:noProof/>
            <w:webHidden/>
          </w:rPr>
          <w:t>36</w:t>
        </w:r>
        <w:r w:rsidR="00141FF7">
          <w:rPr>
            <w:noProof/>
            <w:webHidden/>
          </w:rPr>
          <w:fldChar w:fldCharType="end"/>
        </w:r>
      </w:hyperlink>
    </w:p>
    <w:p w14:paraId="0B000178" w14:textId="77777777" w:rsidR="00141FF7" w:rsidRDefault="002125ED">
      <w:pPr>
        <w:pStyle w:val="TOC3"/>
        <w:rPr>
          <w:rFonts w:eastAsiaTheme="minorEastAsia"/>
          <w:noProof/>
          <w:szCs w:val="22"/>
          <w:lang w:val="en-US" w:eastAsia="en-US"/>
        </w:rPr>
      </w:pPr>
      <w:hyperlink w:anchor="_Toc24114392" w:history="1">
        <w:r w:rsidR="00141FF7" w:rsidRPr="009E6533">
          <w:rPr>
            <w:rStyle w:val="Hyperlink"/>
          </w:rPr>
          <w:t>1.4</w:t>
        </w:r>
        <w:r w:rsidR="00141FF7">
          <w:rPr>
            <w:rFonts w:eastAsiaTheme="minorEastAsia"/>
            <w:noProof/>
            <w:szCs w:val="22"/>
            <w:lang w:val="en-US" w:eastAsia="en-US"/>
          </w:rPr>
          <w:tab/>
        </w:r>
        <w:r w:rsidR="00141FF7" w:rsidRPr="009E6533">
          <w:rPr>
            <w:rStyle w:val="Hyperlink"/>
          </w:rPr>
          <w:t>France</w:t>
        </w:r>
        <w:r w:rsidR="00141FF7">
          <w:rPr>
            <w:noProof/>
            <w:webHidden/>
          </w:rPr>
          <w:tab/>
        </w:r>
        <w:r w:rsidR="00141FF7">
          <w:rPr>
            <w:noProof/>
            <w:webHidden/>
          </w:rPr>
          <w:fldChar w:fldCharType="begin"/>
        </w:r>
        <w:r w:rsidR="00141FF7">
          <w:rPr>
            <w:noProof/>
            <w:webHidden/>
          </w:rPr>
          <w:instrText xml:space="preserve"> PAGEREF _Toc24114392 \h </w:instrText>
        </w:r>
        <w:r w:rsidR="00141FF7">
          <w:rPr>
            <w:noProof/>
            <w:webHidden/>
          </w:rPr>
        </w:r>
        <w:r w:rsidR="00141FF7">
          <w:rPr>
            <w:noProof/>
            <w:webHidden/>
          </w:rPr>
          <w:fldChar w:fldCharType="separate"/>
        </w:r>
        <w:r w:rsidR="00AE4BA1">
          <w:rPr>
            <w:noProof/>
            <w:webHidden/>
          </w:rPr>
          <w:t>42</w:t>
        </w:r>
        <w:r w:rsidR="00141FF7">
          <w:rPr>
            <w:noProof/>
            <w:webHidden/>
          </w:rPr>
          <w:fldChar w:fldCharType="end"/>
        </w:r>
      </w:hyperlink>
    </w:p>
    <w:p w14:paraId="1A450E2C" w14:textId="77777777" w:rsidR="00141FF7" w:rsidRDefault="002125ED">
      <w:pPr>
        <w:pStyle w:val="TOC3"/>
        <w:rPr>
          <w:rFonts w:eastAsiaTheme="minorEastAsia"/>
          <w:noProof/>
          <w:szCs w:val="22"/>
          <w:lang w:val="en-US" w:eastAsia="en-US"/>
        </w:rPr>
      </w:pPr>
      <w:hyperlink w:anchor="_Toc24114393" w:history="1">
        <w:r w:rsidR="00141FF7" w:rsidRPr="009E6533">
          <w:rPr>
            <w:rStyle w:val="Hyperlink"/>
          </w:rPr>
          <w:t>1.5</w:t>
        </w:r>
        <w:r w:rsidR="00141FF7">
          <w:rPr>
            <w:rFonts w:eastAsiaTheme="minorEastAsia"/>
            <w:noProof/>
            <w:szCs w:val="22"/>
            <w:lang w:val="en-US" w:eastAsia="en-US"/>
          </w:rPr>
          <w:tab/>
        </w:r>
        <w:r w:rsidR="00141FF7" w:rsidRPr="009E6533">
          <w:rPr>
            <w:rStyle w:val="Hyperlink"/>
          </w:rPr>
          <w:t>Germany</w:t>
        </w:r>
        <w:r w:rsidR="00141FF7">
          <w:rPr>
            <w:noProof/>
            <w:webHidden/>
          </w:rPr>
          <w:tab/>
        </w:r>
        <w:r w:rsidR="00141FF7">
          <w:rPr>
            <w:noProof/>
            <w:webHidden/>
          </w:rPr>
          <w:fldChar w:fldCharType="begin"/>
        </w:r>
        <w:r w:rsidR="00141FF7">
          <w:rPr>
            <w:noProof/>
            <w:webHidden/>
          </w:rPr>
          <w:instrText xml:space="preserve"> PAGEREF _Toc24114393 \h </w:instrText>
        </w:r>
        <w:r w:rsidR="00141FF7">
          <w:rPr>
            <w:noProof/>
            <w:webHidden/>
          </w:rPr>
        </w:r>
        <w:r w:rsidR="00141FF7">
          <w:rPr>
            <w:noProof/>
            <w:webHidden/>
          </w:rPr>
          <w:fldChar w:fldCharType="separate"/>
        </w:r>
        <w:r w:rsidR="00AE4BA1">
          <w:rPr>
            <w:noProof/>
            <w:webHidden/>
          </w:rPr>
          <w:t>46</w:t>
        </w:r>
        <w:r w:rsidR="00141FF7">
          <w:rPr>
            <w:noProof/>
            <w:webHidden/>
          </w:rPr>
          <w:fldChar w:fldCharType="end"/>
        </w:r>
      </w:hyperlink>
    </w:p>
    <w:p w14:paraId="663D5C96" w14:textId="77777777" w:rsidR="00141FF7" w:rsidRDefault="002125ED">
      <w:pPr>
        <w:pStyle w:val="TOC3"/>
        <w:rPr>
          <w:rFonts w:eastAsiaTheme="minorEastAsia"/>
          <w:noProof/>
          <w:szCs w:val="22"/>
          <w:lang w:val="en-US" w:eastAsia="en-US"/>
        </w:rPr>
      </w:pPr>
      <w:hyperlink w:anchor="_Toc24114394" w:history="1">
        <w:r w:rsidR="00141FF7" w:rsidRPr="009E6533">
          <w:rPr>
            <w:rStyle w:val="Hyperlink"/>
          </w:rPr>
          <w:t>1.6</w:t>
        </w:r>
        <w:r w:rsidR="00141FF7">
          <w:rPr>
            <w:rFonts w:eastAsiaTheme="minorEastAsia"/>
            <w:noProof/>
            <w:szCs w:val="22"/>
            <w:lang w:val="en-US" w:eastAsia="en-US"/>
          </w:rPr>
          <w:tab/>
        </w:r>
        <w:r w:rsidR="00141FF7" w:rsidRPr="009E6533">
          <w:rPr>
            <w:rStyle w:val="Hyperlink"/>
          </w:rPr>
          <w:t>Italy</w:t>
        </w:r>
        <w:r w:rsidR="00141FF7">
          <w:rPr>
            <w:noProof/>
            <w:webHidden/>
          </w:rPr>
          <w:tab/>
        </w:r>
        <w:r w:rsidR="00141FF7">
          <w:rPr>
            <w:noProof/>
            <w:webHidden/>
          </w:rPr>
          <w:fldChar w:fldCharType="begin"/>
        </w:r>
        <w:r w:rsidR="00141FF7">
          <w:rPr>
            <w:noProof/>
            <w:webHidden/>
          </w:rPr>
          <w:instrText xml:space="preserve"> PAGEREF _Toc24114394 \h </w:instrText>
        </w:r>
        <w:r w:rsidR="00141FF7">
          <w:rPr>
            <w:noProof/>
            <w:webHidden/>
          </w:rPr>
        </w:r>
        <w:r w:rsidR="00141FF7">
          <w:rPr>
            <w:noProof/>
            <w:webHidden/>
          </w:rPr>
          <w:fldChar w:fldCharType="separate"/>
        </w:r>
        <w:r w:rsidR="00AE4BA1">
          <w:rPr>
            <w:noProof/>
            <w:webHidden/>
          </w:rPr>
          <w:t>48</w:t>
        </w:r>
        <w:r w:rsidR="00141FF7">
          <w:rPr>
            <w:noProof/>
            <w:webHidden/>
          </w:rPr>
          <w:fldChar w:fldCharType="end"/>
        </w:r>
      </w:hyperlink>
    </w:p>
    <w:p w14:paraId="5B15E5F2" w14:textId="77777777" w:rsidR="00141FF7" w:rsidRDefault="002125ED">
      <w:pPr>
        <w:pStyle w:val="TOC3"/>
        <w:rPr>
          <w:rFonts w:eastAsiaTheme="minorEastAsia"/>
          <w:noProof/>
          <w:szCs w:val="22"/>
          <w:lang w:val="en-US" w:eastAsia="en-US"/>
        </w:rPr>
      </w:pPr>
      <w:hyperlink w:anchor="_Toc24114395" w:history="1">
        <w:r w:rsidR="00141FF7" w:rsidRPr="009E6533">
          <w:rPr>
            <w:rStyle w:val="Hyperlink"/>
          </w:rPr>
          <w:t>1.7</w:t>
        </w:r>
        <w:r w:rsidR="00141FF7">
          <w:rPr>
            <w:rFonts w:eastAsiaTheme="minorEastAsia"/>
            <w:noProof/>
            <w:szCs w:val="22"/>
            <w:lang w:val="en-US" w:eastAsia="en-US"/>
          </w:rPr>
          <w:tab/>
        </w:r>
        <w:r w:rsidR="00141FF7" w:rsidRPr="009E6533">
          <w:rPr>
            <w:rStyle w:val="Hyperlink"/>
          </w:rPr>
          <w:t>Latvia</w:t>
        </w:r>
        <w:r w:rsidR="00141FF7">
          <w:rPr>
            <w:noProof/>
            <w:webHidden/>
          </w:rPr>
          <w:tab/>
        </w:r>
        <w:r w:rsidR="00141FF7">
          <w:rPr>
            <w:noProof/>
            <w:webHidden/>
          </w:rPr>
          <w:fldChar w:fldCharType="begin"/>
        </w:r>
        <w:r w:rsidR="00141FF7">
          <w:rPr>
            <w:noProof/>
            <w:webHidden/>
          </w:rPr>
          <w:instrText xml:space="preserve"> PAGEREF _Toc24114395 \h </w:instrText>
        </w:r>
        <w:r w:rsidR="00141FF7">
          <w:rPr>
            <w:noProof/>
            <w:webHidden/>
          </w:rPr>
        </w:r>
        <w:r w:rsidR="00141FF7">
          <w:rPr>
            <w:noProof/>
            <w:webHidden/>
          </w:rPr>
          <w:fldChar w:fldCharType="separate"/>
        </w:r>
        <w:r w:rsidR="00AE4BA1">
          <w:rPr>
            <w:noProof/>
            <w:webHidden/>
          </w:rPr>
          <w:t>52</w:t>
        </w:r>
        <w:r w:rsidR="00141FF7">
          <w:rPr>
            <w:noProof/>
            <w:webHidden/>
          </w:rPr>
          <w:fldChar w:fldCharType="end"/>
        </w:r>
      </w:hyperlink>
    </w:p>
    <w:p w14:paraId="72234DA0" w14:textId="77777777" w:rsidR="00141FF7" w:rsidRDefault="002125ED">
      <w:pPr>
        <w:pStyle w:val="TOC2"/>
        <w:rPr>
          <w:rFonts w:eastAsiaTheme="minorEastAsia"/>
          <w:caps w:val="0"/>
          <w:noProof/>
          <w:szCs w:val="22"/>
          <w:lang w:val="en-US" w:eastAsia="en-US"/>
        </w:rPr>
      </w:pPr>
      <w:hyperlink w:anchor="_Toc24114396" w:history="1">
        <w:r w:rsidR="00141FF7" w:rsidRPr="009E6533">
          <w:rPr>
            <w:rStyle w:val="Hyperlink"/>
          </w:rPr>
          <w:t>2.</w:t>
        </w:r>
        <w:r w:rsidR="00141FF7">
          <w:rPr>
            <w:rFonts w:eastAsiaTheme="minorEastAsia"/>
            <w:caps w:val="0"/>
            <w:noProof/>
            <w:szCs w:val="22"/>
            <w:lang w:val="en-US" w:eastAsia="en-US"/>
          </w:rPr>
          <w:tab/>
        </w:r>
        <w:r w:rsidR="00141FF7" w:rsidRPr="009E6533">
          <w:rPr>
            <w:rStyle w:val="Hyperlink"/>
          </w:rPr>
          <w:t>MIDDLE EAST AND AFRICA</w:t>
        </w:r>
        <w:r w:rsidR="00141FF7">
          <w:rPr>
            <w:noProof/>
            <w:webHidden/>
          </w:rPr>
          <w:tab/>
        </w:r>
        <w:r w:rsidR="00141FF7">
          <w:rPr>
            <w:noProof/>
            <w:webHidden/>
          </w:rPr>
          <w:fldChar w:fldCharType="begin"/>
        </w:r>
        <w:r w:rsidR="00141FF7">
          <w:rPr>
            <w:noProof/>
            <w:webHidden/>
          </w:rPr>
          <w:instrText xml:space="preserve"> PAGEREF _Toc24114396 \h </w:instrText>
        </w:r>
        <w:r w:rsidR="00141FF7">
          <w:rPr>
            <w:noProof/>
            <w:webHidden/>
          </w:rPr>
        </w:r>
        <w:r w:rsidR="00141FF7">
          <w:rPr>
            <w:noProof/>
            <w:webHidden/>
          </w:rPr>
          <w:fldChar w:fldCharType="separate"/>
        </w:r>
        <w:r w:rsidR="00AE4BA1">
          <w:rPr>
            <w:noProof/>
            <w:webHidden/>
          </w:rPr>
          <w:t>54</w:t>
        </w:r>
        <w:r w:rsidR="00141FF7">
          <w:rPr>
            <w:noProof/>
            <w:webHidden/>
          </w:rPr>
          <w:fldChar w:fldCharType="end"/>
        </w:r>
      </w:hyperlink>
    </w:p>
    <w:p w14:paraId="4F65F5B9" w14:textId="77777777" w:rsidR="00141FF7" w:rsidRDefault="002125ED">
      <w:pPr>
        <w:pStyle w:val="TOC3"/>
        <w:rPr>
          <w:rFonts w:eastAsiaTheme="minorEastAsia"/>
          <w:noProof/>
          <w:szCs w:val="22"/>
          <w:lang w:val="en-US" w:eastAsia="en-US"/>
        </w:rPr>
      </w:pPr>
      <w:hyperlink w:anchor="_Toc24114397" w:history="1">
        <w:r w:rsidR="00141FF7" w:rsidRPr="009E6533">
          <w:rPr>
            <w:rStyle w:val="Hyperlink"/>
          </w:rPr>
          <w:t>2.1</w:t>
        </w:r>
        <w:r w:rsidR="00141FF7">
          <w:rPr>
            <w:rFonts w:eastAsiaTheme="minorEastAsia"/>
            <w:noProof/>
            <w:szCs w:val="22"/>
            <w:lang w:val="en-US" w:eastAsia="en-US"/>
          </w:rPr>
          <w:tab/>
        </w:r>
        <w:r w:rsidR="00141FF7" w:rsidRPr="009E6533">
          <w:rPr>
            <w:rStyle w:val="Hyperlink"/>
          </w:rPr>
          <w:t>Israel</w:t>
        </w:r>
        <w:r w:rsidR="00141FF7">
          <w:rPr>
            <w:noProof/>
            <w:webHidden/>
          </w:rPr>
          <w:tab/>
        </w:r>
        <w:r w:rsidR="00141FF7">
          <w:rPr>
            <w:noProof/>
            <w:webHidden/>
          </w:rPr>
          <w:fldChar w:fldCharType="begin"/>
        </w:r>
        <w:r w:rsidR="00141FF7">
          <w:rPr>
            <w:noProof/>
            <w:webHidden/>
          </w:rPr>
          <w:instrText xml:space="preserve"> PAGEREF _Toc24114397 \h </w:instrText>
        </w:r>
        <w:r w:rsidR="00141FF7">
          <w:rPr>
            <w:noProof/>
            <w:webHidden/>
          </w:rPr>
        </w:r>
        <w:r w:rsidR="00141FF7">
          <w:rPr>
            <w:noProof/>
            <w:webHidden/>
          </w:rPr>
          <w:fldChar w:fldCharType="separate"/>
        </w:r>
        <w:r w:rsidR="00AE4BA1">
          <w:rPr>
            <w:noProof/>
            <w:webHidden/>
          </w:rPr>
          <w:t>54</w:t>
        </w:r>
        <w:r w:rsidR="00141FF7">
          <w:rPr>
            <w:noProof/>
            <w:webHidden/>
          </w:rPr>
          <w:fldChar w:fldCharType="end"/>
        </w:r>
      </w:hyperlink>
    </w:p>
    <w:p w14:paraId="1590AB20" w14:textId="77777777" w:rsidR="00141FF7" w:rsidRDefault="002125ED">
      <w:pPr>
        <w:pStyle w:val="TOC3"/>
        <w:rPr>
          <w:rFonts w:eastAsiaTheme="minorEastAsia"/>
          <w:noProof/>
          <w:szCs w:val="22"/>
          <w:lang w:val="en-US" w:eastAsia="en-US"/>
        </w:rPr>
      </w:pPr>
      <w:hyperlink w:anchor="_Toc24114398" w:history="1">
        <w:r w:rsidR="00141FF7" w:rsidRPr="009E6533">
          <w:rPr>
            <w:rStyle w:val="Hyperlink"/>
          </w:rPr>
          <w:t>2.2</w:t>
        </w:r>
        <w:r w:rsidR="00141FF7">
          <w:rPr>
            <w:rFonts w:eastAsiaTheme="minorEastAsia"/>
            <w:noProof/>
            <w:szCs w:val="22"/>
            <w:lang w:val="en-US" w:eastAsia="en-US"/>
          </w:rPr>
          <w:tab/>
        </w:r>
        <w:r w:rsidR="00141FF7" w:rsidRPr="009E6533">
          <w:rPr>
            <w:rStyle w:val="Hyperlink"/>
          </w:rPr>
          <w:t>Rwanda</w:t>
        </w:r>
        <w:r w:rsidR="00141FF7">
          <w:rPr>
            <w:noProof/>
            <w:webHidden/>
          </w:rPr>
          <w:tab/>
        </w:r>
        <w:r w:rsidR="00141FF7">
          <w:rPr>
            <w:noProof/>
            <w:webHidden/>
          </w:rPr>
          <w:fldChar w:fldCharType="begin"/>
        </w:r>
        <w:r w:rsidR="00141FF7">
          <w:rPr>
            <w:noProof/>
            <w:webHidden/>
          </w:rPr>
          <w:instrText xml:space="preserve"> PAGEREF _Toc24114398 \h </w:instrText>
        </w:r>
        <w:r w:rsidR="00141FF7">
          <w:rPr>
            <w:noProof/>
            <w:webHidden/>
          </w:rPr>
        </w:r>
        <w:r w:rsidR="00141FF7">
          <w:rPr>
            <w:noProof/>
            <w:webHidden/>
          </w:rPr>
          <w:fldChar w:fldCharType="separate"/>
        </w:r>
        <w:r w:rsidR="00AE4BA1">
          <w:rPr>
            <w:noProof/>
            <w:webHidden/>
          </w:rPr>
          <w:t>56</w:t>
        </w:r>
        <w:r w:rsidR="00141FF7">
          <w:rPr>
            <w:noProof/>
            <w:webHidden/>
          </w:rPr>
          <w:fldChar w:fldCharType="end"/>
        </w:r>
      </w:hyperlink>
    </w:p>
    <w:p w14:paraId="6A01BA32" w14:textId="77777777" w:rsidR="00141FF7" w:rsidRDefault="002125ED">
      <w:pPr>
        <w:pStyle w:val="TOC2"/>
        <w:rPr>
          <w:rFonts w:eastAsiaTheme="minorEastAsia"/>
          <w:caps w:val="0"/>
          <w:noProof/>
          <w:szCs w:val="22"/>
          <w:lang w:val="en-US" w:eastAsia="en-US"/>
        </w:rPr>
      </w:pPr>
      <w:hyperlink w:anchor="_Toc24114399" w:history="1">
        <w:r w:rsidR="00141FF7" w:rsidRPr="009E6533">
          <w:rPr>
            <w:rStyle w:val="Hyperlink"/>
          </w:rPr>
          <w:t>3.</w:t>
        </w:r>
        <w:r w:rsidR="00141FF7">
          <w:rPr>
            <w:rFonts w:eastAsiaTheme="minorEastAsia"/>
            <w:caps w:val="0"/>
            <w:noProof/>
            <w:szCs w:val="22"/>
            <w:lang w:val="en-US" w:eastAsia="en-US"/>
          </w:rPr>
          <w:tab/>
        </w:r>
        <w:r w:rsidR="00141FF7" w:rsidRPr="009E6533">
          <w:rPr>
            <w:rStyle w:val="Hyperlink"/>
          </w:rPr>
          <w:t>THE PACIFIC and ASIA</w:t>
        </w:r>
        <w:r w:rsidR="00141FF7">
          <w:rPr>
            <w:noProof/>
            <w:webHidden/>
          </w:rPr>
          <w:tab/>
        </w:r>
        <w:r w:rsidR="00141FF7">
          <w:rPr>
            <w:noProof/>
            <w:webHidden/>
          </w:rPr>
          <w:fldChar w:fldCharType="begin"/>
        </w:r>
        <w:r w:rsidR="00141FF7">
          <w:rPr>
            <w:noProof/>
            <w:webHidden/>
          </w:rPr>
          <w:instrText xml:space="preserve"> PAGEREF _Toc24114399 \h </w:instrText>
        </w:r>
        <w:r w:rsidR="00141FF7">
          <w:rPr>
            <w:noProof/>
            <w:webHidden/>
          </w:rPr>
        </w:r>
        <w:r w:rsidR="00141FF7">
          <w:rPr>
            <w:noProof/>
            <w:webHidden/>
          </w:rPr>
          <w:fldChar w:fldCharType="separate"/>
        </w:r>
        <w:r w:rsidR="00AE4BA1">
          <w:rPr>
            <w:noProof/>
            <w:webHidden/>
          </w:rPr>
          <w:t>57</w:t>
        </w:r>
        <w:r w:rsidR="00141FF7">
          <w:rPr>
            <w:noProof/>
            <w:webHidden/>
          </w:rPr>
          <w:fldChar w:fldCharType="end"/>
        </w:r>
      </w:hyperlink>
    </w:p>
    <w:p w14:paraId="5F510C9E" w14:textId="77777777" w:rsidR="00141FF7" w:rsidRDefault="002125ED">
      <w:pPr>
        <w:pStyle w:val="TOC3"/>
        <w:rPr>
          <w:rFonts w:eastAsiaTheme="minorEastAsia"/>
          <w:noProof/>
          <w:szCs w:val="22"/>
          <w:lang w:val="en-US" w:eastAsia="en-US"/>
        </w:rPr>
      </w:pPr>
      <w:hyperlink w:anchor="_Toc24114400" w:history="1">
        <w:r w:rsidR="00141FF7" w:rsidRPr="009E6533">
          <w:rPr>
            <w:rStyle w:val="Hyperlink"/>
          </w:rPr>
          <w:t>3.1</w:t>
        </w:r>
        <w:r w:rsidR="00141FF7">
          <w:rPr>
            <w:rFonts w:eastAsiaTheme="minorEastAsia"/>
            <w:noProof/>
            <w:szCs w:val="22"/>
            <w:lang w:val="en-US" w:eastAsia="en-US"/>
          </w:rPr>
          <w:tab/>
        </w:r>
        <w:r w:rsidR="00141FF7" w:rsidRPr="009E6533">
          <w:rPr>
            <w:rStyle w:val="Hyperlink"/>
          </w:rPr>
          <w:t>New Zealand</w:t>
        </w:r>
        <w:r w:rsidR="00141FF7">
          <w:rPr>
            <w:noProof/>
            <w:webHidden/>
          </w:rPr>
          <w:tab/>
        </w:r>
        <w:r w:rsidR="00141FF7">
          <w:rPr>
            <w:noProof/>
            <w:webHidden/>
          </w:rPr>
          <w:fldChar w:fldCharType="begin"/>
        </w:r>
        <w:r w:rsidR="00141FF7">
          <w:rPr>
            <w:noProof/>
            <w:webHidden/>
          </w:rPr>
          <w:instrText xml:space="preserve"> PAGEREF _Toc24114400 \h </w:instrText>
        </w:r>
        <w:r w:rsidR="00141FF7">
          <w:rPr>
            <w:noProof/>
            <w:webHidden/>
          </w:rPr>
        </w:r>
        <w:r w:rsidR="00141FF7">
          <w:rPr>
            <w:noProof/>
            <w:webHidden/>
          </w:rPr>
          <w:fldChar w:fldCharType="separate"/>
        </w:r>
        <w:r w:rsidR="00AE4BA1">
          <w:rPr>
            <w:noProof/>
            <w:webHidden/>
          </w:rPr>
          <w:t>57</w:t>
        </w:r>
        <w:r w:rsidR="00141FF7">
          <w:rPr>
            <w:noProof/>
            <w:webHidden/>
          </w:rPr>
          <w:fldChar w:fldCharType="end"/>
        </w:r>
      </w:hyperlink>
    </w:p>
    <w:p w14:paraId="435DFE49" w14:textId="77777777" w:rsidR="00141FF7" w:rsidRDefault="002125ED">
      <w:pPr>
        <w:pStyle w:val="TOC3"/>
        <w:rPr>
          <w:rFonts w:eastAsiaTheme="minorEastAsia"/>
          <w:noProof/>
          <w:szCs w:val="22"/>
          <w:lang w:val="en-US" w:eastAsia="en-US"/>
        </w:rPr>
      </w:pPr>
      <w:hyperlink w:anchor="_Toc24114401" w:history="1">
        <w:r w:rsidR="00141FF7" w:rsidRPr="009E6533">
          <w:rPr>
            <w:rStyle w:val="Hyperlink"/>
          </w:rPr>
          <w:t>3.2</w:t>
        </w:r>
        <w:r w:rsidR="00141FF7">
          <w:rPr>
            <w:rFonts w:eastAsiaTheme="minorEastAsia"/>
            <w:noProof/>
            <w:szCs w:val="22"/>
            <w:lang w:val="en-US" w:eastAsia="en-US"/>
          </w:rPr>
          <w:tab/>
        </w:r>
        <w:r w:rsidR="00141FF7" w:rsidRPr="009E6533">
          <w:rPr>
            <w:rStyle w:val="Hyperlink"/>
          </w:rPr>
          <w:t>India</w:t>
        </w:r>
        <w:r w:rsidR="00141FF7">
          <w:rPr>
            <w:noProof/>
            <w:webHidden/>
          </w:rPr>
          <w:tab/>
        </w:r>
        <w:r w:rsidR="00141FF7">
          <w:rPr>
            <w:noProof/>
            <w:webHidden/>
          </w:rPr>
          <w:fldChar w:fldCharType="begin"/>
        </w:r>
        <w:r w:rsidR="00141FF7">
          <w:rPr>
            <w:noProof/>
            <w:webHidden/>
          </w:rPr>
          <w:instrText xml:space="preserve"> PAGEREF _Toc24114401 \h </w:instrText>
        </w:r>
        <w:r w:rsidR="00141FF7">
          <w:rPr>
            <w:noProof/>
            <w:webHidden/>
          </w:rPr>
        </w:r>
        <w:r w:rsidR="00141FF7">
          <w:rPr>
            <w:noProof/>
            <w:webHidden/>
          </w:rPr>
          <w:fldChar w:fldCharType="separate"/>
        </w:r>
        <w:r w:rsidR="00AE4BA1">
          <w:rPr>
            <w:noProof/>
            <w:webHidden/>
          </w:rPr>
          <w:t>59</w:t>
        </w:r>
        <w:r w:rsidR="00141FF7">
          <w:rPr>
            <w:noProof/>
            <w:webHidden/>
          </w:rPr>
          <w:fldChar w:fldCharType="end"/>
        </w:r>
      </w:hyperlink>
    </w:p>
    <w:p w14:paraId="07F11E26" w14:textId="77777777" w:rsidR="00141FF7" w:rsidRDefault="002125ED">
      <w:pPr>
        <w:pStyle w:val="TOC3"/>
        <w:rPr>
          <w:rFonts w:eastAsiaTheme="minorEastAsia"/>
          <w:noProof/>
          <w:szCs w:val="22"/>
          <w:lang w:val="en-US" w:eastAsia="en-US"/>
        </w:rPr>
      </w:pPr>
      <w:hyperlink w:anchor="_Toc24114402" w:history="1">
        <w:r w:rsidR="00141FF7" w:rsidRPr="009E6533">
          <w:rPr>
            <w:rStyle w:val="Hyperlink"/>
          </w:rPr>
          <w:t>3.3</w:t>
        </w:r>
        <w:r w:rsidR="00141FF7">
          <w:rPr>
            <w:rFonts w:eastAsiaTheme="minorEastAsia"/>
            <w:noProof/>
            <w:szCs w:val="22"/>
            <w:lang w:val="en-US" w:eastAsia="en-US"/>
          </w:rPr>
          <w:tab/>
        </w:r>
        <w:r w:rsidR="00141FF7" w:rsidRPr="009E6533">
          <w:rPr>
            <w:rStyle w:val="Hyperlink"/>
          </w:rPr>
          <w:t>Malaysia</w:t>
        </w:r>
        <w:r w:rsidR="00141FF7">
          <w:rPr>
            <w:noProof/>
            <w:webHidden/>
          </w:rPr>
          <w:tab/>
        </w:r>
        <w:r w:rsidR="00141FF7">
          <w:rPr>
            <w:noProof/>
            <w:webHidden/>
          </w:rPr>
          <w:fldChar w:fldCharType="begin"/>
        </w:r>
        <w:r w:rsidR="00141FF7">
          <w:rPr>
            <w:noProof/>
            <w:webHidden/>
          </w:rPr>
          <w:instrText xml:space="preserve"> PAGEREF _Toc24114402 \h </w:instrText>
        </w:r>
        <w:r w:rsidR="00141FF7">
          <w:rPr>
            <w:noProof/>
            <w:webHidden/>
          </w:rPr>
        </w:r>
        <w:r w:rsidR="00141FF7">
          <w:rPr>
            <w:noProof/>
            <w:webHidden/>
          </w:rPr>
          <w:fldChar w:fldCharType="separate"/>
        </w:r>
        <w:r w:rsidR="00AE4BA1">
          <w:rPr>
            <w:noProof/>
            <w:webHidden/>
          </w:rPr>
          <w:t>62</w:t>
        </w:r>
        <w:r w:rsidR="00141FF7">
          <w:rPr>
            <w:noProof/>
            <w:webHidden/>
          </w:rPr>
          <w:fldChar w:fldCharType="end"/>
        </w:r>
      </w:hyperlink>
    </w:p>
    <w:p w14:paraId="481E534C" w14:textId="77777777" w:rsidR="00141FF7" w:rsidRDefault="002125ED">
      <w:pPr>
        <w:pStyle w:val="TOC3"/>
        <w:rPr>
          <w:rFonts w:eastAsiaTheme="minorEastAsia"/>
          <w:noProof/>
          <w:szCs w:val="22"/>
          <w:lang w:val="en-US" w:eastAsia="en-US"/>
        </w:rPr>
      </w:pPr>
      <w:hyperlink w:anchor="_Toc24114403" w:history="1">
        <w:r w:rsidR="00141FF7" w:rsidRPr="009E6533">
          <w:rPr>
            <w:rStyle w:val="Hyperlink"/>
          </w:rPr>
          <w:t>3.4</w:t>
        </w:r>
        <w:r w:rsidR="00141FF7">
          <w:rPr>
            <w:rFonts w:eastAsiaTheme="minorEastAsia"/>
            <w:noProof/>
            <w:szCs w:val="22"/>
            <w:lang w:val="en-US" w:eastAsia="en-US"/>
          </w:rPr>
          <w:tab/>
        </w:r>
        <w:r w:rsidR="00141FF7" w:rsidRPr="009E6533">
          <w:rPr>
            <w:rStyle w:val="Hyperlink"/>
          </w:rPr>
          <w:t>Hong Kong</w:t>
        </w:r>
        <w:r w:rsidR="00141FF7">
          <w:rPr>
            <w:noProof/>
            <w:webHidden/>
          </w:rPr>
          <w:tab/>
        </w:r>
        <w:r w:rsidR="00141FF7">
          <w:rPr>
            <w:noProof/>
            <w:webHidden/>
          </w:rPr>
          <w:fldChar w:fldCharType="begin"/>
        </w:r>
        <w:r w:rsidR="00141FF7">
          <w:rPr>
            <w:noProof/>
            <w:webHidden/>
          </w:rPr>
          <w:instrText xml:space="preserve"> PAGEREF _Toc24114403 \h </w:instrText>
        </w:r>
        <w:r w:rsidR="00141FF7">
          <w:rPr>
            <w:noProof/>
            <w:webHidden/>
          </w:rPr>
        </w:r>
        <w:r w:rsidR="00141FF7">
          <w:rPr>
            <w:noProof/>
            <w:webHidden/>
          </w:rPr>
          <w:fldChar w:fldCharType="separate"/>
        </w:r>
        <w:r w:rsidR="00AE4BA1">
          <w:rPr>
            <w:noProof/>
            <w:webHidden/>
          </w:rPr>
          <w:t>65</w:t>
        </w:r>
        <w:r w:rsidR="00141FF7">
          <w:rPr>
            <w:noProof/>
            <w:webHidden/>
          </w:rPr>
          <w:fldChar w:fldCharType="end"/>
        </w:r>
      </w:hyperlink>
    </w:p>
    <w:p w14:paraId="4E6E6CFD" w14:textId="77777777" w:rsidR="00141FF7" w:rsidRDefault="002125ED">
      <w:pPr>
        <w:pStyle w:val="TOC2"/>
        <w:rPr>
          <w:rFonts w:eastAsiaTheme="minorEastAsia"/>
          <w:caps w:val="0"/>
          <w:noProof/>
          <w:szCs w:val="22"/>
          <w:lang w:val="en-US" w:eastAsia="en-US"/>
        </w:rPr>
      </w:pPr>
      <w:hyperlink w:anchor="_Toc24114404" w:history="1">
        <w:r w:rsidR="00141FF7" w:rsidRPr="009E6533">
          <w:rPr>
            <w:rStyle w:val="Hyperlink"/>
          </w:rPr>
          <w:t>4.</w:t>
        </w:r>
        <w:r w:rsidR="00141FF7">
          <w:rPr>
            <w:rFonts w:eastAsiaTheme="minorEastAsia"/>
            <w:caps w:val="0"/>
            <w:noProof/>
            <w:szCs w:val="22"/>
            <w:lang w:val="en-US" w:eastAsia="en-US"/>
          </w:rPr>
          <w:tab/>
        </w:r>
        <w:r w:rsidR="00141FF7" w:rsidRPr="009E6533">
          <w:rPr>
            <w:rStyle w:val="Hyperlink"/>
          </w:rPr>
          <w:t>THE AMERICAS</w:t>
        </w:r>
        <w:r w:rsidR="00141FF7">
          <w:rPr>
            <w:noProof/>
            <w:webHidden/>
          </w:rPr>
          <w:tab/>
        </w:r>
        <w:r w:rsidR="00141FF7">
          <w:rPr>
            <w:noProof/>
            <w:webHidden/>
          </w:rPr>
          <w:fldChar w:fldCharType="begin"/>
        </w:r>
        <w:r w:rsidR="00141FF7">
          <w:rPr>
            <w:noProof/>
            <w:webHidden/>
          </w:rPr>
          <w:instrText xml:space="preserve"> PAGEREF _Toc24114404 \h </w:instrText>
        </w:r>
        <w:r w:rsidR="00141FF7">
          <w:rPr>
            <w:noProof/>
            <w:webHidden/>
          </w:rPr>
        </w:r>
        <w:r w:rsidR="00141FF7">
          <w:rPr>
            <w:noProof/>
            <w:webHidden/>
          </w:rPr>
          <w:fldChar w:fldCharType="separate"/>
        </w:r>
        <w:r w:rsidR="00AE4BA1">
          <w:rPr>
            <w:noProof/>
            <w:webHidden/>
          </w:rPr>
          <w:t>70</w:t>
        </w:r>
        <w:r w:rsidR="00141FF7">
          <w:rPr>
            <w:noProof/>
            <w:webHidden/>
          </w:rPr>
          <w:fldChar w:fldCharType="end"/>
        </w:r>
      </w:hyperlink>
    </w:p>
    <w:p w14:paraId="7D5812B4" w14:textId="77777777" w:rsidR="00141FF7" w:rsidRDefault="002125ED">
      <w:pPr>
        <w:pStyle w:val="TOC3"/>
        <w:rPr>
          <w:rFonts w:eastAsiaTheme="minorEastAsia"/>
          <w:noProof/>
          <w:szCs w:val="22"/>
          <w:lang w:val="en-US" w:eastAsia="en-US"/>
        </w:rPr>
      </w:pPr>
      <w:hyperlink w:anchor="_Toc24114405" w:history="1">
        <w:r w:rsidR="00141FF7" w:rsidRPr="009E6533">
          <w:rPr>
            <w:rStyle w:val="Hyperlink"/>
          </w:rPr>
          <w:t>4.1</w:t>
        </w:r>
        <w:r w:rsidR="00141FF7">
          <w:rPr>
            <w:rFonts w:eastAsiaTheme="minorEastAsia"/>
            <w:noProof/>
            <w:szCs w:val="22"/>
            <w:lang w:val="en-US" w:eastAsia="en-US"/>
          </w:rPr>
          <w:tab/>
        </w:r>
        <w:r w:rsidR="00141FF7" w:rsidRPr="009E6533">
          <w:rPr>
            <w:rStyle w:val="Hyperlink"/>
          </w:rPr>
          <w:t>United States of America</w:t>
        </w:r>
        <w:r w:rsidR="00141FF7">
          <w:rPr>
            <w:noProof/>
            <w:webHidden/>
          </w:rPr>
          <w:tab/>
        </w:r>
        <w:r w:rsidR="00141FF7">
          <w:rPr>
            <w:noProof/>
            <w:webHidden/>
          </w:rPr>
          <w:fldChar w:fldCharType="begin"/>
        </w:r>
        <w:r w:rsidR="00141FF7">
          <w:rPr>
            <w:noProof/>
            <w:webHidden/>
          </w:rPr>
          <w:instrText xml:space="preserve"> PAGEREF _Toc24114405 \h </w:instrText>
        </w:r>
        <w:r w:rsidR="00141FF7">
          <w:rPr>
            <w:noProof/>
            <w:webHidden/>
          </w:rPr>
        </w:r>
        <w:r w:rsidR="00141FF7">
          <w:rPr>
            <w:noProof/>
            <w:webHidden/>
          </w:rPr>
          <w:fldChar w:fldCharType="separate"/>
        </w:r>
        <w:r w:rsidR="00AE4BA1">
          <w:rPr>
            <w:noProof/>
            <w:webHidden/>
          </w:rPr>
          <w:t>70</w:t>
        </w:r>
        <w:r w:rsidR="00141FF7">
          <w:rPr>
            <w:noProof/>
            <w:webHidden/>
          </w:rPr>
          <w:fldChar w:fldCharType="end"/>
        </w:r>
      </w:hyperlink>
    </w:p>
    <w:p w14:paraId="36D279B4" w14:textId="77777777" w:rsidR="00141FF7" w:rsidRDefault="002125ED">
      <w:pPr>
        <w:pStyle w:val="TOC3"/>
        <w:rPr>
          <w:rFonts w:eastAsiaTheme="minorEastAsia"/>
          <w:noProof/>
          <w:szCs w:val="22"/>
          <w:lang w:val="en-US" w:eastAsia="en-US"/>
        </w:rPr>
      </w:pPr>
      <w:hyperlink w:anchor="_Toc24114406" w:history="1">
        <w:r w:rsidR="00141FF7" w:rsidRPr="009E6533">
          <w:rPr>
            <w:rStyle w:val="Hyperlink"/>
          </w:rPr>
          <w:t>4.2</w:t>
        </w:r>
        <w:r w:rsidR="00141FF7">
          <w:rPr>
            <w:rFonts w:eastAsiaTheme="minorEastAsia"/>
            <w:noProof/>
            <w:szCs w:val="22"/>
            <w:lang w:val="en-US" w:eastAsia="en-US"/>
          </w:rPr>
          <w:tab/>
        </w:r>
        <w:r w:rsidR="00141FF7" w:rsidRPr="009E6533">
          <w:rPr>
            <w:rStyle w:val="Hyperlink"/>
          </w:rPr>
          <w:t>Canada</w:t>
        </w:r>
        <w:r w:rsidR="00141FF7">
          <w:rPr>
            <w:noProof/>
            <w:webHidden/>
          </w:rPr>
          <w:tab/>
        </w:r>
        <w:r w:rsidR="00141FF7">
          <w:rPr>
            <w:noProof/>
            <w:webHidden/>
          </w:rPr>
          <w:fldChar w:fldCharType="begin"/>
        </w:r>
        <w:r w:rsidR="00141FF7">
          <w:rPr>
            <w:noProof/>
            <w:webHidden/>
          </w:rPr>
          <w:instrText xml:space="preserve"> PAGEREF _Toc24114406 \h </w:instrText>
        </w:r>
        <w:r w:rsidR="00141FF7">
          <w:rPr>
            <w:noProof/>
            <w:webHidden/>
          </w:rPr>
        </w:r>
        <w:r w:rsidR="00141FF7">
          <w:rPr>
            <w:noProof/>
            <w:webHidden/>
          </w:rPr>
          <w:fldChar w:fldCharType="separate"/>
        </w:r>
        <w:r w:rsidR="00AE4BA1">
          <w:rPr>
            <w:noProof/>
            <w:webHidden/>
          </w:rPr>
          <w:t>76</w:t>
        </w:r>
        <w:r w:rsidR="00141FF7">
          <w:rPr>
            <w:noProof/>
            <w:webHidden/>
          </w:rPr>
          <w:fldChar w:fldCharType="end"/>
        </w:r>
      </w:hyperlink>
    </w:p>
    <w:p w14:paraId="4393C109" w14:textId="77777777" w:rsidR="00141FF7" w:rsidRDefault="002125ED">
      <w:pPr>
        <w:pStyle w:val="TOC3"/>
        <w:rPr>
          <w:rFonts w:eastAsiaTheme="minorEastAsia"/>
          <w:noProof/>
          <w:szCs w:val="22"/>
          <w:lang w:val="en-US" w:eastAsia="en-US"/>
        </w:rPr>
      </w:pPr>
      <w:hyperlink w:anchor="_Toc24114407" w:history="1">
        <w:r w:rsidR="00141FF7" w:rsidRPr="009E6533">
          <w:rPr>
            <w:rStyle w:val="Hyperlink"/>
          </w:rPr>
          <w:t>4.3</w:t>
        </w:r>
        <w:r w:rsidR="00141FF7">
          <w:rPr>
            <w:rFonts w:eastAsiaTheme="minorEastAsia"/>
            <w:noProof/>
            <w:szCs w:val="22"/>
            <w:lang w:val="en-US" w:eastAsia="en-US"/>
          </w:rPr>
          <w:tab/>
        </w:r>
        <w:r w:rsidR="00141FF7" w:rsidRPr="009E6533">
          <w:rPr>
            <w:rStyle w:val="Hyperlink"/>
          </w:rPr>
          <w:t>Chile</w:t>
        </w:r>
        <w:r w:rsidR="00141FF7">
          <w:rPr>
            <w:noProof/>
            <w:webHidden/>
          </w:rPr>
          <w:tab/>
        </w:r>
        <w:r w:rsidR="00141FF7">
          <w:rPr>
            <w:noProof/>
            <w:webHidden/>
          </w:rPr>
          <w:fldChar w:fldCharType="begin"/>
        </w:r>
        <w:r w:rsidR="00141FF7">
          <w:rPr>
            <w:noProof/>
            <w:webHidden/>
          </w:rPr>
          <w:instrText xml:space="preserve"> PAGEREF _Toc24114407 \h </w:instrText>
        </w:r>
        <w:r w:rsidR="00141FF7">
          <w:rPr>
            <w:noProof/>
            <w:webHidden/>
          </w:rPr>
        </w:r>
        <w:r w:rsidR="00141FF7">
          <w:rPr>
            <w:noProof/>
            <w:webHidden/>
          </w:rPr>
          <w:fldChar w:fldCharType="separate"/>
        </w:r>
        <w:r w:rsidR="00AE4BA1">
          <w:rPr>
            <w:noProof/>
            <w:webHidden/>
          </w:rPr>
          <w:t>80</w:t>
        </w:r>
        <w:r w:rsidR="00141FF7">
          <w:rPr>
            <w:noProof/>
            <w:webHidden/>
          </w:rPr>
          <w:fldChar w:fldCharType="end"/>
        </w:r>
      </w:hyperlink>
    </w:p>
    <w:p w14:paraId="16615D86" w14:textId="77777777" w:rsidR="00141FF7" w:rsidRDefault="002125ED">
      <w:pPr>
        <w:pStyle w:val="TOC3"/>
        <w:rPr>
          <w:rFonts w:eastAsiaTheme="minorEastAsia"/>
          <w:noProof/>
          <w:szCs w:val="22"/>
          <w:lang w:val="en-US" w:eastAsia="en-US"/>
        </w:rPr>
      </w:pPr>
      <w:hyperlink w:anchor="_Toc24114408" w:history="1">
        <w:r w:rsidR="00141FF7" w:rsidRPr="009E6533">
          <w:rPr>
            <w:rStyle w:val="Hyperlink"/>
          </w:rPr>
          <w:t>4.4</w:t>
        </w:r>
        <w:r w:rsidR="00141FF7">
          <w:rPr>
            <w:rFonts w:eastAsiaTheme="minorEastAsia"/>
            <w:noProof/>
            <w:szCs w:val="22"/>
            <w:lang w:val="en-US" w:eastAsia="en-US"/>
          </w:rPr>
          <w:tab/>
        </w:r>
        <w:r w:rsidR="00141FF7" w:rsidRPr="009E6533">
          <w:rPr>
            <w:rStyle w:val="Hyperlink"/>
          </w:rPr>
          <w:t>Jamaica</w:t>
        </w:r>
        <w:r w:rsidR="00141FF7">
          <w:rPr>
            <w:noProof/>
            <w:webHidden/>
          </w:rPr>
          <w:tab/>
        </w:r>
        <w:r w:rsidR="00141FF7">
          <w:rPr>
            <w:noProof/>
            <w:webHidden/>
          </w:rPr>
          <w:fldChar w:fldCharType="begin"/>
        </w:r>
        <w:r w:rsidR="00141FF7">
          <w:rPr>
            <w:noProof/>
            <w:webHidden/>
          </w:rPr>
          <w:instrText xml:space="preserve"> PAGEREF _Toc24114408 \h </w:instrText>
        </w:r>
        <w:r w:rsidR="00141FF7">
          <w:rPr>
            <w:noProof/>
            <w:webHidden/>
          </w:rPr>
        </w:r>
        <w:r w:rsidR="00141FF7">
          <w:rPr>
            <w:noProof/>
            <w:webHidden/>
          </w:rPr>
          <w:fldChar w:fldCharType="separate"/>
        </w:r>
        <w:r w:rsidR="00AE4BA1">
          <w:rPr>
            <w:noProof/>
            <w:webHidden/>
          </w:rPr>
          <w:t>83</w:t>
        </w:r>
        <w:r w:rsidR="00141FF7">
          <w:rPr>
            <w:noProof/>
            <w:webHidden/>
          </w:rPr>
          <w:fldChar w:fldCharType="end"/>
        </w:r>
      </w:hyperlink>
    </w:p>
    <w:p w14:paraId="304D9CB2" w14:textId="77777777" w:rsidR="00141FF7" w:rsidRDefault="002125ED">
      <w:pPr>
        <w:pStyle w:val="TOC1"/>
        <w:rPr>
          <w:rFonts w:eastAsiaTheme="minorEastAsia"/>
          <w:noProof/>
          <w:szCs w:val="22"/>
          <w:lang w:val="en-US" w:eastAsia="en-US"/>
        </w:rPr>
      </w:pPr>
      <w:hyperlink w:anchor="_Toc24114409" w:history="1">
        <w:r w:rsidR="00141FF7" w:rsidRPr="009E6533">
          <w:rPr>
            <w:rStyle w:val="Hyperlink"/>
          </w:rPr>
          <w:t>SECTION IV.</w:t>
        </w:r>
        <w:r w:rsidR="00141FF7">
          <w:rPr>
            <w:rFonts w:eastAsiaTheme="minorEastAsia"/>
            <w:noProof/>
            <w:szCs w:val="22"/>
            <w:lang w:val="en-US" w:eastAsia="en-US"/>
          </w:rPr>
          <w:tab/>
        </w:r>
        <w:r w:rsidR="00141FF7" w:rsidRPr="009E6533">
          <w:rPr>
            <w:rStyle w:val="Hyperlink"/>
          </w:rPr>
          <w:t>ANNEXURE – SUMMARY TABLES</w:t>
        </w:r>
        <w:r w:rsidR="00141FF7">
          <w:rPr>
            <w:noProof/>
            <w:webHidden/>
          </w:rPr>
          <w:tab/>
        </w:r>
        <w:r w:rsidR="00141FF7">
          <w:rPr>
            <w:noProof/>
            <w:webHidden/>
          </w:rPr>
          <w:fldChar w:fldCharType="begin"/>
        </w:r>
        <w:r w:rsidR="00141FF7">
          <w:rPr>
            <w:noProof/>
            <w:webHidden/>
          </w:rPr>
          <w:instrText xml:space="preserve"> PAGEREF _Toc24114409 \h </w:instrText>
        </w:r>
        <w:r w:rsidR="00141FF7">
          <w:rPr>
            <w:noProof/>
            <w:webHidden/>
          </w:rPr>
        </w:r>
        <w:r w:rsidR="00141FF7">
          <w:rPr>
            <w:noProof/>
            <w:webHidden/>
          </w:rPr>
          <w:fldChar w:fldCharType="separate"/>
        </w:r>
        <w:r w:rsidR="00AE4BA1">
          <w:rPr>
            <w:noProof/>
            <w:webHidden/>
          </w:rPr>
          <w:t>87</w:t>
        </w:r>
        <w:r w:rsidR="00141FF7">
          <w:rPr>
            <w:noProof/>
            <w:webHidden/>
          </w:rPr>
          <w:fldChar w:fldCharType="end"/>
        </w:r>
      </w:hyperlink>
    </w:p>
    <w:p w14:paraId="6313DBA8" w14:textId="15377873" w:rsidR="00E45079" w:rsidRPr="008D629E" w:rsidRDefault="002376B9" w:rsidP="00623C41">
      <w:pPr>
        <w:rPr>
          <w:lang w:val="en-US"/>
        </w:rPr>
      </w:pPr>
      <w:r>
        <w:rPr>
          <w:lang w:val="en-US"/>
        </w:rPr>
        <w:fldChar w:fldCharType="end"/>
      </w:r>
    </w:p>
    <w:p w14:paraId="0BDE99FF" w14:textId="77777777" w:rsidR="00E45079" w:rsidRPr="008D629E" w:rsidRDefault="00E45079" w:rsidP="00623C41">
      <w:pPr>
        <w:rPr>
          <w:lang w:val="en-US"/>
        </w:rPr>
      </w:pPr>
    </w:p>
    <w:p w14:paraId="59BF9BF3" w14:textId="77777777" w:rsidR="008C4053" w:rsidRPr="00CB2C31" w:rsidRDefault="008C4053" w:rsidP="00623C41">
      <w:pPr>
        <w:rPr>
          <w:lang w:val="en-US"/>
        </w:rPr>
        <w:sectPr w:rsidR="008C4053" w:rsidRPr="00CB2C31" w:rsidSect="003F58CB">
          <w:footerReference w:type="default" r:id="rId15"/>
          <w:pgSz w:w="11907" w:h="16839" w:code="9"/>
          <w:pgMar w:top="1440" w:right="1440" w:bottom="1440" w:left="1440" w:header="708" w:footer="708" w:gutter="0"/>
          <w:pgNumType w:fmt="lowerRoman" w:start="1"/>
          <w:cols w:space="720"/>
          <w:docGrid w:linePitch="360"/>
        </w:sectPr>
      </w:pPr>
      <w:bookmarkStart w:id="2" w:name="_Toc461812543"/>
      <w:bookmarkStart w:id="3" w:name="_Toc461812578"/>
      <w:bookmarkStart w:id="4" w:name="_Toc461812912"/>
      <w:bookmarkStart w:id="5" w:name="_Toc461813506"/>
      <w:bookmarkStart w:id="6" w:name="_Toc461976741"/>
      <w:bookmarkStart w:id="7" w:name="_Toc462824114"/>
    </w:p>
    <w:p w14:paraId="49A3F02E" w14:textId="77777777" w:rsidR="00A555A0" w:rsidRPr="00E603CE" w:rsidRDefault="00A555A0" w:rsidP="00A555A0">
      <w:pPr>
        <w:rPr>
          <w:b/>
          <w:bCs/>
          <w:u w:val="single"/>
          <w:lang w:val="en-US"/>
        </w:rPr>
      </w:pPr>
      <w:bookmarkStart w:id="8" w:name="_Toc513199200"/>
      <w:bookmarkStart w:id="9" w:name="_Toc15027189"/>
      <w:bookmarkStart w:id="10" w:name="_Toc15027858"/>
      <w:bookmarkStart w:id="11" w:name="_Toc16692457"/>
      <w:bookmarkStart w:id="12" w:name="_Ref16696768"/>
      <w:bookmarkStart w:id="13" w:name="_Ref16696777"/>
      <w:bookmarkEnd w:id="0"/>
      <w:bookmarkEnd w:id="2"/>
      <w:bookmarkEnd w:id="3"/>
      <w:bookmarkEnd w:id="4"/>
      <w:bookmarkEnd w:id="5"/>
      <w:bookmarkEnd w:id="6"/>
      <w:bookmarkEnd w:id="7"/>
      <w:r w:rsidRPr="00E603CE">
        <w:rPr>
          <w:b/>
          <w:bCs/>
          <w:u w:val="single"/>
          <w:lang w:val="en-US"/>
        </w:rPr>
        <w:t>Foreward</w:t>
      </w:r>
    </w:p>
    <w:p w14:paraId="3141ECC1" w14:textId="77777777" w:rsidR="00A555A0" w:rsidRPr="00C9468C" w:rsidRDefault="00A555A0" w:rsidP="00A555A0">
      <w:pPr>
        <w:pStyle w:val="CoverCenterLarge"/>
        <w:jc w:val="left"/>
        <w:rPr>
          <w:rFonts w:cstheme="minorHAnsi"/>
          <w:b w:val="0"/>
          <w:bCs w:val="0"/>
          <w:sz w:val="24"/>
          <w:szCs w:val="24"/>
          <w:lang w:val="en-US"/>
        </w:rPr>
      </w:pPr>
    </w:p>
    <w:p w14:paraId="49246C00" w14:textId="77777777" w:rsidR="00A555A0" w:rsidRPr="00EB79F9" w:rsidRDefault="00A555A0" w:rsidP="00A555A0">
      <w:pPr>
        <w:rPr>
          <w:rFonts w:eastAsia="Avenir" w:cstheme="minorHAnsi"/>
          <w:szCs w:val="22"/>
        </w:rPr>
      </w:pPr>
      <w:r w:rsidRPr="00EB79F9">
        <w:rPr>
          <w:rFonts w:eastAsia="Avenir" w:cstheme="minorHAnsi"/>
          <w:szCs w:val="22"/>
        </w:rPr>
        <w:t xml:space="preserve">Gender equality is vital to the realization of human rights for all, and without it we have no hope of achieving the 17 Sustainable Development Goals. </w:t>
      </w:r>
      <w:r>
        <w:rPr>
          <w:rFonts w:eastAsia="Avenir" w:cstheme="minorHAnsi"/>
          <w:szCs w:val="22"/>
        </w:rPr>
        <w:t xml:space="preserve"> </w:t>
      </w:r>
      <w:r w:rsidRPr="00EB79F9">
        <w:rPr>
          <w:rFonts w:eastAsia="Avenir" w:cstheme="minorHAnsi"/>
          <w:szCs w:val="22"/>
        </w:rPr>
        <w:t xml:space="preserve">No country has achieved gender equality, and </w:t>
      </w:r>
      <w:r>
        <w:rPr>
          <w:rFonts w:eastAsia="Avenir" w:cstheme="minorHAnsi"/>
          <w:szCs w:val="22"/>
        </w:rPr>
        <w:t xml:space="preserve">the latest Global Gender Gap Report published by the World Economic Forum reported that </w:t>
      </w:r>
      <w:r w:rsidRPr="00EB79F9">
        <w:rPr>
          <w:rFonts w:eastAsia="Avenir" w:cstheme="minorHAnsi"/>
          <w:szCs w:val="22"/>
        </w:rPr>
        <w:t xml:space="preserve">at the current rate of progress it will take another 108 years to reach. </w:t>
      </w:r>
      <w:r>
        <w:rPr>
          <w:rFonts w:eastAsia="Avenir" w:cstheme="minorHAnsi"/>
          <w:szCs w:val="22"/>
        </w:rPr>
        <w:t xml:space="preserve"> </w:t>
      </w:r>
      <w:r w:rsidRPr="00EB79F9">
        <w:rPr>
          <w:rFonts w:eastAsia="Avenir" w:cstheme="minorHAnsi"/>
          <w:szCs w:val="22"/>
        </w:rPr>
        <w:t xml:space="preserve">It is clear that gender equality remains a fundamental challenge to be solved in this century. </w:t>
      </w:r>
    </w:p>
    <w:p w14:paraId="15500535" w14:textId="77777777" w:rsidR="00A555A0" w:rsidRPr="00EB79F9" w:rsidRDefault="00A555A0" w:rsidP="00A555A0">
      <w:pPr>
        <w:rPr>
          <w:rFonts w:eastAsia="Avenir" w:cstheme="minorHAnsi"/>
          <w:szCs w:val="22"/>
        </w:rPr>
      </w:pPr>
    </w:p>
    <w:p w14:paraId="39E4877D" w14:textId="77777777" w:rsidR="00A555A0" w:rsidRPr="00EB79F9" w:rsidRDefault="00A555A0" w:rsidP="00A555A0">
      <w:pPr>
        <w:rPr>
          <w:rFonts w:eastAsia="Avenir" w:cstheme="minorHAnsi"/>
          <w:szCs w:val="22"/>
        </w:rPr>
      </w:pPr>
      <w:r w:rsidRPr="00EB79F9">
        <w:rPr>
          <w:rFonts w:eastAsia="Avenir" w:cstheme="minorHAnsi"/>
          <w:szCs w:val="22"/>
        </w:rPr>
        <w:t xml:space="preserve">UN treaty bodies are at the heart of the international human rights framework and gender equality is grounded within this framework and international commitments. </w:t>
      </w:r>
      <w:r>
        <w:rPr>
          <w:rFonts w:eastAsia="Avenir" w:cstheme="minorHAnsi"/>
          <w:szCs w:val="22"/>
        </w:rPr>
        <w:t xml:space="preserve"> </w:t>
      </w:r>
      <w:r w:rsidRPr="00EB79F9">
        <w:rPr>
          <w:rFonts w:eastAsia="Avenir" w:cstheme="minorHAnsi"/>
          <w:szCs w:val="22"/>
        </w:rPr>
        <w:t>However, the numbers of women participating in UN treaty bodies are abysmal.</w:t>
      </w:r>
    </w:p>
    <w:p w14:paraId="0F2E99F5" w14:textId="77777777" w:rsidR="00A555A0" w:rsidRPr="00EB79F9" w:rsidRDefault="00A555A0" w:rsidP="00A555A0">
      <w:pPr>
        <w:rPr>
          <w:rFonts w:eastAsia="Avenir" w:cstheme="minorHAnsi"/>
          <w:szCs w:val="22"/>
        </w:rPr>
      </w:pPr>
    </w:p>
    <w:p w14:paraId="09D513CA" w14:textId="77777777" w:rsidR="00A555A0" w:rsidRPr="00EB79F9" w:rsidRDefault="00A555A0" w:rsidP="00A555A0">
      <w:pPr>
        <w:rPr>
          <w:rFonts w:eastAsia="Avenir" w:cstheme="minorHAnsi"/>
          <w:szCs w:val="22"/>
        </w:rPr>
      </w:pPr>
      <w:r w:rsidRPr="00EB79F9">
        <w:rPr>
          <w:rFonts w:eastAsia="Avenir" w:cstheme="minorHAnsi"/>
          <w:szCs w:val="22"/>
        </w:rPr>
        <w:t>Simple structural changes that guarantee women take their equal place at decision</w:t>
      </w:r>
      <w:r>
        <w:rPr>
          <w:rFonts w:eastAsia="Avenir" w:cstheme="minorHAnsi"/>
          <w:szCs w:val="22"/>
        </w:rPr>
        <w:t>-</w:t>
      </w:r>
      <w:r w:rsidRPr="00EB79F9">
        <w:rPr>
          <w:rFonts w:eastAsia="Avenir" w:cstheme="minorHAnsi"/>
          <w:szCs w:val="22"/>
        </w:rPr>
        <w:t xml:space="preserve">making tables are needed in addition to the innovative thinking necessary to drive gender equality.  </w:t>
      </w:r>
    </w:p>
    <w:p w14:paraId="4E64E04F" w14:textId="77777777" w:rsidR="00A555A0" w:rsidRPr="00EB79F9" w:rsidRDefault="00A555A0" w:rsidP="00A555A0">
      <w:pPr>
        <w:rPr>
          <w:rFonts w:eastAsia="Avenir" w:cstheme="minorHAnsi"/>
          <w:szCs w:val="22"/>
        </w:rPr>
      </w:pPr>
    </w:p>
    <w:p w14:paraId="0EFE0BD2" w14:textId="77777777" w:rsidR="00A555A0" w:rsidRPr="00EB79F9" w:rsidRDefault="00A555A0" w:rsidP="00A555A0">
      <w:pPr>
        <w:rPr>
          <w:rFonts w:eastAsia="Avenir" w:cstheme="minorHAnsi"/>
          <w:szCs w:val="22"/>
        </w:rPr>
      </w:pPr>
      <w:r w:rsidRPr="00EB79F9">
        <w:rPr>
          <w:rFonts w:eastAsia="Avenir" w:cstheme="minorHAnsi"/>
          <w:szCs w:val="22"/>
        </w:rPr>
        <w:t xml:space="preserve">In 2020, a UN Treaty Body Review process is scheduled, taking place in the same year as we commemorate the 25th anniversary of the Beijing Declaration and Platform for Action </w:t>
      </w:r>
      <w:r>
        <w:rPr>
          <w:rFonts w:eastAsia="Avenir" w:cstheme="minorHAnsi"/>
          <w:szCs w:val="22"/>
        </w:rPr>
        <w:t>–</w:t>
      </w:r>
      <w:r w:rsidRPr="00EB79F9">
        <w:rPr>
          <w:rFonts w:eastAsia="Avenir" w:cstheme="minorHAnsi"/>
          <w:szCs w:val="22"/>
        </w:rPr>
        <w:t xml:space="preserve"> the internationally agreed roadmap to gender equality. </w:t>
      </w:r>
      <w:r>
        <w:rPr>
          <w:rFonts w:eastAsia="Avenir" w:cstheme="minorHAnsi"/>
          <w:szCs w:val="22"/>
        </w:rPr>
        <w:t xml:space="preserve"> </w:t>
      </w:r>
      <w:r w:rsidRPr="00EB79F9">
        <w:rPr>
          <w:rFonts w:eastAsia="Avenir" w:cstheme="minorHAnsi"/>
          <w:szCs w:val="22"/>
        </w:rPr>
        <w:t xml:space="preserve">This confluence provides a unique opportunity for the international community and institutions to review and finally close gender parity gaps within treaty bodies through simple, lasting institutional change. </w:t>
      </w:r>
      <w:r>
        <w:rPr>
          <w:rFonts w:eastAsia="Avenir" w:cstheme="minorHAnsi"/>
          <w:szCs w:val="22"/>
        </w:rPr>
        <w:t xml:space="preserve"> </w:t>
      </w:r>
      <w:r w:rsidRPr="00EB79F9">
        <w:rPr>
          <w:rFonts w:eastAsia="Avenir" w:cstheme="minorHAnsi"/>
          <w:szCs w:val="22"/>
        </w:rPr>
        <w:t>The time to act is now.</w:t>
      </w:r>
    </w:p>
    <w:p w14:paraId="431837F4" w14:textId="77777777" w:rsidR="00A555A0" w:rsidRPr="00EB79F9" w:rsidRDefault="00A555A0" w:rsidP="00A555A0">
      <w:pPr>
        <w:rPr>
          <w:rFonts w:eastAsia="Avenir" w:cstheme="minorHAnsi"/>
          <w:szCs w:val="22"/>
        </w:rPr>
      </w:pPr>
    </w:p>
    <w:p w14:paraId="13275C1E" w14:textId="7F4A9C07" w:rsidR="00A555A0" w:rsidRPr="00EB79F9" w:rsidRDefault="00A555A0" w:rsidP="00A555A0">
      <w:pPr>
        <w:rPr>
          <w:rFonts w:eastAsia="Avenir" w:cstheme="minorHAnsi"/>
          <w:szCs w:val="22"/>
        </w:rPr>
      </w:pPr>
      <w:r w:rsidRPr="00EB79F9">
        <w:rPr>
          <w:rFonts w:eastAsia="Avenir" w:cstheme="minorHAnsi"/>
          <w:szCs w:val="22"/>
        </w:rPr>
        <w:t>Women</w:t>
      </w:r>
      <w:r>
        <w:rPr>
          <w:rFonts w:eastAsia="Avenir" w:cstheme="minorHAnsi"/>
          <w:szCs w:val="22"/>
        </w:rPr>
        <w:t xml:space="preserve"> At The </w:t>
      </w:r>
      <w:r w:rsidRPr="00EB79F9">
        <w:rPr>
          <w:rFonts w:eastAsia="Avenir" w:cstheme="minorHAnsi"/>
          <w:szCs w:val="22"/>
        </w:rPr>
        <w:t>Table, a global CSO based in Geneva and the first organi</w:t>
      </w:r>
      <w:r>
        <w:rPr>
          <w:rFonts w:eastAsia="Avenir" w:cstheme="minorHAnsi"/>
          <w:szCs w:val="22"/>
        </w:rPr>
        <w:t>z</w:t>
      </w:r>
      <w:r w:rsidRPr="00EB79F9">
        <w:rPr>
          <w:rFonts w:eastAsia="Avenir" w:cstheme="minorHAnsi"/>
          <w:szCs w:val="22"/>
        </w:rPr>
        <w:t>ation to focus on systems change by helping feminists gain influence in sectors that have key structural impact: democracy and governance, economy, technology and sustainability initiated this r</w:t>
      </w:r>
      <w:r>
        <w:rPr>
          <w:rFonts w:eastAsia="Avenir" w:cstheme="minorHAnsi"/>
          <w:szCs w:val="22"/>
        </w:rPr>
        <w:t xml:space="preserve">eport </w:t>
      </w:r>
      <w:r w:rsidRPr="00EB79F9">
        <w:rPr>
          <w:rFonts w:eastAsia="Avenir" w:cstheme="minorHAnsi"/>
          <w:szCs w:val="22"/>
        </w:rPr>
        <w:t xml:space="preserve">in collaboration with </w:t>
      </w:r>
      <w:r>
        <w:rPr>
          <w:rFonts w:eastAsia="Avenir" w:cstheme="minorHAnsi"/>
          <w:szCs w:val="22"/>
        </w:rPr>
        <w:t xml:space="preserve">Elizabeth Robertson, Kathlene Burke and James Anderson from Skadden, Arps, Slate, Meagher &amp; Flom (UK) LLP. </w:t>
      </w:r>
      <w:r w:rsidRPr="00EB79F9">
        <w:rPr>
          <w:rFonts w:eastAsia="Avenir" w:cstheme="minorHAnsi"/>
          <w:szCs w:val="22"/>
        </w:rPr>
        <w:t xml:space="preserve"> We felt a comprehensive report on what exists, what works, and where, why and how it works to drive gender equality would be useful.</w:t>
      </w:r>
    </w:p>
    <w:p w14:paraId="6805A185" w14:textId="77777777" w:rsidR="00A555A0" w:rsidRPr="00EB79F9" w:rsidRDefault="00A555A0" w:rsidP="00A555A0">
      <w:pPr>
        <w:rPr>
          <w:rFonts w:eastAsia="Avenir" w:cstheme="minorHAnsi"/>
          <w:szCs w:val="22"/>
        </w:rPr>
      </w:pPr>
    </w:p>
    <w:p w14:paraId="3B12551E" w14:textId="77777777" w:rsidR="00A555A0" w:rsidRPr="00EB79F9" w:rsidRDefault="00A555A0" w:rsidP="00A555A0">
      <w:pPr>
        <w:rPr>
          <w:rFonts w:eastAsia="Avenir" w:cstheme="minorHAnsi"/>
          <w:szCs w:val="22"/>
        </w:rPr>
      </w:pPr>
      <w:r>
        <w:rPr>
          <w:rFonts w:eastAsia="Avenir" w:cstheme="minorHAnsi"/>
          <w:szCs w:val="22"/>
        </w:rPr>
        <w:t>The r</w:t>
      </w:r>
      <w:r w:rsidRPr="00EB79F9">
        <w:rPr>
          <w:rFonts w:eastAsia="Avenir" w:cstheme="minorHAnsi"/>
          <w:szCs w:val="22"/>
        </w:rPr>
        <w:t>eport analyzes country policies, regional treaty bodies, and private sector corporate governance to map how gender equality could be achieved and structurally improved within UN Treaty Bodies.</w:t>
      </w:r>
      <w:r>
        <w:rPr>
          <w:rFonts w:eastAsia="Avenir" w:cstheme="minorHAnsi"/>
          <w:szCs w:val="22"/>
        </w:rPr>
        <w:t xml:space="preserve"> </w:t>
      </w:r>
      <w:r w:rsidRPr="00EB79F9">
        <w:rPr>
          <w:rFonts w:eastAsia="Avenir" w:cstheme="minorHAnsi"/>
          <w:szCs w:val="22"/>
        </w:rPr>
        <w:t xml:space="preserve"> The recommendations are feasible and functional, and have the benefit of being road tested either by international organizations, regional treaty bodies, countries or the private sector, with each recommendation having had lasting positive institutional impact.   </w:t>
      </w:r>
    </w:p>
    <w:p w14:paraId="495825A8" w14:textId="77777777" w:rsidR="00A555A0" w:rsidRPr="00EB79F9" w:rsidRDefault="00A555A0" w:rsidP="00A555A0">
      <w:pPr>
        <w:rPr>
          <w:rFonts w:eastAsia="Avenir" w:cstheme="minorHAnsi"/>
          <w:szCs w:val="22"/>
        </w:rPr>
      </w:pPr>
    </w:p>
    <w:p w14:paraId="55A97BFE" w14:textId="77777777" w:rsidR="00A555A0" w:rsidRPr="00EB79F9" w:rsidRDefault="00A555A0" w:rsidP="00A555A0">
      <w:pPr>
        <w:rPr>
          <w:rFonts w:eastAsia="Avenir" w:cstheme="minorHAnsi"/>
          <w:szCs w:val="22"/>
        </w:rPr>
      </w:pPr>
      <w:r w:rsidRPr="00EB79F9">
        <w:rPr>
          <w:rFonts w:eastAsia="Avenir" w:cstheme="minorHAnsi"/>
          <w:szCs w:val="22"/>
        </w:rPr>
        <w:t>Cent</w:t>
      </w:r>
      <w:r>
        <w:rPr>
          <w:rFonts w:eastAsia="Avenir" w:cstheme="minorHAnsi"/>
          <w:szCs w:val="22"/>
        </w:rPr>
        <w:t>e</w:t>
      </w:r>
      <w:r w:rsidRPr="00EB79F9">
        <w:rPr>
          <w:rFonts w:eastAsia="Avenir" w:cstheme="minorHAnsi"/>
          <w:szCs w:val="22"/>
        </w:rPr>
        <w:t>red around inclusion, disclosure and transparency within existing treaty body nomination and election processes, our aim is to help to correct for the visibility, quality of interaction and influence of half the world’s adult population – women.</w:t>
      </w:r>
    </w:p>
    <w:p w14:paraId="62069092" w14:textId="77777777" w:rsidR="00A555A0" w:rsidRPr="00EB79F9" w:rsidRDefault="00A555A0" w:rsidP="00A555A0">
      <w:pPr>
        <w:rPr>
          <w:rFonts w:eastAsia="Avenir" w:cstheme="minorHAnsi"/>
          <w:szCs w:val="22"/>
        </w:rPr>
      </w:pPr>
    </w:p>
    <w:p w14:paraId="30E50DF4" w14:textId="77777777" w:rsidR="00A555A0" w:rsidRDefault="00A555A0" w:rsidP="00A555A0">
      <w:pPr>
        <w:rPr>
          <w:rFonts w:eastAsia="Avenir" w:cstheme="minorHAnsi"/>
          <w:szCs w:val="22"/>
        </w:rPr>
      </w:pPr>
      <w:r w:rsidRPr="00EB79F9">
        <w:rPr>
          <w:rFonts w:eastAsia="Avenir" w:cstheme="minorHAnsi"/>
          <w:szCs w:val="22"/>
        </w:rPr>
        <w:t xml:space="preserve">If we want individuals to trust and respect the credibility of our institutions, our institutions and the international community must show leadership and turn words into accountability and concrete action.  Women are an essential, untapped resource. </w:t>
      </w:r>
      <w:r>
        <w:rPr>
          <w:rFonts w:eastAsia="Avenir" w:cstheme="minorHAnsi"/>
          <w:szCs w:val="22"/>
        </w:rPr>
        <w:t xml:space="preserve"> </w:t>
      </w:r>
      <w:r w:rsidRPr="00EB79F9">
        <w:rPr>
          <w:rFonts w:eastAsia="Avenir" w:cstheme="minorHAnsi"/>
          <w:szCs w:val="22"/>
        </w:rPr>
        <w:t>If we focus on gender equality and democracy for both women and men, especially in our international institutions, now, then everyone can thrive.  As the 2030 Agenda for Sustainable Development pledges, ‘We must leave no one behind.</w:t>
      </w:r>
      <w:r>
        <w:rPr>
          <w:rFonts w:eastAsia="Avenir" w:cstheme="minorHAnsi"/>
          <w:szCs w:val="22"/>
        </w:rPr>
        <w:t>’</w:t>
      </w:r>
      <w:r w:rsidRPr="00EB79F9">
        <w:rPr>
          <w:rFonts w:eastAsia="Avenir" w:cstheme="minorHAnsi"/>
          <w:szCs w:val="22"/>
        </w:rPr>
        <w:t xml:space="preserve"> </w:t>
      </w:r>
    </w:p>
    <w:p w14:paraId="5E55061B" w14:textId="77777777" w:rsidR="00A555A0" w:rsidRPr="00EB79F9" w:rsidRDefault="00A555A0" w:rsidP="00A555A0">
      <w:pPr>
        <w:rPr>
          <w:rFonts w:eastAsia="Avenir" w:cstheme="minorHAnsi"/>
          <w:szCs w:val="22"/>
        </w:rPr>
      </w:pPr>
    </w:p>
    <w:p w14:paraId="7ED82A0C" w14:textId="77777777" w:rsidR="00A555A0" w:rsidRPr="00A555A0" w:rsidRDefault="00A555A0" w:rsidP="00A555A0">
      <w:pPr>
        <w:keepNext/>
        <w:rPr>
          <w:rFonts w:eastAsia="Avenir" w:cstheme="minorHAnsi"/>
          <w:b/>
          <w:szCs w:val="22"/>
          <w:lang w:val="de-CH"/>
        </w:rPr>
      </w:pPr>
      <w:r w:rsidRPr="00A555A0">
        <w:rPr>
          <w:rFonts w:eastAsia="Avenir" w:cstheme="minorHAnsi"/>
          <w:b/>
          <w:szCs w:val="22"/>
          <w:lang w:val="de-CH"/>
        </w:rPr>
        <w:t>Caitlin Kraft-Buchman</w:t>
      </w:r>
    </w:p>
    <w:p w14:paraId="45D2124F" w14:textId="77777777" w:rsidR="00A555A0" w:rsidRPr="00A555A0" w:rsidRDefault="00A555A0" w:rsidP="00A555A0">
      <w:pPr>
        <w:keepNext/>
        <w:rPr>
          <w:rFonts w:eastAsia="Avenir" w:cstheme="minorHAnsi"/>
          <w:szCs w:val="22"/>
          <w:lang w:val="de-CH"/>
        </w:rPr>
      </w:pPr>
      <w:r w:rsidRPr="00A555A0">
        <w:rPr>
          <w:rFonts w:eastAsia="Avenir" w:cstheme="minorHAnsi"/>
          <w:szCs w:val="22"/>
          <w:lang w:val="de-CH"/>
        </w:rPr>
        <w:t>CEO / Founder</w:t>
      </w:r>
    </w:p>
    <w:p w14:paraId="27153598" w14:textId="042B78AA" w:rsidR="00A555A0" w:rsidRDefault="00A555A0" w:rsidP="00A555A0">
      <w:pPr>
        <w:keepNext/>
        <w:rPr>
          <w:rFonts w:eastAsia="Avenir" w:cstheme="minorHAnsi"/>
          <w:szCs w:val="22"/>
          <w:lang w:val="de-CH"/>
        </w:rPr>
      </w:pPr>
      <w:r w:rsidRPr="00A555A0">
        <w:rPr>
          <w:rFonts w:eastAsia="Avenir" w:cstheme="minorHAnsi"/>
          <w:szCs w:val="22"/>
          <w:lang w:val="de-CH"/>
        </w:rPr>
        <w:t>Women</w:t>
      </w:r>
      <w:r>
        <w:rPr>
          <w:rFonts w:eastAsia="Avenir" w:cstheme="minorHAnsi"/>
          <w:szCs w:val="22"/>
          <w:lang w:val="de-CH"/>
        </w:rPr>
        <w:t xml:space="preserve"> At T</w:t>
      </w:r>
      <w:r w:rsidRPr="00A555A0">
        <w:rPr>
          <w:rFonts w:eastAsia="Avenir" w:cstheme="minorHAnsi"/>
          <w:szCs w:val="22"/>
          <w:lang w:val="de-CH"/>
        </w:rPr>
        <w:t>he</w:t>
      </w:r>
      <w:r>
        <w:rPr>
          <w:rFonts w:eastAsia="Avenir" w:cstheme="minorHAnsi"/>
          <w:szCs w:val="22"/>
          <w:lang w:val="de-CH"/>
        </w:rPr>
        <w:t xml:space="preserve"> </w:t>
      </w:r>
      <w:r w:rsidRPr="00A555A0">
        <w:rPr>
          <w:rFonts w:eastAsia="Avenir" w:cstheme="minorHAnsi"/>
          <w:szCs w:val="22"/>
          <w:lang w:val="de-CH"/>
        </w:rPr>
        <w:t xml:space="preserve">Table </w:t>
      </w:r>
    </w:p>
    <w:p w14:paraId="12C0CD07" w14:textId="057C8ADD" w:rsidR="00E603CE" w:rsidRPr="00A555A0" w:rsidRDefault="00E603CE" w:rsidP="00A555A0">
      <w:pPr>
        <w:keepNext/>
        <w:rPr>
          <w:rFonts w:eastAsia="Avenir" w:cstheme="minorHAnsi"/>
          <w:szCs w:val="22"/>
          <w:lang w:val="de-CH"/>
        </w:rPr>
      </w:pPr>
      <w:r>
        <w:rPr>
          <w:noProof/>
          <w:lang w:eastAsia="en-GB"/>
        </w:rPr>
        <w:drawing>
          <wp:inline distT="0" distB="0" distL="0" distR="0" wp14:anchorId="15E7F710" wp14:editId="7EFDD751">
            <wp:extent cx="1766596" cy="568317"/>
            <wp:effectExtent l="0" t="0" r="0" b="3810"/>
            <wp:docPr id="4" name="Picture 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menAtTheTable_LogoGradient copy.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6544" cy="587602"/>
                    </a:xfrm>
                    <a:prstGeom prst="rect">
                      <a:avLst/>
                    </a:prstGeom>
                  </pic:spPr>
                </pic:pic>
              </a:graphicData>
            </a:graphic>
          </wp:inline>
        </w:drawing>
      </w:r>
    </w:p>
    <w:p w14:paraId="70C3E45F" w14:textId="033E9184" w:rsidR="008D6D4A" w:rsidRPr="00A555A0" w:rsidRDefault="008D6D4A" w:rsidP="00585D4A">
      <w:pPr>
        <w:rPr>
          <w:lang w:val="de-CH"/>
        </w:rPr>
        <w:sectPr w:rsidR="008D6D4A" w:rsidRPr="00A555A0" w:rsidSect="002376B9">
          <w:footerReference w:type="default" r:id="rId17"/>
          <w:footerReference w:type="first" r:id="rId18"/>
          <w:pgSz w:w="11907" w:h="16839" w:code="9"/>
          <w:pgMar w:top="1440" w:right="1440" w:bottom="1440" w:left="1440" w:header="706" w:footer="706" w:gutter="0"/>
          <w:pgNumType w:fmt="lowerRoman"/>
          <w:cols w:space="720"/>
          <w:titlePg/>
          <w:docGrid w:linePitch="360"/>
        </w:sectPr>
      </w:pPr>
    </w:p>
    <w:p w14:paraId="26CE9C1C" w14:textId="2BDA4CDF" w:rsidR="00DC5026" w:rsidRPr="00DC5026" w:rsidRDefault="0038661D" w:rsidP="00DC5026">
      <w:pPr>
        <w:pStyle w:val="LegalCombo1"/>
      </w:pPr>
      <w:bookmarkStart w:id="14" w:name="_Toc22904962"/>
      <w:bookmarkStart w:id="15" w:name="_Toc24114361"/>
      <w:r>
        <w:t xml:space="preserve">OVERVIEW AND </w:t>
      </w:r>
      <w:r w:rsidR="00BE050A">
        <w:t>RECOMMENDATIONS</w:t>
      </w:r>
      <w:bookmarkEnd w:id="14"/>
      <w:bookmarkEnd w:id="15"/>
    </w:p>
    <w:p w14:paraId="5F47A80D" w14:textId="0C17981F" w:rsidR="00DC5026" w:rsidRDefault="0038661D" w:rsidP="00DC5026">
      <w:pPr>
        <w:pStyle w:val="LegalCombo2"/>
      </w:pPr>
      <w:bookmarkStart w:id="16" w:name="_Toc22904963"/>
      <w:bookmarkStart w:id="17" w:name="_Toc24114362"/>
      <w:r>
        <w:t>iNTRODUCTION</w:t>
      </w:r>
      <w:bookmarkEnd w:id="16"/>
      <w:bookmarkEnd w:id="17"/>
    </w:p>
    <w:p w14:paraId="5B06D84F" w14:textId="09818AFC" w:rsidR="009F24F0" w:rsidRDefault="0038661D" w:rsidP="004210F8">
      <w:pPr>
        <w:pStyle w:val="DoublePara"/>
        <w:rPr>
          <w:lang w:val="en-US"/>
        </w:rPr>
      </w:pPr>
      <w:r>
        <w:rPr>
          <w:lang w:val="en-US"/>
        </w:rPr>
        <w:t xml:space="preserve">Although gender balance remains a common goal promoted by UN regulations and guidelines, it has only been achieved by a few treaty bodies.  </w:t>
      </w:r>
      <w:r w:rsidR="00EF45B8">
        <w:rPr>
          <w:lang w:val="en-US"/>
        </w:rPr>
        <w:t>This Report</w:t>
      </w:r>
      <w:r w:rsidRPr="0038661D">
        <w:rPr>
          <w:lang w:val="en-US"/>
        </w:rPr>
        <w:t xml:space="preserve"> </w:t>
      </w:r>
      <w:r w:rsidR="008C5F18">
        <w:rPr>
          <w:lang w:val="en-US"/>
        </w:rPr>
        <w:t>(the “</w:t>
      </w:r>
      <w:r w:rsidR="008C5F18" w:rsidRPr="008C5F18">
        <w:rPr>
          <w:b/>
          <w:lang w:val="en-US"/>
        </w:rPr>
        <w:t>Report</w:t>
      </w:r>
      <w:r w:rsidR="008C5F18">
        <w:rPr>
          <w:lang w:val="en-US"/>
        </w:rPr>
        <w:t xml:space="preserve">”) </w:t>
      </w:r>
      <w:r>
        <w:rPr>
          <w:lang w:val="en-US"/>
        </w:rPr>
        <w:t xml:space="preserve">sets out a number of recommendations for UN treaty bodies to incorporate into their nomination and election procedures in order to achieve gender balance among treaty body members. </w:t>
      </w:r>
      <w:r w:rsidR="00E56147">
        <w:rPr>
          <w:lang w:val="en-US"/>
        </w:rPr>
        <w:t xml:space="preserve"> </w:t>
      </w:r>
      <w:r>
        <w:rPr>
          <w:lang w:val="en-US"/>
        </w:rPr>
        <w:t>It is</w:t>
      </w:r>
      <w:r w:rsidR="00EF45B8">
        <w:rPr>
          <w:lang w:val="en-US"/>
        </w:rPr>
        <w:t xml:space="preserve"> </w:t>
      </w:r>
      <w:r w:rsidR="004210F8">
        <w:rPr>
          <w:lang w:val="en-US"/>
        </w:rPr>
        <w:t>based on a review of c</w:t>
      </w:r>
      <w:r w:rsidR="00EF45B8">
        <w:rPr>
          <w:lang w:val="en-US"/>
        </w:rPr>
        <w:t xml:space="preserve">urrent and best practices </w:t>
      </w:r>
      <w:r w:rsidR="00B47233" w:rsidRPr="00CB2C31">
        <w:rPr>
          <w:lang w:val="en-US"/>
        </w:rPr>
        <w:t>for nominating and selecting individuals across the world to</w:t>
      </w:r>
      <w:r w:rsidR="00B47233">
        <w:rPr>
          <w:lang w:val="en-US"/>
        </w:rPr>
        <w:t xml:space="preserve"> </w:t>
      </w:r>
      <w:r w:rsidR="0086246B">
        <w:rPr>
          <w:lang w:val="en-US"/>
        </w:rPr>
        <w:t xml:space="preserve">key </w:t>
      </w:r>
      <w:r w:rsidR="008154A3">
        <w:rPr>
          <w:lang w:val="en-US"/>
        </w:rPr>
        <w:t>international and regional treaty</w:t>
      </w:r>
      <w:r w:rsidR="00EF45B8">
        <w:rPr>
          <w:lang w:val="en-US"/>
        </w:rPr>
        <w:t xml:space="preserve"> bodies</w:t>
      </w:r>
      <w:r w:rsidR="008154A3">
        <w:rPr>
          <w:rStyle w:val="FootnoteReference"/>
          <w:lang w:val="en-US"/>
        </w:rPr>
        <w:footnoteReference w:id="3"/>
      </w:r>
      <w:r w:rsidR="00EF45B8">
        <w:rPr>
          <w:lang w:val="en-US"/>
        </w:rPr>
        <w:t xml:space="preserve"> and </w:t>
      </w:r>
      <w:r w:rsidR="00B47233" w:rsidRPr="00CB2C31">
        <w:rPr>
          <w:lang w:val="en-US"/>
        </w:rPr>
        <w:t>private sector governing bodies</w:t>
      </w:r>
      <w:r>
        <w:rPr>
          <w:lang w:val="en-US"/>
        </w:rPr>
        <w:t xml:space="preserve">.   </w:t>
      </w:r>
    </w:p>
    <w:p w14:paraId="30A52385" w14:textId="77777777" w:rsidR="00AB64CC" w:rsidRDefault="00AB64CC" w:rsidP="00AB64CC">
      <w:pPr>
        <w:pStyle w:val="LegalCombo2"/>
      </w:pPr>
      <w:bookmarkStart w:id="18" w:name="_Toc22904964"/>
      <w:bookmarkStart w:id="19" w:name="_Toc24114363"/>
      <w:r>
        <w:t>landscape</w:t>
      </w:r>
      <w:bookmarkEnd w:id="18"/>
      <w:bookmarkEnd w:id="19"/>
    </w:p>
    <w:p w14:paraId="26631792" w14:textId="12E7DAA9" w:rsidR="0074616F" w:rsidRDefault="0089663D" w:rsidP="009D675F">
      <w:pPr>
        <w:pStyle w:val="DoublePara"/>
        <w:rPr>
          <w:lang w:val="en-US"/>
        </w:rPr>
      </w:pPr>
      <w:r w:rsidRPr="00CB2C31">
        <w:rPr>
          <w:lang w:val="en-US"/>
        </w:rPr>
        <w:t>When selecting individuals to governing bodies and leadership positions, both in the international and regional treaty body system</w:t>
      </w:r>
      <w:r>
        <w:rPr>
          <w:lang w:val="en-US"/>
        </w:rPr>
        <w:t xml:space="preserve"> and in </w:t>
      </w:r>
      <w:r w:rsidRPr="00CB2C31">
        <w:rPr>
          <w:lang w:val="en-US"/>
        </w:rPr>
        <w:t xml:space="preserve">the private sector, the objective is to select experienced candidates who will contribute to improving the decision-making capacity of the governing body.  </w:t>
      </w:r>
      <w:r w:rsidR="0038661D" w:rsidRPr="00CB2C31">
        <w:rPr>
          <w:lang w:val="en-US"/>
        </w:rPr>
        <w:t xml:space="preserve">Numerous reports, focusing in particular on the private sector, have established that selecting </w:t>
      </w:r>
      <w:r w:rsidR="0038661D">
        <w:rPr>
          <w:lang w:val="en-US"/>
        </w:rPr>
        <w:t>female</w:t>
      </w:r>
      <w:r w:rsidR="0038661D" w:rsidRPr="00CB2C31">
        <w:rPr>
          <w:lang w:val="en-US"/>
        </w:rPr>
        <w:t xml:space="preserve"> candidates is a key criterion for governing bodies to ensure that they have the appropriate expertise; companies are more successful and efficient when the </w:t>
      </w:r>
      <w:r w:rsidR="0038661D">
        <w:rPr>
          <w:lang w:val="en-US"/>
        </w:rPr>
        <w:t>gender</w:t>
      </w:r>
      <w:r w:rsidR="0038661D" w:rsidRPr="00CB2C31">
        <w:rPr>
          <w:lang w:val="en-US"/>
        </w:rPr>
        <w:t xml:space="preserve"> of their boards </w:t>
      </w:r>
      <w:r w:rsidR="00E56147">
        <w:rPr>
          <w:lang w:val="en-US"/>
        </w:rPr>
        <w:t>is</w:t>
      </w:r>
      <w:r w:rsidR="00E56147" w:rsidRPr="00CB2C31">
        <w:rPr>
          <w:lang w:val="en-US"/>
        </w:rPr>
        <w:t xml:space="preserve"> </w:t>
      </w:r>
      <w:r w:rsidR="0038661D" w:rsidRPr="00CB2C31">
        <w:rPr>
          <w:lang w:val="en-US"/>
        </w:rPr>
        <w:t xml:space="preserve">more </w:t>
      </w:r>
      <w:r w:rsidR="0038661D">
        <w:rPr>
          <w:lang w:val="en-US"/>
        </w:rPr>
        <w:t xml:space="preserve">balanced and </w:t>
      </w:r>
      <w:r w:rsidR="0038661D" w:rsidRPr="00CB2C31">
        <w:rPr>
          <w:lang w:val="en-US"/>
        </w:rPr>
        <w:t>diverse.</w:t>
      </w:r>
      <w:bookmarkStart w:id="20" w:name="_Ref21804339"/>
      <w:r w:rsidR="0038661D" w:rsidRPr="00CB2C31">
        <w:rPr>
          <w:rStyle w:val="FootnoteReference"/>
          <w:lang w:val="en-US"/>
        </w:rPr>
        <w:footnoteReference w:id="4"/>
      </w:r>
      <w:bookmarkEnd w:id="20"/>
      <w:r w:rsidR="0038661D" w:rsidRPr="00CB2C31">
        <w:rPr>
          <w:lang w:val="en-US"/>
        </w:rPr>
        <w:t xml:space="preserve"> </w:t>
      </w:r>
      <w:r w:rsidR="0038661D">
        <w:rPr>
          <w:lang w:val="en-US"/>
        </w:rPr>
        <w:t xml:space="preserve"> </w:t>
      </w:r>
      <w:r w:rsidR="0038661D" w:rsidRPr="00CB2C31">
        <w:rPr>
          <w:lang w:val="en-US"/>
        </w:rPr>
        <w:t>A report developed by McKinsey &amp; Company lists several reasons why more diverse governing bodies</w:t>
      </w:r>
      <w:r w:rsidR="0038661D">
        <w:rPr>
          <w:lang w:val="en-US"/>
        </w:rPr>
        <w:t xml:space="preserve"> (in particular</w:t>
      </w:r>
      <w:r w:rsidR="0038661D" w:rsidRPr="00CB2C31">
        <w:rPr>
          <w:lang w:val="en-US"/>
        </w:rPr>
        <w:t xml:space="preserve"> governing bodies</w:t>
      </w:r>
      <w:r w:rsidR="0038661D">
        <w:rPr>
          <w:lang w:val="en-US"/>
        </w:rPr>
        <w:t xml:space="preserve"> with higher numbers of women</w:t>
      </w:r>
      <w:r w:rsidR="0038661D" w:rsidRPr="00CB2C31">
        <w:rPr>
          <w:lang w:val="en-US"/>
        </w:rPr>
        <w:t>) perform better, including improved customer orientation, employee satisfaction, better decision-making and innovation and better talent recruitment.</w:t>
      </w:r>
      <w:r w:rsidR="0038661D" w:rsidRPr="00CB2C31">
        <w:rPr>
          <w:rStyle w:val="FootnoteReference"/>
          <w:lang w:val="en-US"/>
        </w:rPr>
        <w:footnoteReference w:id="5"/>
      </w:r>
      <w:r w:rsidR="009D675F">
        <w:rPr>
          <w:lang w:val="en-US"/>
        </w:rPr>
        <w:t xml:space="preserve">  </w:t>
      </w:r>
    </w:p>
    <w:p w14:paraId="6EB16F74" w14:textId="336AE21E" w:rsidR="009D675F" w:rsidRDefault="0038661D" w:rsidP="009D675F">
      <w:pPr>
        <w:pStyle w:val="DoublePara"/>
        <w:rPr>
          <w:lang w:val="en-US"/>
        </w:rPr>
      </w:pPr>
      <w:r>
        <w:rPr>
          <w:lang w:val="en-US"/>
        </w:rPr>
        <w:t>The case for</w:t>
      </w:r>
      <w:r w:rsidRPr="00CB2C31">
        <w:rPr>
          <w:lang w:val="en-US"/>
        </w:rPr>
        <w:t xml:space="preserve"> gender balance is echoed within the treaty body system</w:t>
      </w:r>
      <w:r w:rsidR="0074616F">
        <w:rPr>
          <w:lang w:val="en-US"/>
        </w:rPr>
        <w:t xml:space="preserve">. </w:t>
      </w:r>
      <w:r w:rsidR="00E56147">
        <w:rPr>
          <w:lang w:val="en-US"/>
        </w:rPr>
        <w:t xml:space="preserve"> </w:t>
      </w:r>
      <w:r w:rsidR="00953C0F">
        <w:rPr>
          <w:lang w:val="en-US"/>
        </w:rPr>
        <w:t xml:space="preserve">In a call to action, the UN High Commissioner for Human Rights, Michelle Bachelet, has recently pledged to support the International Gender Champions institution, by committing to advance gender equality in the United Nations Office of the High Commissioner for Human Rights (the </w:t>
      </w:r>
      <w:r w:rsidR="00953C0F" w:rsidRPr="00203E75">
        <w:rPr>
          <w:i/>
          <w:lang w:val="en-US"/>
        </w:rPr>
        <w:t>“</w:t>
      </w:r>
      <w:r w:rsidR="00953C0F">
        <w:rPr>
          <w:b/>
          <w:lang w:val="en-US"/>
        </w:rPr>
        <w:t>OHCHR</w:t>
      </w:r>
      <w:r w:rsidR="00953C0F" w:rsidRPr="00203E75">
        <w:rPr>
          <w:i/>
          <w:lang w:val="en-US"/>
        </w:rPr>
        <w:t>”</w:t>
      </w:r>
      <w:r w:rsidR="00953C0F">
        <w:rPr>
          <w:lang w:val="en-US"/>
        </w:rPr>
        <w:t xml:space="preserve">), stating that </w:t>
      </w:r>
      <w:r w:rsidR="00953C0F" w:rsidRPr="00203E75">
        <w:rPr>
          <w:i/>
          <w:lang w:val="en-US"/>
        </w:rPr>
        <w:t>“</w:t>
      </w:r>
      <w:r w:rsidR="00953C0F">
        <w:rPr>
          <w:i/>
          <w:lang w:val="en-US"/>
        </w:rPr>
        <w:t>Promoting progress towards building a world that guarantees the rights of women and girls is more than a challenge.  It’s a necessity and an obligation</w:t>
      </w:r>
      <w:r w:rsidR="00953C0F">
        <w:rPr>
          <w:lang w:val="en-US"/>
        </w:rPr>
        <w:t>.</w:t>
      </w:r>
      <w:r w:rsidR="00953C0F" w:rsidRPr="00203E75">
        <w:rPr>
          <w:i/>
          <w:lang w:val="en-US"/>
        </w:rPr>
        <w:t>”</w:t>
      </w:r>
      <w:r w:rsidR="00953C0F">
        <w:rPr>
          <w:rStyle w:val="FootnoteReference"/>
          <w:lang w:val="en-US"/>
        </w:rPr>
        <w:footnoteReference w:id="6"/>
      </w:r>
      <w:r w:rsidR="00953C0F">
        <w:rPr>
          <w:lang w:val="en-US"/>
        </w:rPr>
        <w:t xml:space="preserve">  In particular, she pledged to: (i) </w:t>
      </w:r>
      <w:r w:rsidR="00953C0F" w:rsidRPr="00203E75">
        <w:rPr>
          <w:i/>
          <w:lang w:val="en-US"/>
        </w:rPr>
        <w:t>“</w:t>
      </w:r>
      <w:r w:rsidR="00953C0F">
        <w:rPr>
          <w:i/>
          <w:lang w:val="en-US"/>
        </w:rPr>
        <w:t>implement a new ‘gender certification programme’ that will reinforce the capacity of OHCHR country offices to integrate gender in advocacy and programmatic work</w:t>
      </w:r>
      <w:r w:rsidR="00953C0F" w:rsidRPr="00203E75">
        <w:rPr>
          <w:i/>
          <w:lang w:val="en-US"/>
        </w:rPr>
        <w:t>”</w:t>
      </w:r>
      <w:r w:rsidR="00953C0F">
        <w:rPr>
          <w:lang w:val="en-US"/>
        </w:rPr>
        <w:t xml:space="preserve"> and (ii) </w:t>
      </w:r>
      <w:r w:rsidR="00953C0F" w:rsidRPr="00203E75">
        <w:rPr>
          <w:i/>
          <w:lang w:val="en-US"/>
        </w:rPr>
        <w:t>“</w:t>
      </w:r>
      <w:r w:rsidR="00953C0F">
        <w:rPr>
          <w:i/>
          <w:lang w:val="en-US"/>
        </w:rPr>
        <w:t>ensure the meaningful involvement and participation of young women of diverse origins in programmes and initiatives led by OHCHR at global, regional and national level (expert meetings; panels discussions; capacity building activities, technical cooperation initiatives)</w:t>
      </w:r>
      <w:r w:rsidR="00953C0F">
        <w:rPr>
          <w:lang w:val="en-US"/>
        </w:rPr>
        <w:t>.</w:t>
      </w:r>
      <w:r w:rsidR="00953C0F" w:rsidRPr="00203E75">
        <w:rPr>
          <w:i/>
          <w:lang w:val="en-US"/>
        </w:rPr>
        <w:t>”</w:t>
      </w:r>
      <w:r w:rsidR="00953C0F">
        <w:rPr>
          <w:rStyle w:val="FootnoteReference"/>
          <w:lang w:val="en-US"/>
        </w:rPr>
        <w:footnoteReference w:id="7"/>
      </w:r>
    </w:p>
    <w:p w14:paraId="46610317" w14:textId="0642A2BD" w:rsidR="004C5DDF" w:rsidRDefault="00FC1C73" w:rsidP="004C5DDF">
      <w:pPr>
        <w:pStyle w:val="DoublePara"/>
        <w:rPr>
          <w:lang w:val="en-US"/>
        </w:rPr>
      </w:pPr>
      <w:r>
        <w:rPr>
          <w:lang w:val="en-US"/>
        </w:rPr>
        <w:t>Despite the good</w:t>
      </w:r>
      <w:r w:rsidR="0038661D">
        <w:rPr>
          <w:lang w:val="en-US"/>
        </w:rPr>
        <w:t xml:space="preserve">will, </w:t>
      </w:r>
      <w:r w:rsidR="0038661D" w:rsidRPr="00CB2C31">
        <w:rPr>
          <w:lang w:val="en-US"/>
        </w:rPr>
        <w:t>improv</w:t>
      </w:r>
      <w:r w:rsidR="0038661D">
        <w:rPr>
          <w:lang w:val="en-US"/>
        </w:rPr>
        <w:t xml:space="preserve">ement in </w:t>
      </w:r>
      <w:r w:rsidR="0038661D" w:rsidRPr="00CB2C31">
        <w:rPr>
          <w:lang w:val="en-US"/>
        </w:rPr>
        <w:t>the gender composition of treaty bodies</w:t>
      </w:r>
      <w:r w:rsidR="0038661D">
        <w:rPr>
          <w:lang w:val="en-US"/>
        </w:rPr>
        <w:t xml:space="preserve"> is slow, as evidenced by t</w:t>
      </w:r>
      <w:r w:rsidR="0038661D" w:rsidRPr="00CB2C31">
        <w:rPr>
          <w:lang w:val="en-US"/>
        </w:rPr>
        <w:t>he report</w:t>
      </w:r>
      <w:r w:rsidR="0038661D">
        <w:rPr>
          <w:lang w:val="en-US"/>
        </w:rPr>
        <w:t>s</w:t>
      </w:r>
      <w:r w:rsidR="0038661D" w:rsidRPr="00CB2C31">
        <w:rPr>
          <w:lang w:val="en-US"/>
        </w:rPr>
        <w:t xml:space="preserve"> of the </w:t>
      </w:r>
      <w:r w:rsidR="0038661D">
        <w:rPr>
          <w:lang w:val="en-US"/>
        </w:rPr>
        <w:t xml:space="preserve">U.N. </w:t>
      </w:r>
      <w:r w:rsidR="0038661D" w:rsidRPr="00CB2C31">
        <w:rPr>
          <w:lang w:val="en-US"/>
        </w:rPr>
        <w:t>Secretary-General</w:t>
      </w:r>
      <w:r w:rsidR="0038661D">
        <w:rPr>
          <w:lang w:val="en-US"/>
        </w:rPr>
        <w:t xml:space="preserve"> </w:t>
      </w:r>
      <w:r w:rsidR="0038661D" w:rsidRPr="00CB2C31">
        <w:rPr>
          <w:lang w:val="en-US"/>
        </w:rPr>
        <w:t>published in 2016</w:t>
      </w:r>
      <w:r w:rsidR="0038661D" w:rsidRPr="00CB2C31">
        <w:rPr>
          <w:rStyle w:val="FootnoteReference"/>
          <w:lang w:val="en-US"/>
        </w:rPr>
        <w:footnoteReference w:id="8"/>
      </w:r>
      <w:r w:rsidR="0038661D" w:rsidRPr="00CB2C31">
        <w:rPr>
          <w:lang w:val="en-US"/>
        </w:rPr>
        <w:t xml:space="preserve"> </w:t>
      </w:r>
      <w:r w:rsidR="0038661D">
        <w:rPr>
          <w:lang w:val="en-US"/>
        </w:rPr>
        <w:t>and then in 2018,</w:t>
      </w:r>
      <w:r w:rsidR="0038661D" w:rsidRPr="00CB2C31">
        <w:rPr>
          <w:rStyle w:val="FootnoteReference"/>
          <w:lang w:val="en-US"/>
        </w:rPr>
        <w:footnoteReference w:id="9"/>
      </w:r>
      <w:r w:rsidR="0038661D">
        <w:rPr>
          <w:lang w:val="en-US"/>
        </w:rPr>
        <w:t xml:space="preserve"> both of which showed that </w:t>
      </w:r>
      <w:r w:rsidR="0038661D" w:rsidRPr="00CB2C31">
        <w:rPr>
          <w:lang w:val="en-US"/>
        </w:rPr>
        <w:t>treaty body experts were predominantly male.</w:t>
      </w:r>
      <w:r w:rsidR="009D675F">
        <w:rPr>
          <w:lang w:val="en-US"/>
        </w:rPr>
        <w:t xml:space="preserve">  </w:t>
      </w:r>
      <w:r w:rsidR="004C5DDF" w:rsidRPr="00CB2C31">
        <w:rPr>
          <w:lang w:val="en-US"/>
        </w:rPr>
        <w:t xml:space="preserve">In her pivotal report on strengthening the international treaty body system, </w:t>
      </w:r>
      <w:r w:rsidR="004C5DDF" w:rsidRPr="005A1521">
        <w:rPr>
          <w:lang w:val="en-US"/>
        </w:rPr>
        <w:t xml:space="preserve">the now former UN High Commissioner for Human Rights, Navi Pillay, identified </w:t>
      </w:r>
      <w:r w:rsidR="004C5DDF" w:rsidRPr="00203E75">
        <w:rPr>
          <w:i/>
          <w:lang w:val="en-US"/>
        </w:rPr>
        <w:t>“</w:t>
      </w:r>
      <w:r w:rsidR="004C5DDF" w:rsidRPr="005A1521">
        <w:rPr>
          <w:i/>
          <w:lang w:val="en-US"/>
        </w:rPr>
        <w:t>[t]he nomination and election process</w:t>
      </w:r>
      <w:r w:rsidR="004C5DDF" w:rsidRPr="00203E75">
        <w:rPr>
          <w:i/>
          <w:lang w:val="en-US"/>
        </w:rPr>
        <w:t>”</w:t>
      </w:r>
      <w:r w:rsidR="004C5DDF" w:rsidRPr="005A1521">
        <w:rPr>
          <w:i/>
          <w:lang w:val="en-US"/>
        </w:rPr>
        <w:t xml:space="preserve"> </w:t>
      </w:r>
      <w:r w:rsidR="004C5DDF" w:rsidRPr="005A1521">
        <w:rPr>
          <w:lang w:val="en-US"/>
        </w:rPr>
        <w:t>for treaty body experts as</w:t>
      </w:r>
      <w:r w:rsidR="004C5DDF" w:rsidRPr="005A1521">
        <w:rPr>
          <w:i/>
          <w:lang w:val="en-US"/>
        </w:rPr>
        <w:t xml:space="preserve"> </w:t>
      </w:r>
      <w:r w:rsidR="004C5DDF" w:rsidRPr="00203E75">
        <w:rPr>
          <w:i/>
          <w:lang w:val="en-US"/>
        </w:rPr>
        <w:t>“</w:t>
      </w:r>
      <w:r w:rsidR="004C5DDF" w:rsidRPr="005A1521">
        <w:rPr>
          <w:i/>
          <w:lang w:val="en-US"/>
        </w:rPr>
        <w:t>a determining factor of paramount importance to the expertise and efficiency of each treaty body</w:t>
      </w:r>
      <w:r w:rsidR="004C5DDF">
        <w:rPr>
          <w:lang w:val="en-US"/>
        </w:rPr>
        <w:t>.</w:t>
      </w:r>
      <w:bookmarkStart w:id="21" w:name="_Ref21804548"/>
      <w:r w:rsidR="004C5DDF" w:rsidRPr="00203E75">
        <w:rPr>
          <w:i/>
          <w:lang w:val="en-US"/>
        </w:rPr>
        <w:t>”</w:t>
      </w:r>
      <w:r w:rsidR="004C5DDF" w:rsidRPr="005A1521">
        <w:rPr>
          <w:rStyle w:val="FootnoteReference"/>
          <w:lang w:val="en-US"/>
        </w:rPr>
        <w:footnoteReference w:id="10"/>
      </w:r>
      <w:bookmarkEnd w:id="21"/>
      <w:r w:rsidR="004C5DDF">
        <w:rPr>
          <w:lang w:val="en-US"/>
        </w:rPr>
        <w:t xml:space="preserve">  Ms. </w:t>
      </w:r>
      <w:r w:rsidR="004C5DDF" w:rsidRPr="00CB2C31">
        <w:rPr>
          <w:lang w:val="en-US"/>
        </w:rPr>
        <w:t>Pillay</w:t>
      </w:r>
      <w:r w:rsidR="004C5DDF">
        <w:rPr>
          <w:lang w:val="en-US"/>
        </w:rPr>
        <w:t>’</w:t>
      </w:r>
      <w:r w:rsidR="004C5DDF" w:rsidRPr="00CB2C31">
        <w:rPr>
          <w:lang w:val="en-US"/>
        </w:rPr>
        <w:t>s successor, Zeid Ra</w:t>
      </w:r>
      <w:r w:rsidR="004C5DDF">
        <w:rPr>
          <w:lang w:val="en-US"/>
        </w:rPr>
        <w:t>’</w:t>
      </w:r>
      <w:r w:rsidR="004C5DDF" w:rsidRPr="00CB2C31">
        <w:rPr>
          <w:lang w:val="en-US"/>
        </w:rPr>
        <w:t xml:space="preserve">ad Al Hussein, said that experts are </w:t>
      </w:r>
      <w:r w:rsidR="004C5DDF" w:rsidRPr="00203E75">
        <w:rPr>
          <w:i/>
          <w:lang w:val="en-US"/>
        </w:rPr>
        <w:t>“</w:t>
      </w:r>
      <w:r w:rsidR="004C5DDF" w:rsidRPr="00CB2C31">
        <w:rPr>
          <w:i/>
          <w:lang w:val="en-US"/>
        </w:rPr>
        <w:t>prerequisites</w:t>
      </w:r>
      <w:r w:rsidR="004C5DDF" w:rsidRPr="00203E75">
        <w:rPr>
          <w:i/>
          <w:lang w:val="en-US"/>
        </w:rPr>
        <w:t>”</w:t>
      </w:r>
      <w:r w:rsidR="004C5DDF" w:rsidRPr="00CB2C31">
        <w:rPr>
          <w:lang w:val="en-US"/>
        </w:rPr>
        <w:t xml:space="preserve"> for the effectiveness of the treaty body system.</w:t>
      </w:r>
      <w:bookmarkStart w:id="22" w:name="_Ref24363539"/>
      <w:r w:rsidR="004C5DDF" w:rsidRPr="00CB2C31">
        <w:rPr>
          <w:rStyle w:val="FootnoteReference"/>
          <w:lang w:val="en-US"/>
        </w:rPr>
        <w:footnoteReference w:id="11"/>
      </w:r>
      <w:bookmarkEnd w:id="22"/>
      <w:r w:rsidR="004C5DDF" w:rsidRPr="00CB2C31">
        <w:rPr>
          <w:lang w:val="en-US"/>
        </w:rPr>
        <w:t xml:space="preserve"> </w:t>
      </w:r>
      <w:r w:rsidR="004C5DDF">
        <w:rPr>
          <w:lang w:val="en-US"/>
        </w:rPr>
        <w:t xml:space="preserve"> </w:t>
      </w:r>
      <w:r w:rsidR="00867D2A">
        <w:rPr>
          <w:lang w:val="en-US"/>
        </w:rPr>
        <w:t>He noted that while women make up 40% of the experts seated in treaty bodies, most were seated on the Committee on the Elimination of all Forms of Discrimination against Women or the Committee on the Rights of the Child</w:t>
      </w:r>
      <w:r w:rsidR="00591C2B">
        <w:rPr>
          <w:lang w:val="en-US"/>
        </w:rPr>
        <w:t>,</w:t>
      </w:r>
      <w:r w:rsidR="00867D2A">
        <w:rPr>
          <w:lang w:val="en-US"/>
        </w:rPr>
        <w:t xml:space="preserve"> and urged member states to adopt “temporary special efforts to achieve parity”</w:t>
      </w:r>
      <w:r w:rsidR="00404114">
        <w:rPr>
          <w:lang w:val="en-US"/>
        </w:rPr>
        <w:t xml:space="preserve"> on all treaty bodies</w:t>
      </w:r>
      <w:r w:rsidR="00867D2A">
        <w:rPr>
          <w:lang w:val="en-US"/>
        </w:rPr>
        <w:t>.</w:t>
      </w:r>
      <w:r w:rsidR="00867D2A">
        <w:rPr>
          <w:rStyle w:val="FootnoteReference"/>
          <w:lang w:val="en-US"/>
        </w:rPr>
        <w:footnoteReference w:id="12"/>
      </w:r>
      <w:r w:rsidR="004C5DDF" w:rsidRPr="00CB2C31">
        <w:rPr>
          <w:lang w:val="en-US"/>
        </w:rPr>
        <w:t xml:space="preserve">  State parties must do their utmost to ensure that treaty body nomination processes are </w:t>
      </w:r>
      <w:r w:rsidR="004C5DDF" w:rsidRPr="00203E75">
        <w:rPr>
          <w:i/>
          <w:lang w:val="en-US"/>
        </w:rPr>
        <w:t>“</w:t>
      </w:r>
      <w:r w:rsidR="004C5DDF" w:rsidRPr="00CB2C31">
        <w:rPr>
          <w:i/>
          <w:lang w:val="en-US"/>
        </w:rPr>
        <w:t>fair, transparent,</w:t>
      </w:r>
      <w:r w:rsidR="004C5DDF" w:rsidRPr="002E5273">
        <w:rPr>
          <w:i/>
          <w:lang w:val="en-US"/>
        </w:rPr>
        <w:t xml:space="preserve"> gender-balanced</w:t>
      </w:r>
      <w:r w:rsidR="004C5DDF" w:rsidRPr="00CB2C31">
        <w:rPr>
          <w:i/>
          <w:lang w:val="en-US"/>
        </w:rPr>
        <w:t xml:space="preserve"> and competitive</w:t>
      </w:r>
      <w:r w:rsidR="004C5DDF">
        <w:rPr>
          <w:lang w:val="en-US"/>
        </w:rPr>
        <w:t>,</w:t>
      </w:r>
      <w:r w:rsidR="004C5DDF" w:rsidRPr="00203E75">
        <w:rPr>
          <w:i/>
          <w:lang w:val="en-US"/>
        </w:rPr>
        <w:t>”</w:t>
      </w:r>
      <w:r w:rsidR="004C5DDF" w:rsidRPr="00CB2C31">
        <w:rPr>
          <w:lang w:val="en-US"/>
        </w:rPr>
        <w:t xml:space="preserve"> and only elect </w:t>
      </w:r>
      <w:r w:rsidR="004C5DDF" w:rsidRPr="00203E75">
        <w:rPr>
          <w:i/>
          <w:lang w:val="en-US"/>
        </w:rPr>
        <w:t>“</w:t>
      </w:r>
      <w:r w:rsidR="004C5DDF" w:rsidRPr="00CB2C31">
        <w:rPr>
          <w:i/>
          <w:lang w:val="en-US"/>
        </w:rPr>
        <w:t>the most qualified and best suited candidates</w:t>
      </w:r>
      <w:r w:rsidR="004C5DDF" w:rsidRPr="00203E75">
        <w:rPr>
          <w:i/>
          <w:lang w:val="en-US"/>
        </w:rPr>
        <w:t>”</w:t>
      </w:r>
      <w:r w:rsidR="004C5DDF" w:rsidRPr="00CB2C31">
        <w:rPr>
          <w:lang w:val="en-US"/>
        </w:rPr>
        <w:t xml:space="preserve"> to serve.</w:t>
      </w:r>
      <w:r w:rsidR="004C5DDF" w:rsidRPr="00CB2C31">
        <w:rPr>
          <w:rStyle w:val="FootnoteReference"/>
          <w:lang w:val="en-US"/>
        </w:rPr>
        <w:footnoteReference w:id="13"/>
      </w:r>
      <w:r w:rsidR="004C5DDF">
        <w:rPr>
          <w:lang w:val="en-US"/>
        </w:rPr>
        <w:t xml:space="preserve">  According to the GQUAL Campaign, t</w:t>
      </w:r>
      <w:r w:rsidR="004C5DDF" w:rsidRPr="00261DA4">
        <w:rPr>
          <w:lang w:val="en-US"/>
        </w:rPr>
        <w:t>he lack of gender criteria in nomination procedures at the national level leads to fewer women being nominated, and ultimately elected</w:t>
      </w:r>
      <w:r w:rsidR="004C5DDF">
        <w:rPr>
          <w:lang w:val="en-US"/>
        </w:rPr>
        <w:t>.</w:t>
      </w:r>
      <w:r w:rsidR="004C5DDF">
        <w:rPr>
          <w:rStyle w:val="FootnoteReference"/>
          <w:lang w:val="en-US"/>
        </w:rPr>
        <w:footnoteReference w:id="14"/>
      </w:r>
      <w:r w:rsidR="004C5DDF" w:rsidRPr="00CB2C31">
        <w:rPr>
          <w:lang w:val="en-US"/>
        </w:rPr>
        <w:t xml:space="preserve"> </w:t>
      </w:r>
      <w:r w:rsidR="004C5DDF">
        <w:rPr>
          <w:lang w:val="en-US"/>
        </w:rPr>
        <w:t xml:space="preserve"> GQUAL has argued </w:t>
      </w:r>
      <w:r w:rsidR="004C5DDF" w:rsidRPr="00CB2C31">
        <w:rPr>
          <w:lang w:val="en-US"/>
        </w:rPr>
        <w:t xml:space="preserve">State parties have a duty </w:t>
      </w:r>
      <w:r w:rsidR="004C5DDF" w:rsidRPr="00203E75">
        <w:rPr>
          <w:i/>
          <w:lang w:val="en-US"/>
        </w:rPr>
        <w:t>“</w:t>
      </w:r>
      <w:r w:rsidR="004C5DDF" w:rsidRPr="00CB2C31">
        <w:rPr>
          <w:i/>
          <w:lang w:val="en-US"/>
        </w:rPr>
        <w:t>to act affirmatively to ensure gender balance</w:t>
      </w:r>
      <w:r w:rsidR="004C5DDF">
        <w:rPr>
          <w:lang w:val="en-US"/>
        </w:rPr>
        <w:t>.</w:t>
      </w:r>
      <w:r w:rsidR="004C5DDF" w:rsidRPr="00203E75">
        <w:rPr>
          <w:i/>
          <w:lang w:val="en-US"/>
        </w:rPr>
        <w:t>”</w:t>
      </w:r>
      <w:r w:rsidR="004C5DDF" w:rsidRPr="00CB2C31">
        <w:rPr>
          <w:rStyle w:val="FootnoteReference"/>
          <w:lang w:val="en-US"/>
        </w:rPr>
        <w:footnoteReference w:id="15"/>
      </w:r>
      <w:r w:rsidR="004C5DDF">
        <w:rPr>
          <w:lang w:val="en-US"/>
        </w:rPr>
        <w:t xml:space="preserve">  Therefore, the issue must be tackled not only at treaty body level but also at State party level to ensure that the treaty bodies are then presented with a diverse</w:t>
      </w:r>
      <w:r w:rsidR="00404114">
        <w:rPr>
          <w:lang w:val="en-US"/>
        </w:rPr>
        <w:t xml:space="preserve"> and</w:t>
      </w:r>
      <w:r w:rsidR="004C5DDF">
        <w:rPr>
          <w:lang w:val="en-US"/>
        </w:rPr>
        <w:t xml:space="preserve"> gender-balanced pool of nominees from which to select members for election.</w:t>
      </w:r>
    </w:p>
    <w:p w14:paraId="08E4D4E2" w14:textId="2D7841C8" w:rsidR="00325FD0" w:rsidRDefault="004210F8">
      <w:pPr>
        <w:pStyle w:val="DoublePara"/>
        <w:rPr>
          <w:lang w:val="en-US"/>
        </w:rPr>
      </w:pPr>
      <w:r>
        <w:rPr>
          <w:lang w:val="en-US"/>
        </w:rPr>
        <w:t xml:space="preserve">This Report draws from gender </w:t>
      </w:r>
      <w:r w:rsidR="00E4596B">
        <w:rPr>
          <w:lang w:val="en-US"/>
        </w:rPr>
        <w:t xml:space="preserve">balance </w:t>
      </w:r>
      <w:r w:rsidR="00F85E86">
        <w:rPr>
          <w:lang w:val="en-US"/>
        </w:rPr>
        <w:t xml:space="preserve">policies and practices implemented by </w:t>
      </w:r>
      <w:r>
        <w:rPr>
          <w:lang w:val="en-US"/>
        </w:rPr>
        <w:t xml:space="preserve">international </w:t>
      </w:r>
      <w:r w:rsidR="00F85E86">
        <w:rPr>
          <w:lang w:val="en-US"/>
        </w:rPr>
        <w:t xml:space="preserve">and regional treaty bodies and </w:t>
      </w:r>
      <w:r>
        <w:rPr>
          <w:lang w:val="en-US"/>
        </w:rPr>
        <w:t>the European Union</w:t>
      </w:r>
      <w:r w:rsidR="00EF45B8">
        <w:rPr>
          <w:lang w:val="en-US"/>
        </w:rPr>
        <w:t xml:space="preserve">, </w:t>
      </w:r>
      <w:r w:rsidR="00E4596B">
        <w:rPr>
          <w:lang w:val="en-US"/>
        </w:rPr>
        <w:t xml:space="preserve">to </w:t>
      </w:r>
      <w:r w:rsidR="00EF45B8">
        <w:rPr>
          <w:lang w:val="en-US"/>
        </w:rPr>
        <w:t>highlight initiatives in the public sector and how some government</w:t>
      </w:r>
      <w:r w:rsidR="00F85E86">
        <w:rPr>
          <w:lang w:val="en-US"/>
        </w:rPr>
        <w:t>al organizations</w:t>
      </w:r>
      <w:r w:rsidR="00EF45B8">
        <w:rPr>
          <w:lang w:val="en-US"/>
        </w:rPr>
        <w:t xml:space="preserve"> are seeking to achieve gender balance, </w:t>
      </w:r>
      <w:r w:rsidR="00E4596B">
        <w:rPr>
          <w:lang w:val="en-US"/>
        </w:rPr>
        <w:t xml:space="preserve">as well as </w:t>
      </w:r>
      <w:r w:rsidR="00325FD0">
        <w:rPr>
          <w:lang w:val="en-US"/>
        </w:rPr>
        <w:t xml:space="preserve">best </w:t>
      </w:r>
      <w:r w:rsidR="00E4596B">
        <w:rPr>
          <w:lang w:val="en-US"/>
        </w:rPr>
        <w:t>practices</w:t>
      </w:r>
      <w:r w:rsidR="00EF45B8">
        <w:rPr>
          <w:lang w:val="en-US"/>
        </w:rPr>
        <w:t xml:space="preserve"> </w:t>
      </w:r>
      <w:r w:rsidR="00325FD0">
        <w:rPr>
          <w:lang w:val="en-US"/>
        </w:rPr>
        <w:t xml:space="preserve">across </w:t>
      </w:r>
      <w:r w:rsidR="00EF45B8">
        <w:rPr>
          <w:lang w:val="en-US"/>
        </w:rPr>
        <w:t xml:space="preserve">the private sector </w:t>
      </w:r>
      <w:r>
        <w:rPr>
          <w:lang w:val="en-US"/>
        </w:rPr>
        <w:t>where it is widely recognized that not only is it fair and right to reflect society</w:t>
      </w:r>
      <w:r w:rsidR="00593F1F">
        <w:rPr>
          <w:lang w:val="en-US"/>
        </w:rPr>
        <w:t>’</w:t>
      </w:r>
      <w:r>
        <w:rPr>
          <w:lang w:val="en-US"/>
        </w:rPr>
        <w:t>s diverse composition but also</w:t>
      </w:r>
      <w:r w:rsidR="00FE7679">
        <w:rPr>
          <w:lang w:val="en-US"/>
        </w:rPr>
        <w:t>,</w:t>
      </w:r>
      <w:r w:rsidR="00EF45B8">
        <w:rPr>
          <w:lang w:val="en-US"/>
        </w:rPr>
        <w:t xml:space="preserve"> increasingly</w:t>
      </w:r>
      <w:r w:rsidR="00FE7679">
        <w:rPr>
          <w:lang w:val="en-US"/>
        </w:rPr>
        <w:t>, that</w:t>
      </w:r>
      <w:r>
        <w:rPr>
          <w:lang w:val="en-US"/>
        </w:rPr>
        <w:t xml:space="preserve"> companies with </w:t>
      </w:r>
      <w:r w:rsidR="00FE7679">
        <w:rPr>
          <w:lang w:val="en-US"/>
        </w:rPr>
        <w:t xml:space="preserve">close-to-equal </w:t>
      </w:r>
      <w:r>
        <w:rPr>
          <w:lang w:val="en-US"/>
        </w:rPr>
        <w:t xml:space="preserve">gender-balanced corporate boards perform better than </w:t>
      </w:r>
      <w:r w:rsidR="00FE7679">
        <w:rPr>
          <w:lang w:val="en-US"/>
        </w:rPr>
        <w:t>the others</w:t>
      </w:r>
      <w:r>
        <w:rPr>
          <w:lang w:val="en-US"/>
        </w:rPr>
        <w:t>.</w:t>
      </w:r>
      <w:r w:rsidR="00593F1F">
        <w:rPr>
          <w:lang w:val="en-US"/>
        </w:rPr>
        <w:t xml:space="preserve">  </w:t>
      </w:r>
      <w:r w:rsidR="00276C7E">
        <w:rPr>
          <w:lang w:val="en-US"/>
        </w:rPr>
        <w:t>T</w:t>
      </w:r>
      <w:r w:rsidR="00B406F5">
        <w:rPr>
          <w:lang w:val="en-US"/>
        </w:rPr>
        <w:t>here is much to be learned from the examples set by the private sector in terms of policies promoting gender balance on corporate boards of listed companies, including ‘comply or explain’ and mandatory requirements for a minimum representation of each gender.  In that regard, unsurprisingly,</w:t>
      </w:r>
      <w:r w:rsidR="00B406F5" w:rsidRPr="00CB2C31">
        <w:rPr>
          <w:lang w:val="en-US"/>
        </w:rPr>
        <w:t xml:space="preserve"> Member States with </w:t>
      </w:r>
      <w:r w:rsidR="00B406F5">
        <w:rPr>
          <w:lang w:val="en-US"/>
        </w:rPr>
        <w:t>mandatory requirements for a minimum representation of each gender on corporate boards</w:t>
      </w:r>
      <w:r w:rsidR="00B406F5" w:rsidRPr="00CB2C31">
        <w:rPr>
          <w:lang w:val="en-US"/>
        </w:rPr>
        <w:t xml:space="preserve"> perform better </w:t>
      </w:r>
      <w:r w:rsidR="00B406F5">
        <w:rPr>
          <w:lang w:val="en-US"/>
        </w:rPr>
        <w:t>in terms of gender balance than the majority of states that do not impose such requirements</w:t>
      </w:r>
      <w:r w:rsidR="00B406F5" w:rsidRPr="00CB2C31">
        <w:rPr>
          <w:lang w:val="en-US"/>
        </w:rPr>
        <w:t>, with France (44.0</w:t>
      </w:r>
      <w:r w:rsidR="00B406F5" w:rsidRPr="00CB2C31">
        <w:rPr>
          <w:rFonts w:eastAsia="Times New Roman"/>
          <w:lang w:val="en-US" w:eastAsia="en-GB"/>
        </w:rPr>
        <w:t>%</w:t>
      </w:r>
      <w:r w:rsidR="00B406F5" w:rsidRPr="00CB2C31">
        <w:rPr>
          <w:lang w:val="en-US"/>
        </w:rPr>
        <w:t>), Italy (36.4</w:t>
      </w:r>
      <w:r w:rsidR="00B406F5" w:rsidRPr="00CB2C31">
        <w:rPr>
          <w:rFonts w:eastAsia="Times New Roman"/>
          <w:lang w:val="en-US" w:eastAsia="en-GB"/>
        </w:rPr>
        <w:t>%</w:t>
      </w:r>
      <w:r w:rsidR="00B406F5" w:rsidRPr="00CB2C31">
        <w:rPr>
          <w:lang w:val="en-US"/>
        </w:rPr>
        <w:t>), Germany (33.8</w:t>
      </w:r>
      <w:r w:rsidR="00B406F5" w:rsidRPr="00CB2C31">
        <w:rPr>
          <w:rFonts w:eastAsia="Times New Roman"/>
          <w:lang w:val="en-US" w:eastAsia="en-GB"/>
        </w:rPr>
        <w:t>%</w:t>
      </w:r>
      <w:r w:rsidR="00B406F5" w:rsidRPr="00CB2C31">
        <w:rPr>
          <w:lang w:val="en-US"/>
        </w:rPr>
        <w:t>) and Belgium (32.0</w:t>
      </w:r>
      <w:r w:rsidR="00B406F5" w:rsidRPr="00CB2C31">
        <w:rPr>
          <w:rFonts w:eastAsia="Times New Roman"/>
          <w:lang w:val="en-US" w:eastAsia="en-GB"/>
        </w:rPr>
        <w:t>%</w:t>
      </w:r>
      <w:r w:rsidR="00B406F5" w:rsidRPr="00CB2C31">
        <w:rPr>
          <w:lang w:val="en-US"/>
        </w:rPr>
        <w:t>) ranking first, second, fifth and sixth, respectively.</w:t>
      </w:r>
      <w:r w:rsidR="00B406F5">
        <w:rPr>
          <w:lang w:val="en-US"/>
        </w:rPr>
        <w:t xml:space="preserve">  </w:t>
      </w:r>
      <w:r w:rsidR="00F85E86">
        <w:rPr>
          <w:lang w:val="en-US"/>
        </w:rPr>
        <w:t xml:space="preserve">However, </w:t>
      </w:r>
      <w:r w:rsidR="00B406F5">
        <w:rPr>
          <w:lang w:val="en-US"/>
        </w:rPr>
        <w:t>t</w:t>
      </w:r>
      <w:r w:rsidR="00B406F5" w:rsidRPr="00CB2C31">
        <w:rPr>
          <w:lang w:val="en-US"/>
        </w:rPr>
        <w:t>his Report recognizes that not all practices in the private sector apply in the treaty body context</w:t>
      </w:r>
      <w:r w:rsidR="00B406F5">
        <w:rPr>
          <w:lang w:val="en-US"/>
        </w:rPr>
        <w:t>, so</w:t>
      </w:r>
      <w:r w:rsidR="00B406F5" w:rsidRPr="00CB2C31">
        <w:rPr>
          <w:lang w:val="en-US"/>
        </w:rPr>
        <w:t xml:space="preserve"> to the extent </w:t>
      </w:r>
      <w:r w:rsidR="00B406F5">
        <w:rPr>
          <w:lang w:val="en-US"/>
        </w:rPr>
        <w:t>a</w:t>
      </w:r>
      <w:r w:rsidR="00B406F5" w:rsidRPr="00CB2C31">
        <w:rPr>
          <w:lang w:val="en-US"/>
        </w:rPr>
        <w:t xml:space="preserve"> </w:t>
      </w:r>
      <w:r w:rsidR="00B406F5">
        <w:rPr>
          <w:lang w:val="en-US"/>
        </w:rPr>
        <w:t>‘</w:t>
      </w:r>
      <w:r w:rsidR="00B406F5" w:rsidRPr="00CB2C31">
        <w:rPr>
          <w:lang w:val="en-US"/>
        </w:rPr>
        <w:t>best practice</w:t>
      </w:r>
      <w:r w:rsidR="00B406F5">
        <w:rPr>
          <w:lang w:val="en-US"/>
        </w:rPr>
        <w:t>’</w:t>
      </w:r>
      <w:r w:rsidR="00B406F5" w:rsidRPr="00CB2C31">
        <w:rPr>
          <w:lang w:val="en-US"/>
        </w:rPr>
        <w:t xml:space="preserve"> would not be applicable, we have exclude</w:t>
      </w:r>
      <w:r w:rsidR="00B406F5">
        <w:rPr>
          <w:lang w:val="en-US"/>
        </w:rPr>
        <w:t>d it from our recommendations.  T</w:t>
      </w:r>
      <w:r w:rsidR="00E4596B">
        <w:rPr>
          <w:lang w:val="en-US"/>
        </w:rPr>
        <w:t xml:space="preserve">herefore </w:t>
      </w:r>
      <w:r w:rsidR="00B47233" w:rsidRPr="00CB2C31">
        <w:rPr>
          <w:lang w:val="en-US"/>
        </w:rPr>
        <w:t xml:space="preserve">the recommendations developed in this Report provide a basis from which treaty bodies can implement </w:t>
      </w:r>
      <w:r w:rsidR="00276C7E">
        <w:rPr>
          <w:lang w:val="en-US"/>
        </w:rPr>
        <w:t>a variety of</w:t>
      </w:r>
      <w:r w:rsidR="00B47233" w:rsidRPr="00CB2C31">
        <w:rPr>
          <w:lang w:val="en-US"/>
        </w:rPr>
        <w:t xml:space="preserve"> </w:t>
      </w:r>
      <w:r w:rsidR="00B47233">
        <w:rPr>
          <w:lang w:val="en-US"/>
        </w:rPr>
        <w:t xml:space="preserve">gender </w:t>
      </w:r>
      <w:r w:rsidR="00B47233" w:rsidRPr="00CB2C31">
        <w:rPr>
          <w:lang w:val="en-US"/>
        </w:rPr>
        <w:t>diversity policies and frameworks</w:t>
      </w:r>
      <w:r w:rsidR="00EF45B8">
        <w:rPr>
          <w:lang w:val="en-US"/>
        </w:rPr>
        <w:t xml:space="preserve"> </w:t>
      </w:r>
      <w:r w:rsidR="00276C7E">
        <w:rPr>
          <w:lang w:val="en-US"/>
        </w:rPr>
        <w:t xml:space="preserve">that have shown some success in achieving gender balance across the public and private sectors </w:t>
      </w:r>
      <w:r w:rsidR="00EF45B8">
        <w:rPr>
          <w:lang w:val="en-US"/>
        </w:rPr>
        <w:t>during both (i) the State parties</w:t>
      </w:r>
      <w:r w:rsidR="00593F1F">
        <w:rPr>
          <w:lang w:val="en-US"/>
        </w:rPr>
        <w:t>’</w:t>
      </w:r>
      <w:r w:rsidR="00EF45B8">
        <w:rPr>
          <w:lang w:val="en-US"/>
        </w:rPr>
        <w:t xml:space="preserve"> nomination processes and (ii) the treaty body</w:t>
      </w:r>
      <w:r w:rsidR="00593F1F">
        <w:rPr>
          <w:lang w:val="en-US"/>
        </w:rPr>
        <w:t>’</w:t>
      </w:r>
      <w:r w:rsidR="00EF45B8">
        <w:rPr>
          <w:lang w:val="en-US"/>
        </w:rPr>
        <w:t>s election process.</w:t>
      </w:r>
      <w:r w:rsidR="00325FD0" w:rsidRPr="00CB2C31">
        <w:rPr>
          <w:lang w:val="en-US"/>
        </w:rPr>
        <w:t xml:space="preserve">  </w:t>
      </w:r>
    </w:p>
    <w:p w14:paraId="79A207EA" w14:textId="149D06A7" w:rsidR="005D6FAE" w:rsidRDefault="00DC5026" w:rsidP="007E0F10">
      <w:pPr>
        <w:pStyle w:val="LegalCombo2"/>
      </w:pPr>
      <w:bookmarkStart w:id="23" w:name="_Toc22904965"/>
      <w:bookmarkStart w:id="24" w:name="_Toc24114364"/>
      <w:r>
        <w:t>RECOMMENDATIONS</w:t>
      </w:r>
      <w:bookmarkEnd w:id="23"/>
      <w:bookmarkEnd w:id="24"/>
    </w:p>
    <w:p w14:paraId="61E75139" w14:textId="682ADA23" w:rsidR="0074616F" w:rsidRPr="007E0F10" w:rsidRDefault="00952550" w:rsidP="00141FF7">
      <w:pPr>
        <w:pStyle w:val="DoublePara"/>
      </w:pPr>
      <w:r>
        <w:t>While the recommendations set out below are gender focused, they are ultimately embedded in human rights foundations.</w:t>
      </w:r>
    </w:p>
    <w:p w14:paraId="58169551" w14:textId="7C0F892C" w:rsidR="005D6FAE" w:rsidRPr="008D629E" w:rsidRDefault="007E0F10" w:rsidP="007E0F10">
      <w:pPr>
        <w:pStyle w:val="LegalCombo3"/>
      </w:pPr>
      <w:bookmarkStart w:id="25" w:name="_Toc22904966"/>
      <w:bookmarkStart w:id="26" w:name="_Toc24114365"/>
      <w:r>
        <w:t>Nomination</w:t>
      </w:r>
      <w:bookmarkEnd w:id="25"/>
      <w:bookmarkEnd w:id="26"/>
      <w:r>
        <w:t xml:space="preserve"> </w:t>
      </w:r>
    </w:p>
    <w:p w14:paraId="41C4FF5B" w14:textId="157446A6" w:rsidR="004F2CE3" w:rsidRDefault="004F2CE3" w:rsidP="007E0F10">
      <w:pPr>
        <w:pStyle w:val="LegalCombo4"/>
      </w:pPr>
      <w:r>
        <w:t xml:space="preserve">Adopt formal, open and transparent procedures for selecting and nominating candidates, including having gender equality within the nomination </w:t>
      </w:r>
      <w:r w:rsidR="00571633">
        <w:t>process as a specific criterion.</w:t>
      </w:r>
    </w:p>
    <w:p w14:paraId="756B2142" w14:textId="77777777" w:rsidR="005D6FAE" w:rsidRPr="00C0074C" w:rsidRDefault="005D6FAE" w:rsidP="007E0F10">
      <w:pPr>
        <w:pStyle w:val="LegalCombo4"/>
      </w:pPr>
      <w:r>
        <w:t xml:space="preserve">Mandatory formal and open procedures should be adopted by the State parties and complied with by the </w:t>
      </w:r>
      <w:r w:rsidRPr="00C0074C">
        <w:t>can</w:t>
      </w:r>
      <w:r>
        <w:t>didate selection bodies in order to ensure transparency of the selection process and accountability and compliance of the decisions to measurable standards.  The procedures should require the candidate selection bodies to do the following, for example:</w:t>
      </w:r>
    </w:p>
    <w:p w14:paraId="29E7E334" w14:textId="77777777" w:rsidR="005D6FAE" w:rsidRPr="00C0074C" w:rsidRDefault="005D6FAE" w:rsidP="007E0F10">
      <w:pPr>
        <w:pStyle w:val="LegalCombo5"/>
      </w:pPr>
      <w:r>
        <w:t>use</w:t>
      </w:r>
      <w:r w:rsidRPr="00C0074C">
        <w:t xml:space="preserve"> a model </w:t>
      </w:r>
      <w:r w:rsidRPr="00C0074C">
        <w:rPr>
          <w:i/>
        </w:rPr>
        <w:t>curriculum vitae</w:t>
      </w:r>
      <w:r w:rsidRPr="00C0074C">
        <w:t xml:space="preserve"> setting out objective criteria that reflect the skill set and traits needed for the position</w:t>
      </w:r>
      <w:r>
        <w:t xml:space="preserve"> when calling for candidates</w:t>
      </w:r>
      <w:r w:rsidRPr="00C0074C">
        <w:t>;</w:t>
      </w:r>
    </w:p>
    <w:p w14:paraId="4004100B" w14:textId="3B000E3E" w:rsidR="005D6FAE" w:rsidRDefault="00680B60" w:rsidP="007E0F10">
      <w:pPr>
        <w:pStyle w:val="LegalCombo5"/>
      </w:pPr>
      <w:r>
        <w:t xml:space="preserve">draw formal measures of expertise to </w:t>
      </w:r>
      <w:r w:rsidR="005D6FAE">
        <w:t xml:space="preserve">expressly encourage </w:t>
      </w:r>
      <w:r>
        <w:t xml:space="preserve">and ensure qualified candidates come from wide-ranging disciplines such as social sciences, as well as from the legal and academic fields. </w:t>
      </w:r>
      <w:r w:rsidR="00E56147">
        <w:t xml:space="preserve"> </w:t>
      </w:r>
      <w:r>
        <w:t>This will help the nomination and election process</w:t>
      </w:r>
      <w:r w:rsidR="00C458BC">
        <w:t>es prioritize expertise and ensure the processes are meritocratic, but also look to non-traditional areas of expertise where women have had an opportunity to gain equivalent leadership or governing experience, as well as specifically address under-representation of women in the composition of the treaty body; and</w:t>
      </w:r>
    </w:p>
    <w:p w14:paraId="500A3C3E" w14:textId="4F4DE292" w:rsidR="00680B60" w:rsidRDefault="005D6FAE" w:rsidP="00AC1E83">
      <w:pPr>
        <w:pStyle w:val="LegalCombo5"/>
      </w:pPr>
      <w:r>
        <w:t>when considering the applications and making the selection of equally competent and experienced candidates, take into account the gender balance and turn-over of the relevant treaty body and any applicable gender targets or temporary special measures that the State party may have set</w:t>
      </w:r>
      <w:r w:rsidR="00413919">
        <w:t xml:space="preserve"> to achieve gender balance</w:t>
      </w:r>
      <w:r w:rsidR="00CE15A1">
        <w:t>.</w:t>
      </w:r>
    </w:p>
    <w:p w14:paraId="5DB6D1AC" w14:textId="4297C0D7" w:rsidR="005D6FAE" w:rsidRPr="00AC1E83" w:rsidRDefault="005D6FAE" w:rsidP="007E0F10">
      <w:pPr>
        <w:pStyle w:val="LegalCombo4"/>
      </w:pPr>
      <w:r w:rsidRPr="006573F1">
        <w:rPr>
          <w:color w:val="auto"/>
        </w:rPr>
        <w:t xml:space="preserve">State parties should </w:t>
      </w:r>
      <w:r>
        <w:rPr>
          <w:color w:val="auto"/>
        </w:rPr>
        <w:t>set</w:t>
      </w:r>
      <w:r w:rsidRPr="006573F1">
        <w:rPr>
          <w:color w:val="auto"/>
        </w:rPr>
        <w:t xml:space="preserve"> </w:t>
      </w:r>
      <w:r>
        <w:rPr>
          <w:color w:val="auto"/>
        </w:rPr>
        <w:t xml:space="preserve">gender </w:t>
      </w:r>
      <w:r w:rsidRPr="006573F1">
        <w:rPr>
          <w:color w:val="auto"/>
        </w:rPr>
        <w:t>targets or</w:t>
      </w:r>
      <w:r w:rsidR="00413919">
        <w:rPr>
          <w:color w:val="auto"/>
        </w:rPr>
        <w:t xml:space="preserve"> impose </w:t>
      </w:r>
      <w:r w:rsidRPr="006573F1">
        <w:rPr>
          <w:color w:val="auto"/>
        </w:rPr>
        <w:t>temporary special measures</w:t>
      </w:r>
      <w:r w:rsidR="00413919">
        <w:rPr>
          <w:color w:val="auto"/>
        </w:rPr>
        <w:t xml:space="preserve"> to require </w:t>
      </w:r>
      <w:r>
        <w:rPr>
          <w:color w:val="auto"/>
        </w:rPr>
        <w:t xml:space="preserve">a mandatory minimum number or percentage of women </w:t>
      </w:r>
      <w:r w:rsidR="00413919">
        <w:rPr>
          <w:color w:val="auto"/>
        </w:rPr>
        <w:t xml:space="preserve">and men </w:t>
      </w:r>
      <w:r>
        <w:rPr>
          <w:color w:val="auto"/>
        </w:rPr>
        <w:t>among the nominees</w:t>
      </w:r>
      <w:r w:rsidRPr="006573F1">
        <w:rPr>
          <w:color w:val="auto"/>
        </w:rPr>
        <w:t xml:space="preserve"> </w:t>
      </w:r>
      <w:r>
        <w:rPr>
          <w:color w:val="auto"/>
        </w:rPr>
        <w:t xml:space="preserve">for application </w:t>
      </w:r>
      <w:r w:rsidRPr="006573F1">
        <w:rPr>
          <w:color w:val="auto"/>
        </w:rPr>
        <w:t>at the candidate selection</w:t>
      </w:r>
      <w:r>
        <w:rPr>
          <w:color w:val="auto"/>
        </w:rPr>
        <w:t>/nomination</w:t>
      </w:r>
      <w:r w:rsidRPr="006573F1">
        <w:rPr>
          <w:color w:val="auto"/>
        </w:rPr>
        <w:t xml:space="preserve"> stage</w:t>
      </w:r>
      <w:r>
        <w:rPr>
          <w:color w:val="auto"/>
        </w:rPr>
        <w:t xml:space="preserve"> </w:t>
      </w:r>
      <w:r w:rsidR="00413919">
        <w:rPr>
          <w:color w:val="auto"/>
        </w:rPr>
        <w:t>to ensure gender balance</w:t>
      </w:r>
      <w:r>
        <w:rPr>
          <w:color w:val="auto"/>
        </w:rPr>
        <w:t xml:space="preserve">.  </w:t>
      </w:r>
    </w:p>
    <w:p w14:paraId="79F9D3AD" w14:textId="003A8F7C" w:rsidR="00AC1E83" w:rsidRPr="00633CD2" w:rsidRDefault="00AC1E83" w:rsidP="007E0F10">
      <w:pPr>
        <w:pStyle w:val="LegalCombo4"/>
      </w:pPr>
      <w:r>
        <w:t xml:space="preserve">In the absence of </w:t>
      </w:r>
      <w:r>
        <w:rPr>
          <w:color w:val="auto"/>
        </w:rPr>
        <w:t xml:space="preserve">gender </w:t>
      </w:r>
      <w:r w:rsidRPr="006573F1">
        <w:rPr>
          <w:color w:val="auto"/>
        </w:rPr>
        <w:t>targets or temporary special measures</w:t>
      </w:r>
      <w:r>
        <w:rPr>
          <w:color w:val="auto"/>
        </w:rPr>
        <w:t>,</w:t>
      </w:r>
      <w:r w:rsidRPr="00C0074C">
        <w:t xml:space="preserve"> State parties should</w:t>
      </w:r>
      <w:r>
        <w:t xml:space="preserve">, where possible, </w:t>
      </w:r>
      <w:r w:rsidRPr="00C0074C">
        <w:t xml:space="preserve">nominate </w:t>
      </w:r>
      <w:r>
        <w:t>an even number of candidates comprised of an equal number of men and women</w:t>
      </w:r>
      <w:r w:rsidRPr="00C0074C">
        <w:t>.</w:t>
      </w:r>
    </w:p>
    <w:p w14:paraId="4996999D" w14:textId="56DE44A6" w:rsidR="005D6FAE" w:rsidRPr="00C0074C" w:rsidRDefault="00680B60" w:rsidP="007E0F10">
      <w:pPr>
        <w:pStyle w:val="LegalCombo4"/>
      </w:pPr>
      <w:r w:rsidRPr="005739EC">
        <w:t>State parties should provide</w:t>
      </w:r>
      <w:r>
        <w:t xml:space="preserve"> </w:t>
      </w:r>
      <w:r w:rsidRPr="005739EC">
        <w:t>family care support for candidates with primary family responsibilities</w:t>
      </w:r>
      <w:r>
        <w:t xml:space="preserve">, </w:t>
      </w:r>
      <w:r w:rsidRPr="00176B70">
        <w:rPr>
          <w:iCs/>
        </w:rPr>
        <w:t>whether it be for an aging parent or a child</w:t>
      </w:r>
      <w:r>
        <w:rPr>
          <w:iCs/>
        </w:rPr>
        <w:t>,</w:t>
      </w:r>
      <w:r>
        <w:t xml:space="preserve"> </w:t>
      </w:r>
      <w:r w:rsidRPr="005739EC">
        <w:t xml:space="preserve">to ensure highly skilled candidates with </w:t>
      </w:r>
      <w:r>
        <w:t xml:space="preserve">such </w:t>
      </w:r>
      <w:r w:rsidRPr="005739EC">
        <w:t xml:space="preserve">responsibilities are not unduly excluded from </w:t>
      </w:r>
      <w:r>
        <w:t xml:space="preserve">applying for selection.  Such support should be clearly publicized and communicated to potential candidates when calling for candidates. </w:t>
      </w:r>
    </w:p>
    <w:p w14:paraId="29096AB3" w14:textId="0A9CB66F" w:rsidR="00C458BC" w:rsidRDefault="005D6FAE" w:rsidP="007E0F10">
      <w:pPr>
        <w:pStyle w:val="LegalCombo4"/>
      </w:pPr>
      <w:r w:rsidRPr="00CB2C31">
        <w:t xml:space="preserve">State parties who provide </w:t>
      </w:r>
      <w:r>
        <w:t>nominee</w:t>
      </w:r>
      <w:r w:rsidRPr="00CB2C31">
        <w:t xml:space="preserve"> lists to the UN Secretariat without following the </w:t>
      </w:r>
      <w:r>
        <w:t>applicable procedure</w:t>
      </w:r>
      <w:r w:rsidR="00E56147">
        <w:t>s</w:t>
      </w:r>
      <w:r>
        <w:t xml:space="preserve"> and</w:t>
      </w:r>
      <w:r w:rsidRPr="00CB2C31">
        <w:t xml:space="preserve"> guidelines, or do not submit candidates in line with designated </w:t>
      </w:r>
      <w:r>
        <w:t>gender</w:t>
      </w:r>
      <w:r w:rsidRPr="00CB2C31">
        <w:t xml:space="preserve"> targets (</w:t>
      </w:r>
      <w:r w:rsidRPr="00F90097">
        <w:t>e.g.</w:t>
      </w:r>
      <w:r w:rsidR="00E56147">
        <w:t>,</w:t>
      </w:r>
      <w:r w:rsidRPr="00CB2C31">
        <w:t xml:space="preserve"> 50% women), should issue a public statement explaining their decision and in particular the reason </w:t>
      </w:r>
      <w:r>
        <w:t xml:space="preserve">why </w:t>
      </w:r>
      <w:r w:rsidRPr="00CB2C31">
        <w:t xml:space="preserve">they were unable to follow </w:t>
      </w:r>
      <w:r>
        <w:t xml:space="preserve">the procedures and </w:t>
      </w:r>
      <w:r w:rsidRPr="00CB2C31">
        <w:t xml:space="preserve">guidelines or meet </w:t>
      </w:r>
      <w:r>
        <w:t xml:space="preserve">the </w:t>
      </w:r>
      <w:r w:rsidRPr="00CB2C31">
        <w:t xml:space="preserve">designated </w:t>
      </w:r>
      <w:r>
        <w:t>gender</w:t>
      </w:r>
      <w:r w:rsidR="00C458BC">
        <w:t xml:space="preserve"> targets.</w:t>
      </w:r>
    </w:p>
    <w:p w14:paraId="7868A01C" w14:textId="3CCDE7C4" w:rsidR="005D6FAE" w:rsidRDefault="00C458BC" w:rsidP="007E0F10">
      <w:pPr>
        <w:pStyle w:val="LegalCombo4"/>
      </w:pPr>
      <w:r>
        <w:t xml:space="preserve">Where States do not comply with the </w:t>
      </w:r>
      <w:r w:rsidR="00BC6F30">
        <w:t xml:space="preserve">criterion of submitting balanced treaty body nominees for election, nominations should be considered void.  </w:t>
      </w:r>
    </w:p>
    <w:p w14:paraId="60D33779" w14:textId="75D7B7A6" w:rsidR="005D6FAE" w:rsidRPr="008D629E" w:rsidRDefault="00E20CF6" w:rsidP="007E0F10">
      <w:pPr>
        <w:pStyle w:val="LegalCombo3"/>
      </w:pPr>
      <w:bookmarkStart w:id="27" w:name="_Toc22904967"/>
      <w:bookmarkStart w:id="28" w:name="_Toc24114366"/>
      <w:r w:rsidRPr="008D629E">
        <w:t>Election</w:t>
      </w:r>
      <w:bookmarkEnd w:id="27"/>
      <w:bookmarkEnd w:id="28"/>
      <w:r w:rsidRPr="008D629E">
        <w:t xml:space="preserve">   </w:t>
      </w:r>
    </w:p>
    <w:p w14:paraId="735B967B" w14:textId="259C3DF9" w:rsidR="00C3406C" w:rsidRDefault="005D6FAE" w:rsidP="00C3406C">
      <w:pPr>
        <w:pStyle w:val="LegalCombo4"/>
      </w:pPr>
      <w:r w:rsidRPr="00CB2C31">
        <w:t xml:space="preserve">In the event </w:t>
      </w:r>
      <w:r>
        <w:t>the treaty body</w:t>
      </w:r>
      <w:r w:rsidRPr="00CB2C31">
        <w:t xml:space="preserve"> is considering the election of two candidates of equal merit, preference should be given to the </w:t>
      </w:r>
      <w:r>
        <w:t>nominee</w:t>
      </w:r>
      <w:r w:rsidRPr="00CB2C31">
        <w:t xml:space="preserve"> </w:t>
      </w:r>
      <w:r>
        <w:t>whose gender</w:t>
      </w:r>
      <w:r w:rsidRPr="00CB2C31">
        <w:t xml:space="preserve"> is under-represented in the present constitution of the treaty b</w:t>
      </w:r>
      <w:r>
        <w:t xml:space="preserve">ody, to further gender </w:t>
      </w:r>
      <w:r w:rsidR="009B561D">
        <w:t>balance</w:t>
      </w:r>
      <w:r>
        <w:t>.</w:t>
      </w:r>
    </w:p>
    <w:p w14:paraId="6371299A" w14:textId="21F6F836" w:rsidR="005D6FAE" w:rsidRDefault="005D6FAE" w:rsidP="007E0F10">
      <w:pPr>
        <w:pStyle w:val="LegalCombo4"/>
      </w:pPr>
      <w:r>
        <w:t>The treaty body should communicate to all State parties and issue a public statement explain</w:t>
      </w:r>
      <w:r w:rsidR="009B561D">
        <w:t>ing its rationale for electing</w:t>
      </w:r>
      <w:r>
        <w:t xml:space="preserve"> particular nominee</w:t>
      </w:r>
      <w:r w:rsidR="009B561D">
        <w:t>s</w:t>
      </w:r>
      <w:r>
        <w:t xml:space="preserve"> and justify the election </w:t>
      </w:r>
      <w:r w:rsidR="009B561D">
        <w:t xml:space="preserve">of these individuals </w:t>
      </w:r>
      <w:r>
        <w:t>against the standards of any applicable gender policy or guidelines.</w:t>
      </w:r>
    </w:p>
    <w:p w14:paraId="7B48498E" w14:textId="78230AA0" w:rsidR="00BC6F30" w:rsidRDefault="00BC6F30" w:rsidP="007E0F10">
      <w:pPr>
        <w:pStyle w:val="LegalCombo4"/>
      </w:pPr>
      <w:r w:rsidRPr="00BC6F30">
        <w:t xml:space="preserve">For treaty bodies with no official mandate for gender balance in the text of the treaty, the treaty body should put a gender balance policy in place, which clearly sets out gender balance targets or </w:t>
      </w:r>
      <w:r w:rsidRPr="00BC6F30">
        <w:rPr>
          <w:color w:val="auto"/>
        </w:rPr>
        <w:t>te</w:t>
      </w:r>
      <w:r w:rsidR="00EF3A5B">
        <w:rPr>
          <w:color w:val="auto"/>
        </w:rPr>
        <w:t>mporary special measur</w:t>
      </w:r>
      <w:r w:rsidR="00E8601C">
        <w:rPr>
          <w:color w:val="auto"/>
        </w:rPr>
        <w:t>es which automatically spring</w:t>
      </w:r>
      <w:r w:rsidR="00EF3A5B">
        <w:rPr>
          <w:color w:val="auto"/>
        </w:rPr>
        <w:t>-back</w:t>
      </w:r>
      <w:r w:rsidR="00E8601C">
        <w:rPr>
          <w:color w:val="auto"/>
        </w:rPr>
        <w:t xml:space="preserve"> into force when one gender is particularly un</w:t>
      </w:r>
      <w:r w:rsidR="00C3406C">
        <w:rPr>
          <w:color w:val="auto"/>
        </w:rPr>
        <w:t>der-</w:t>
      </w:r>
      <w:r w:rsidR="00E8601C">
        <w:rPr>
          <w:color w:val="auto"/>
        </w:rPr>
        <w:t xml:space="preserve">represented </w:t>
      </w:r>
      <w:r w:rsidRPr="00BC6F30">
        <w:t>and documents the formal procedures and guidelines that should be put in place, both at the State party level and the treaty body level.</w:t>
      </w:r>
    </w:p>
    <w:p w14:paraId="052A9C2D" w14:textId="01AD9561" w:rsidR="005D6FAE" w:rsidRDefault="008D629E" w:rsidP="00BC6F30">
      <w:pPr>
        <w:pStyle w:val="LegalCombo3"/>
      </w:pPr>
      <w:bookmarkStart w:id="29" w:name="_Toc22904968"/>
      <w:bookmarkStart w:id="30" w:name="_Toc24114367"/>
      <w:r>
        <w:t>Disclosure and Transparency</w:t>
      </w:r>
      <w:bookmarkEnd w:id="29"/>
      <w:bookmarkEnd w:id="30"/>
    </w:p>
    <w:p w14:paraId="5358B739" w14:textId="48938107" w:rsidR="009B561D" w:rsidRDefault="009B561D" w:rsidP="007E0F10">
      <w:pPr>
        <w:pStyle w:val="LegalCombo4"/>
      </w:pPr>
      <w:r w:rsidRPr="00CB2C31">
        <w:t>The docum</w:t>
      </w:r>
      <w:r w:rsidRPr="00C0074C">
        <w:t>entation prepared for electing treaty body members at meetings of State parties should include an information note on the treaty body</w:t>
      </w:r>
      <w:r>
        <w:t>’</w:t>
      </w:r>
      <w:r w:rsidRPr="00C0074C">
        <w:t xml:space="preserve">s </w:t>
      </w:r>
      <w:r>
        <w:t>gender representation</w:t>
      </w:r>
      <w:r w:rsidRPr="001155FC">
        <w:t xml:space="preserve"> </w:t>
      </w:r>
      <w:r w:rsidRPr="00CB2C31">
        <w:t>and how many men and wo</w:t>
      </w:r>
      <w:r>
        <w:t>men are leaving their positions.  This information note should be provided to the State parties well ahead of the commencement of the selection process to enable them to tailor thei</w:t>
      </w:r>
      <w:r w:rsidR="00BC6F30">
        <w:t xml:space="preserve">r selection process accordingly, and should be available </w:t>
      </w:r>
      <w:r w:rsidR="00E56147">
        <w:t xml:space="preserve">publicly </w:t>
      </w:r>
      <w:r w:rsidR="00BC6F30">
        <w:t>online.</w:t>
      </w:r>
    </w:p>
    <w:p w14:paraId="571ACEE1" w14:textId="3592E8C9" w:rsidR="005D6FAE" w:rsidRDefault="005D6FAE" w:rsidP="00C3406C">
      <w:pPr>
        <w:pStyle w:val="LegalCombo4"/>
      </w:pPr>
      <w:r w:rsidRPr="00C0074C">
        <w:t>T</w:t>
      </w:r>
      <w:r>
        <w:t>he treaty body should produce an annual statement</w:t>
      </w:r>
      <w:r w:rsidRPr="00C0074C">
        <w:t xml:space="preserve"> </w:t>
      </w:r>
      <w:r>
        <w:t xml:space="preserve">in </w:t>
      </w:r>
      <w:r w:rsidRPr="00C0074C">
        <w:t>which</w:t>
      </w:r>
      <w:r>
        <w:t xml:space="preserve"> it self-assesses its performance against the measurable objectives set out in its gender b</w:t>
      </w:r>
      <w:r w:rsidR="009B561D">
        <w:t>alance policy, document</w:t>
      </w:r>
      <w:r>
        <w:t xml:space="preserve"> its progress,</w:t>
      </w:r>
      <w:r w:rsidRPr="00C0074C">
        <w:t xml:space="preserve"> and </w:t>
      </w:r>
      <w:r>
        <w:t xml:space="preserve">set out the </w:t>
      </w:r>
      <w:r w:rsidRPr="00C0074C">
        <w:t xml:space="preserve">steps it will take </w:t>
      </w:r>
      <w:r>
        <w:t>to</w:t>
      </w:r>
      <w:r w:rsidRPr="00C0074C">
        <w:t xml:space="preserve"> im</w:t>
      </w:r>
      <w:r>
        <w:t>plement, or remedy any failure to comply with, the gender balance policy.</w:t>
      </w:r>
    </w:p>
    <w:p w14:paraId="5FF94042" w14:textId="5DC9B658" w:rsidR="00C3406C" w:rsidRPr="00A17D51" w:rsidRDefault="00B200F9" w:rsidP="00B200F9">
      <w:pPr>
        <w:pStyle w:val="LegalCombo4"/>
      </w:pPr>
      <w:r>
        <w:t>For completeness, while g</w:t>
      </w:r>
      <w:r w:rsidR="00C3406C">
        <w:t xml:space="preserve">uidance on the treaty body </w:t>
      </w:r>
      <w:r>
        <w:t>nomination and election process already exists</w:t>
      </w:r>
      <w:r w:rsidR="00E56147">
        <w:t>,</w:t>
      </w:r>
      <w:r>
        <w:rPr>
          <w:rStyle w:val="FootnoteReference"/>
        </w:rPr>
        <w:footnoteReference w:id="16"/>
      </w:r>
      <w:r>
        <w:t xml:space="preserve"> it </w:t>
      </w:r>
      <w:r w:rsidR="00C3406C">
        <w:t xml:space="preserve">should be consolidated and </w:t>
      </w:r>
      <w:r>
        <w:t>held in one place.</w:t>
      </w:r>
    </w:p>
    <w:p w14:paraId="44061254" w14:textId="1E652EC7" w:rsidR="005D6FAE" w:rsidRDefault="005D6FAE" w:rsidP="0044570D">
      <w:pPr>
        <w:pStyle w:val="DoublePara"/>
        <w:keepNext/>
        <w:rPr>
          <w:lang w:val="en-US"/>
        </w:rPr>
      </w:pPr>
      <w:r w:rsidRPr="00C0074C">
        <w:rPr>
          <w:lang w:val="en-US"/>
        </w:rPr>
        <w:t xml:space="preserve">These recommendations are based on </w:t>
      </w:r>
      <w:r w:rsidR="004F2CE3">
        <w:rPr>
          <w:lang w:val="en-US"/>
        </w:rPr>
        <w:t xml:space="preserve">the best practices of countries globally and of </w:t>
      </w:r>
      <w:r w:rsidRPr="00C0074C">
        <w:rPr>
          <w:lang w:val="en-US"/>
        </w:rPr>
        <w:t xml:space="preserve">corporate governance requirements and place the onus on </w:t>
      </w:r>
      <w:r w:rsidR="004F2CE3">
        <w:rPr>
          <w:lang w:val="en-US"/>
        </w:rPr>
        <w:t>M</w:t>
      </w:r>
      <w:r w:rsidR="00737801">
        <w:rPr>
          <w:lang w:val="en-US"/>
        </w:rPr>
        <w:t>e</w:t>
      </w:r>
      <w:r w:rsidR="004F2CE3">
        <w:rPr>
          <w:lang w:val="en-US"/>
        </w:rPr>
        <w:t>mber S</w:t>
      </w:r>
      <w:r w:rsidR="00737801">
        <w:rPr>
          <w:lang w:val="en-US"/>
        </w:rPr>
        <w:t xml:space="preserve">tates to ask </w:t>
      </w:r>
      <w:r w:rsidRPr="00C0074C">
        <w:rPr>
          <w:lang w:val="en-US"/>
        </w:rPr>
        <w:t xml:space="preserve">the </w:t>
      </w:r>
      <w:r>
        <w:rPr>
          <w:lang w:val="en-US"/>
        </w:rPr>
        <w:t xml:space="preserve">UN Secretariat </w:t>
      </w:r>
      <w:r w:rsidRPr="00C0074C">
        <w:rPr>
          <w:lang w:val="en-US"/>
        </w:rPr>
        <w:t>to ensure that</w:t>
      </w:r>
      <w:r w:rsidR="004F2CE3">
        <w:rPr>
          <w:lang w:val="en-US"/>
        </w:rPr>
        <w:t xml:space="preserve"> policies, guidance and </w:t>
      </w:r>
      <w:r w:rsidR="009B561D">
        <w:rPr>
          <w:lang w:val="en-US"/>
        </w:rPr>
        <w:t xml:space="preserve">procedures </w:t>
      </w:r>
      <w:r w:rsidR="004F2CE3">
        <w:rPr>
          <w:lang w:val="en-US"/>
        </w:rPr>
        <w:t xml:space="preserve">are in place to ensure gender </w:t>
      </w:r>
      <w:r w:rsidR="00E56147">
        <w:rPr>
          <w:lang w:val="en-US"/>
        </w:rPr>
        <w:t xml:space="preserve">equality </w:t>
      </w:r>
      <w:r w:rsidR="004F2CE3">
        <w:rPr>
          <w:lang w:val="en-US"/>
        </w:rPr>
        <w:t>can be achieved.</w:t>
      </w:r>
    </w:p>
    <w:p w14:paraId="37F9E8BF" w14:textId="77777777" w:rsidR="005D6FAE" w:rsidRDefault="005D6FAE" w:rsidP="005D6FAE">
      <w:pPr>
        <w:pStyle w:val="DoublePara"/>
        <w:jc w:val="center"/>
        <w:rPr>
          <w:lang w:val="en-US"/>
        </w:rPr>
      </w:pPr>
      <w:r w:rsidRPr="00CB2C31">
        <w:rPr>
          <w:lang w:val="en-US"/>
        </w:rPr>
        <w:t>*</w:t>
      </w:r>
      <w:r w:rsidRPr="00CB2C31">
        <w:rPr>
          <w:lang w:val="en-US"/>
        </w:rPr>
        <w:tab/>
        <w:t>*</w:t>
      </w:r>
      <w:r w:rsidRPr="00CB2C31">
        <w:rPr>
          <w:lang w:val="en-US"/>
        </w:rPr>
        <w:tab/>
        <w:t>*</w:t>
      </w:r>
    </w:p>
    <w:p w14:paraId="0962C520" w14:textId="77777777" w:rsidR="006775A2" w:rsidRPr="005D6FAE" w:rsidRDefault="006775A2" w:rsidP="006775A2">
      <w:pPr>
        <w:rPr>
          <w:lang w:val="en-US"/>
        </w:rPr>
        <w:sectPr w:rsidR="006775A2" w:rsidRPr="005D6FAE" w:rsidSect="003F58CB">
          <w:pgSz w:w="11907" w:h="16839" w:code="9"/>
          <w:pgMar w:top="1440" w:right="1440" w:bottom="1440" w:left="1440" w:header="706" w:footer="706" w:gutter="0"/>
          <w:pgNumType w:start="1"/>
          <w:cols w:space="720"/>
          <w:titlePg/>
          <w:docGrid w:linePitch="360"/>
        </w:sectPr>
      </w:pPr>
    </w:p>
    <w:p w14:paraId="2D311905" w14:textId="7294D93C" w:rsidR="00E87C9B" w:rsidRPr="00CB2C31" w:rsidRDefault="00E87C9B" w:rsidP="00623C41">
      <w:pPr>
        <w:pStyle w:val="LegalCombo1"/>
      </w:pPr>
      <w:bookmarkStart w:id="31" w:name="_Toc512163709"/>
      <w:bookmarkStart w:id="32" w:name="_Ref512868922"/>
      <w:bookmarkStart w:id="33" w:name="_Toc513199204"/>
      <w:bookmarkStart w:id="34" w:name="_Ref15030350"/>
      <w:bookmarkStart w:id="35" w:name="_Toc15027198"/>
      <w:bookmarkStart w:id="36" w:name="_Toc15027867"/>
      <w:bookmarkStart w:id="37" w:name="_Toc16692462"/>
      <w:bookmarkStart w:id="38" w:name="_Ref16696784"/>
      <w:bookmarkStart w:id="39" w:name="_Ref16755755"/>
      <w:bookmarkStart w:id="40" w:name="_Ref16787278"/>
      <w:bookmarkStart w:id="41" w:name="_Ref17906129"/>
      <w:bookmarkStart w:id="42" w:name="_Toc22904969"/>
      <w:bookmarkStart w:id="43" w:name="_Toc24114368"/>
      <w:bookmarkEnd w:id="8"/>
      <w:bookmarkEnd w:id="9"/>
      <w:bookmarkEnd w:id="10"/>
      <w:bookmarkEnd w:id="11"/>
      <w:bookmarkEnd w:id="12"/>
      <w:bookmarkEnd w:id="13"/>
      <w:r w:rsidRPr="00CB2C31">
        <w:t xml:space="preserve">CURRENT </w:t>
      </w:r>
      <w:r w:rsidR="005628A3" w:rsidRPr="00CB2C31">
        <w:t>&amp; BEST PRACTICES</w:t>
      </w:r>
      <w:r w:rsidRPr="00CB2C31">
        <w:t xml:space="preserve"> IN INTERNATIONAL &amp; REGIONAL</w:t>
      </w:r>
      <w:r w:rsidR="00FD182A" w:rsidRPr="00CB2C31">
        <w:t xml:space="preserve"> </w:t>
      </w:r>
      <w:r w:rsidRPr="00CB2C31">
        <w:t>TREATY BODIES</w:t>
      </w:r>
      <w:bookmarkEnd w:id="31"/>
      <w:bookmarkEnd w:id="32"/>
      <w:bookmarkEnd w:id="33"/>
      <w:bookmarkEnd w:id="34"/>
      <w:bookmarkEnd w:id="35"/>
      <w:bookmarkEnd w:id="36"/>
      <w:bookmarkEnd w:id="37"/>
      <w:bookmarkEnd w:id="38"/>
      <w:bookmarkEnd w:id="39"/>
      <w:bookmarkEnd w:id="40"/>
      <w:bookmarkEnd w:id="41"/>
      <w:r w:rsidR="00AB4FBB">
        <w:t xml:space="preserve"> </w:t>
      </w:r>
      <w:r w:rsidR="00AC1E83">
        <w:t>AND ORGANIZATIONS</w:t>
      </w:r>
      <w:bookmarkEnd w:id="42"/>
      <w:bookmarkEnd w:id="43"/>
      <w:r w:rsidR="00AC1E83">
        <w:t xml:space="preserve"> </w:t>
      </w:r>
    </w:p>
    <w:p w14:paraId="4F9997BA" w14:textId="77777777" w:rsidR="00E87C9B" w:rsidRPr="00CB2C31" w:rsidRDefault="00E87C9B" w:rsidP="00623C41">
      <w:pPr>
        <w:pStyle w:val="LegalCombo2"/>
      </w:pPr>
      <w:bookmarkStart w:id="44" w:name="_Toc512163710"/>
      <w:bookmarkStart w:id="45" w:name="_Toc513199205"/>
      <w:bookmarkStart w:id="46" w:name="_Toc15027199"/>
      <w:bookmarkStart w:id="47" w:name="_Toc15027591"/>
      <w:bookmarkStart w:id="48" w:name="_Toc15027868"/>
      <w:bookmarkStart w:id="49" w:name="_Toc16692463"/>
      <w:bookmarkStart w:id="50" w:name="_Toc22904970"/>
      <w:bookmarkStart w:id="51" w:name="_Toc24114369"/>
      <w:r w:rsidRPr="00CB2C31">
        <w:t>INTRODUCTION</w:t>
      </w:r>
      <w:bookmarkEnd w:id="44"/>
      <w:bookmarkEnd w:id="45"/>
      <w:bookmarkEnd w:id="46"/>
      <w:bookmarkEnd w:id="47"/>
      <w:bookmarkEnd w:id="48"/>
      <w:bookmarkEnd w:id="49"/>
      <w:bookmarkEnd w:id="50"/>
      <w:bookmarkEnd w:id="51"/>
    </w:p>
    <w:p w14:paraId="525E9C47" w14:textId="54FA533D" w:rsidR="005628A3" w:rsidRPr="00CB2C31" w:rsidRDefault="00B35C62" w:rsidP="00623C41">
      <w:pPr>
        <w:pStyle w:val="DoublePara"/>
        <w:rPr>
          <w:lang w:val="en-US"/>
        </w:rPr>
      </w:pPr>
      <w:bookmarkStart w:id="52" w:name="_Toc511986844"/>
      <w:bookmarkStart w:id="53" w:name="_Toc512156378"/>
      <w:bookmarkStart w:id="54" w:name="_Toc512162742"/>
      <w:bookmarkStart w:id="55" w:name="_Toc512163627"/>
      <w:bookmarkStart w:id="56" w:name="_Toc512163711"/>
      <w:r w:rsidRPr="00CB2C31">
        <w:rPr>
          <w:lang w:val="en-US"/>
        </w:rPr>
        <w:t xml:space="preserve">This section </w:t>
      </w:r>
      <w:r w:rsidR="005628A3" w:rsidRPr="00CB2C31">
        <w:rPr>
          <w:lang w:val="en-US"/>
        </w:rPr>
        <w:t>provides an overview of the current procedures for nominating and electing individuals</w:t>
      </w:r>
      <w:r w:rsidR="005628A3" w:rsidRPr="00CB2C31">
        <w:rPr>
          <w:rStyle w:val="FootnoteReference"/>
          <w:lang w:val="en-US"/>
        </w:rPr>
        <w:footnoteReference w:id="17"/>
      </w:r>
      <w:r w:rsidR="005628A3" w:rsidRPr="00CB2C31">
        <w:rPr>
          <w:lang w:val="en-US"/>
        </w:rPr>
        <w:t xml:space="preserve"> to key</w:t>
      </w:r>
      <w:r w:rsidR="00213735">
        <w:rPr>
          <w:rStyle w:val="FootnoteReference"/>
          <w:lang w:val="en-US"/>
        </w:rPr>
        <w:footnoteReference w:id="18"/>
      </w:r>
      <w:r w:rsidR="005628A3" w:rsidRPr="00CB2C31">
        <w:rPr>
          <w:lang w:val="en-US"/>
        </w:rPr>
        <w:t xml:space="preserve"> international and regional treat</w:t>
      </w:r>
      <w:r w:rsidR="009A1E68" w:rsidRPr="00CB2C31">
        <w:rPr>
          <w:lang w:val="en-US"/>
        </w:rPr>
        <w:t>y bodies</w:t>
      </w:r>
      <w:r w:rsidR="00520511" w:rsidRPr="00CB2C31">
        <w:rPr>
          <w:lang w:val="en-US"/>
        </w:rPr>
        <w:t>, focusing in particular on the provisions and procedures as set out in the treaty texts</w:t>
      </w:r>
      <w:r w:rsidR="003C0B9B">
        <w:rPr>
          <w:lang w:val="en-US"/>
        </w:rPr>
        <w:t>.  More detail on the specific data for each of the treaty bodies is contained in the three tables at</w:t>
      </w:r>
      <w:r w:rsidR="005628A3" w:rsidRPr="00CB2C31">
        <w:rPr>
          <w:lang w:val="en-US"/>
        </w:rPr>
        <w:t xml:space="preserve"> </w:t>
      </w:r>
      <w:r w:rsidR="00D95A22">
        <w:rPr>
          <w:lang w:val="en-US"/>
        </w:rPr>
        <w:t xml:space="preserve">Section </w:t>
      </w:r>
      <w:r w:rsidR="003C0B9B">
        <w:rPr>
          <w:lang w:val="en-US"/>
        </w:rPr>
        <w:t>I</w:t>
      </w:r>
      <w:r w:rsidR="00D95A22">
        <w:rPr>
          <w:lang w:val="en-US"/>
        </w:rPr>
        <w:t xml:space="preserve">V </w:t>
      </w:r>
      <w:r w:rsidRPr="00CB2C31">
        <w:rPr>
          <w:lang w:val="en-US"/>
        </w:rPr>
        <w:t>of the R</w:t>
      </w:r>
      <w:r w:rsidR="005628A3" w:rsidRPr="00CB2C31">
        <w:rPr>
          <w:lang w:val="en-US"/>
        </w:rPr>
        <w:t>eport</w:t>
      </w:r>
      <w:r w:rsidR="003C0B9B">
        <w:rPr>
          <w:lang w:val="en-US"/>
        </w:rPr>
        <w:t>.</w:t>
      </w:r>
      <w:r w:rsidR="00F42D6A" w:rsidRPr="00CB2C31">
        <w:rPr>
          <w:lang w:val="en-US"/>
        </w:rPr>
        <w:t xml:space="preserve">  </w:t>
      </w:r>
      <w:r w:rsidR="005628A3" w:rsidRPr="00CB2C31">
        <w:rPr>
          <w:lang w:val="en-US"/>
        </w:rPr>
        <w:t>T</w:t>
      </w:r>
      <w:r w:rsidR="00F26D9E">
        <w:rPr>
          <w:lang w:val="en-US"/>
        </w:rPr>
        <w:t>he final part of t</w:t>
      </w:r>
      <w:r w:rsidR="005628A3" w:rsidRPr="00CB2C31">
        <w:rPr>
          <w:lang w:val="en-US"/>
        </w:rPr>
        <w:t>h</w:t>
      </w:r>
      <w:r w:rsidR="009A1E68" w:rsidRPr="00CB2C31">
        <w:rPr>
          <w:lang w:val="en-US"/>
        </w:rPr>
        <w:t>is</w:t>
      </w:r>
      <w:r w:rsidR="0042754A" w:rsidRPr="00CB2C31">
        <w:rPr>
          <w:lang w:val="en-US"/>
        </w:rPr>
        <w:t xml:space="preserve"> s</w:t>
      </w:r>
      <w:r w:rsidR="005628A3" w:rsidRPr="00CB2C31">
        <w:rPr>
          <w:lang w:val="en-US"/>
        </w:rPr>
        <w:t>ection discuss</w:t>
      </w:r>
      <w:r w:rsidR="00F26D9E">
        <w:rPr>
          <w:lang w:val="en-US"/>
        </w:rPr>
        <w:t>es</w:t>
      </w:r>
      <w:r w:rsidR="005628A3" w:rsidRPr="00CB2C31">
        <w:rPr>
          <w:lang w:val="en-US"/>
        </w:rPr>
        <w:t xml:space="preserve"> the best practice commentary for nominating and electing individuals to these treaty bodies.</w:t>
      </w:r>
    </w:p>
    <w:p w14:paraId="129E243E" w14:textId="77777777" w:rsidR="005628A3" w:rsidRPr="00CB2C31" w:rsidRDefault="005628A3" w:rsidP="00623C41">
      <w:pPr>
        <w:pStyle w:val="LegalCombo2"/>
      </w:pPr>
      <w:bookmarkStart w:id="57" w:name="_Toc15027200"/>
      <w:bookmarkStart w:id="58" w:name="_Toc15027592"/>
      <w:bookmarkStart w:id="59" w:name="_Toc15027869"/>
      <w:bookmarkStart w:id="60" w:name="_Toc16692464"/>
      <w:bookmarkStart w:id="61" w:name="_Toc22904971"/>
      <w:bookmarkStart w:id="62" w:name="_Toc24114370"/>
      <w:r w:rsidRPr="00CB2C31">
        <w:t>OVERVIEW OF Current PracticeS for nominations &amp; Elections</w:t>
      </w:r>
      <w:bookmarkEnd w:id="57"/>
      <w:bookmarkEnd w:id="58"/>
      <w:bookmarkEnd w:id="59"/>
      <w:bookmarkEnd w:id="60"/>
      <w:bookmarkEnd w:id="61"/>
      <w:bookmarkEnd w:id="62"/>
    </w:p>
    <w:p w14:paraId="57E106D5" w14:textId="77777777" w:rsidR="0011224A" w:rsidRPr="0051289E" w:rsidRDefault="0011224A" w:rsidP="006775A2">
      <w:pPr>
        <w:pStyle w:val="LegalCombo3"/>
        <w:rPr>
          <w:b w:val="0"/>
        </w:rPr>
      </w:pPr>
      <w:bookmarkStart w:id="63" w:name="_Toc22904972"/>
      <w:bookmarkStart w:id="64" w:name="_Toc24114371"/>
      <w:bookmarkStart w:id="65" w:name="_Toc15027201"/>
      <w:bookmarkStart w:id="66" w:name="_Toc15027593"/>
      <w:bookmarkStart w:id="67" w:name="_Toc15027870"/>
      <w:bookmarkStart w:id="68" w:name="_Toc16692465"/>
      <w:r w:rsidRPr="0051289E">
        <w:t>Diversity Criteria</w:t>
      </w:r>
      <w:bookmarkEnd w:id="63"/>
      <w:bookmarkEnd w:id="64"/>
    </w:p>
    <w:p w14:paraId="6ED00EF0" w14:textId="77777777" w:rsidR="0011224A" w:rsidRPr="00CB2C31" w:rsidRDefault="0011224A" w:rsidP="0011224A">
      <w:pPr>
        <w:pStyle w:val="BulletPara"/>
        <w:jc w:val="both"/>
        <w:rPr>
          <w:b/>
          <w:caps/>
        </w:rPr>
      </w:pPr>
      <w:r w:rsidRPr="00CB2C31">
        <w:t>One-third of the treaties examined require State parties to consider equitable gender distribution of the respective body</w:t>
      </w:r>
      <w:r w:rsidR="00593F1F">
        <w:t>’</w:t>
      </w:r>
      <w:r w:rsidRPr="00CB2C31">
        <w:t xml:space="preserve">s membership. </w:t>
      </w:r>
    </w:p>
    <w:p w14:paraId="3EDA0D2A" w14:textId="77777777" w:rsidR="0011224A" w:rsidRPr="00CB2C31" w:rsidRDefault="0011224A" w:rsidP="0011224A">
      <w:pPr>
        <w:pStyle w:val="BulletPara"/>
        <w:jc w:val="both"/>
        <w:rPr>
          <w:b/>
          <w:caps/>
        </w:rPr>
      </w:pPr>
      <w:r w:rsidRPr="00CB2C31">
        <w:t>In all but three of the treaties examined, State parties are required to consider the equitable geographic distribution of the respective body</w:t>
      </w:r>
      <w:r w:rsidR="00593F1F">
        <w:t>’</w:t>
      </w:r>
      <w:r w:rsidRPr="00CB2C31">
        <w:t xml:space="preserve">s membership; although it is only the Committee on Economic, Social and Cultural Rights which is </w:t>
      </w:r>
      <w:r w:rsidRPr="00CB2C31">
        <w:rPr>
          <w:i/>
        </w:rPr>
        <w:t>formally</w:t>
      </w:r>
      <w:r w:rsidRPr="00CB2C31">
        <w:t xml:space="preserve"> subject to membership on a regional basis.</w:t>
      </w:r>
      <w:r w:rsidRPr="00CB2C31">
        <w:rPr>
          <w:rStyle w:val="FootnoteReference"/>
        </w:rPr>
        <w:footnoteReference w:id="19"/>
      </w:r>
      <w:r w:rsidRPr="00CB2C31">
        <w:t xml:space="preserve"> </w:t>
      </w:r>
    </w:p>
    <w:p w14:paraId="4E37E763" w14:textId="77777777" w:rsidR="0011224A" w:rsidRPr="00CB2C31" w:rsidRDefault="0011224A" w:rsidP="0011224A">
      <w:pPr>
        <w:pStyle w:val="BulletPara"/>
        <w:jc w:val="both"/>
        <w:rPr>
          <w:b/>
          <w:caps/>
        </w:rPr>
      </w:pPr>
      <w:r w:rsidRPr="00CB2C31">
        <w:t>Just over a third of the treaties examined require State parties to consider different forms of civilization</w:t>
      </w:r>
      <w:r w:rsidRPr="00CB2C31">
        <w:rPr>
          <w:rStyle w:val="FootnoteReference"/>
        </w:rPr>
        <w:footnoteReference w:id="20"/>
      </w:r>
      <w:r w:rsidRPr="00CB2C31">
        <w:t xml:space="preserve"> when considering candidates.</w:t>
      </w:r>
    </w:p>
    <w:p w14:paraId="51B4A6B7" w14:textId="77777777" w:rsidR="0011224A" w:rsidRPr="00CB2C31" w:rsidRDefault="0011224A" w:rsidP="0011224A">
      <w:pPr>
        <w:pStyle w:val="BulletPara"/>
        <w:jc w:val="both"/>
        <w:rPr>
          <w:b/>
          <w:caps/>
        </w:rPr>
      </w:pPr>
      <w:r w:rsidRPr="00CB2C31">
        <w:t>Almost two-thirds of the treaties examined require State parties to consider different forms of legal systems</w:t>
      </w:r>
      <w:r w:rsidRPr="00CB2C31">
        <w:rPr>
          <w:rStyle w:val="FootnoteReference"/>
        </w:rPr>
        <w:footnoteReference w:id="21"/>
      </w:r>
      <w:r w:rsidRPr="00CB2C31">
        <w:t xml:space="preserve"> when considering candidates. </w:t>
      </w:r>
    </w:p>
    <w:p w14:paraId="1A6CADF3" w14:textId="77777777" w:rsidR="0011224A" w:rsidRPr="00CB2C31" w:rsidRDefault="0011224A" w:rsidP="0011224A">
      <w:pPr>
        <w:pStyle w:val="BulletPara"/>
        <w:jc w:val="both"/>
        <w:rPr>
          <w:b/>
          <w:caps/>
        </w:rPr>
      </w:pPr>
      <w:r w:rsidRPr="00CB2C31">
        <w:t>Restrictions that apply to the nomination and election process in all but three of the treaties examined include:</w:t>
      </w:r>
    </w:p>
    <w:p w14:paraId="5659F33B" w14:textId="77777777" w:rsidR="0011224A" w:rsidRPr="00CB2C31" w:rsidRDefault="0011224A" w:rsidP="0011224A">
      <w:pPr>
        <w:pStyle w:val="BulletPara2"/>
        <w:jc w:val="both"/>
      </w:pPr>
      <w:r w:rsidRPr="00CB2C31">
        <w:t>A restriction on the number of nationals that may be nominated per State party; and</w:t>
      </w:r>
    </w:p>
    <w:p w14:paraId="53D501DD" w14:textId="77777777" w:rsidR="0011224A" w:rsidRPr="00CB2C31" w:rsidRDefault="0011224A" w:rsidP="0011224A">
      <w:pPr>
        <w:pStyle w:val="BulletPara2"/>
        <w:jc w:val="both"/>
      </w:pPr>
      <w:r w:rsidRPr="00CB2C31">
        <w:t>A restriction on the number of members per State party that may be elected on the committee of the relevant treaty body.</w:t>
      </w:r>
    </w:p>
    <w:p w14:paraId="2DB5568D" w14:textId="77777777" w:rsidR="0011224A" w:rsidRPr="00CB2C31" w:rsidRDefault="0011224A" w:rsidP="0011224A">
      <w:pPr>
        <w:pStyle w:val="BulletPara"/>
        <w:jc w:val="both"/>
        <w:rPr>
          <w:b/>
          <w:caps/>
        </w:rPr>
      </w:pPr>
      <w:r w:rsidRPr="00CB2C31">
        <w:t>It is only the CRPD which formally requires consultation with persons with disabilities and their representative organizations in the nomination process.</w:t>
      </w:r>
      <w:r w:rsidRPr="00CB2C31">
        <w:rPr>
          <w:rStyle w:val="FootnoteReference"/>
        </w:rPr>
        <w:footnoteReference w:id="22"/>
      </w:r>
    </w:p>
    <w:p w14:paraId="20C61BD8" w14:textId="77777777" w:rsidR="005628A3" w:rsidRPr="002E5273" w:rsidRDefault="005628A3" w:rsidP="00623C41">
      <w:pPr>
        <w:pStyle w:val="LegalCombo3"/>
        <w:rPr>
          <w:b w:val="0"/>
        </w:rPr>
      </w:pPr>
      <w:bookmarkStart w:id="69" w:name="_Toc22904973"/>
      <w:bookmarkStart w:id="70" w:name="_Toc24114372"/>
      <w:r w:rsidRPr="002E5273">
        <w:t>Number of Nominees per State</w:t>
      </w:r>
      <w:bookmarkEnd w:id="65"/>
      <w:bookmarkEnd w:id="66"/>
      <w:bookmarkEnd w:id="67"/>
      <w:bookmarkEnd w:id="68"/>
      <w:bookmarkEnd w:id="69"/>
      <w:bookmarkEnd w:id="70"/>
    </w:p>
    <w:p w14:paraId="6B26DEEB" w14:textId="77777777" w:rsidR="005628A3" w:rsidRPr="00CB2C31" w:rsidRDefault="005628A3" w:rsidP="00623C41">
      <w:pPr>
        <w:pStyle w:val="BulletPara"/>
        <w:jc w:val="both"/>
      </w:pPr>
      <w:r w:rsidRPr="00CB2C31">
        <w:t xml:space="preserve">Each of the treaties examined allows State parties to nominate at least one individual </w:t>
      </w:r>
      <w:r w:rsidR="009A1E68" w:rsidRPr="00CB2C31">
        <w:t xml:space="preserve">for election </w:t>
      </w:r>
      <w:r w:rsidRPr="00CB2C31">
        <w:t xml:space="preserve">to their respective treaty body. </w:t>
      </w:r>
    </w:p>
    <w:p w14:paraId="4D42D914" w14:textId="09F91D20" w:rsidR="005628A3" w:rsidRPr="00CB2C31" w:rsidRDefault="005628A3" w:rsidP="00623C41">
      <w:pPr>
        <w:pStyle w:val="BulletPara"/>
        <w:jc w:val="both"/>
      </w:pPr>
      <w:r w:rsidRPr="00CB2C31">
        <w:t>Some of the treaties examined stipulate a maximum number of nominees per State party (</w:t>
      </w:r>
      <w:r w:rsidRPr="00F90097">
        <w:t>e.g.</w:t>
      </w:r>
      <w:r w:rsidR="00E56147">
        <w:t>,</w:t>
      </w:r>
      <w:r w:rsidRPr="00CB2C31">
        <w:t xml:space="preserve"> three).</w:t>
      </w:r>
    </w:p>
    <w:p w14:paraId="188EA9E9" w14:textId="77777777" w:rsidR="005628A3" w:rsidRPr="00CB2C31" w:rsidRDefault="005628A3" w:rsidP="00623C41">
      <w:pPr>
        <w:pStyle w:val="BulletPara"/>
        <w:jc w:val="both"/>
      </w:pPr>
      <w:r w:rsidRPr="00CB2C31">
        <w:t xml:space="preserve">Among the treaties examined, no State party may nominate more than three nominees. </w:t>
      </w:r>
    </w:p>
    <w:p w14:paraId="34191AB9" w14:textId="77777777" w:rsidR="005628A3" w:rsidRPr="002E5273" w:rsidRDefault="005628A3" w:rsidP="00623C41">
      <w:pPr>
        <w:pStyle w:val="LegalCombo3"/>
        <w:rPr>
          <w:b w:val="0"/>
        </w:rPr>
      </w:pPr>
      <w:bookmarkStart w:id="71" w:name="_Toc15027202"/>
      <w:bookmarkStart w:id="72" w:name="_Toc15027594"/>
      <w:bookmarkStart w:id="73" w:name="_Toc15027871"/>
      <w:bookmarkStart w:id="74" w:name="_Toc16692466"/>
      <w:bookmarkStart w:id="75" w:name="_Toc22904974"/>
      <w:bookmarkStart w:id="76" w:name="_Toc24114373"/>
      <w:r w:rsidRPr="002E5273">
        <w:t>Suitability Requirements</w:t>
      </w:r>
      <w:bookmarkEnd w:id="71"/>
      <w:bookmarkEnd w:id="72"/>
      <w:bookmarkEnd w:id="73"/>
      <w:bookmarkEnd w:id="74"/>
      <w:bookmarkEnd w:id="75"/>
      <w:bookmarkEnd w:id="76"/>
    </w:p>
    <w:p w14:paraId="42230532" w14:textId="0F45CAA5" w:rsidR="005628A3" w:rsidRPr="00CB2C31" w:rsidRDefault="005628A3" w:rsidP="00623C41">
      <w:pPr>
        <w:pStyle w:val="BulletPara"/>
        <w:jc w:val="both"/>
        <w:rPr>
          <w:b/>
          <w:caps/>
        </w:rPr>
      </w:pPr>
      <w:r w:rsidRPr="00CB2C31">
        <w:t xml:space="preserve">In all but one of the treaties examined, there is a requirement for candidates to be of </w:t>
      </w:r>
      <w:r w:rsidR="00203E75" w:rsidRPr="00203E75">
        <w:rPr>
          <w:i/>
        </w:rPr>
        <w:t>“</w:t>
      </w:r>
      <w:r w:rsidRPr="00CB2C31">
        <w:rPr>
          <w:i/>
        </w:rPr>
        <w:t>high moral character</w:t>
      </w:r>
      <w:r w:rsidR="007276F8">
        <w:t>.</w:t>
      </w:r>
      <w:r w:rsidR="00203E75" w:rsidRPr="00203E75">
        <w:rPr>
          <w:i/>
        </w:rPr>
        <w:t>”</w:t>
      </w:r>
    </w:p>
    <w:p w14:paraId="548B2EC6" w14:textId="77777777" w:rsidR="005628A3" w:rsidRPr="00CB2C31" w:rsidRDefault="005628A3" w:rsidP="00623C41">
      <w:pPr>
        <w:pStyle w:val="BulletPara"/>
        <w:jc w:val="both"/>
        <w:rPr>
          <w:b/>
          <w:caps/>
        </w:rPr>
      </w:pPr>
      <w:r w:rsidRPr="00CB2C31">
        <w:t xml:space="preserve">In all but two of the treaties examined, candidates are required to have </w:t>
      </w:r>
      <w:r w:rsidR="00236E78" w:rsidRPr="00CB2C31">
        <w:t>recognized</w:t>
      </w:r>
      <w:r w:rsidRPr="00CB2C31">
        <w:t xml:space="preserve"> competence and expertise in the field of work of the respective treaty body. </w:t>
      </w:r>
    </w:p>
    <w:p w14:paraId="7A8E3313" w14:textId="77777777" w:rsidR="005628A3" w:rsidRPr="00CB2C31" w:rsidRDefault="005628A3" w:rsidP="00623C41">
      <w:pPr>
        <w:pStyle w:val="BulletPara"/>
        <w:jc w:val="both"/>
        <w:rPr>
          <w:b/>
          <w:caps/>
        </w:rPr>
      </w:pPr>
      <w:r w:rsidRPr="00CB2C31">
        <w:t>In all but two of the treaties</w:t>
      </w:r>
      <w:r w:rsidR="009A1E68" w:rsidRPr="00CB2C31">
        <w:t xml:space="preserve"> examined</w:t>
      </w:r>
      <w:r w:rsidRPr="00CB2C31">
        <w:t xml:space="preserve">, there is a requirement for candidates to have the nationality of the nominating State party. </w:t>
      </w:r>
    </w:p>
    <w:p w14:paraId="3C4A553E" w14:textId="77777777" w:rsidR="0071367E" w:rsidRPr="00CB2C31" w:rsidRDefault="0091691C" w:rsidP="00623C41">
      <w:pPr>
        <w:pStyle w:val="BulletPara"/>
        <w:jc w:val="both"/>
      </w:pPr>
      <w:r>
        <w:t xml:space="preserve">Some of the treaties examined, </w:t>
      </w:r>
      <w:r w:rsidR="0071367E" w:rsidRPr="00CB2C31">
        <w:t xml:space="preserve">for example, the American Convention </w:t>
      </w:r>
      <w:r>
        <w:t>on Human Rights and the OPCAT,</w:t>
      </w:r>
      <w:r w:rsidR="0071367E" w:rsidRPr="00CB2C31">
        <w:t xml:space="preserve"> allow State parties to nominate individuals who are not nationals of the nominating State party to the respective treaty body.</w:t>
      </w:r>
      <w:bookmarkStart w:id="77" w:name="_Ref16188202"/>
      <w:r w:rsidR="0071367E" w:rsidRPr="00CB2C31">
        <w:rPr>
          <w:rStyle w:val="FootnoteReference"/>
        </w:rPr>
        <w:footnoteReference w:id="23"/>
      </w:r>
      <w:bookmarkEnd w:id="77"/>
      <w:r w:rsidR="0071367E" w:rsidRPr="00CB2C31">
        <w:t xml:space="preserve"> </w:t>
      </w:r>
    </w:p>
    <w:p w14:paraId="0AB4F063" w14:textId="77777777" w:rsidR="005628A3" w:rsidRPr="00CB2C31" w:rsidRDefault="005628A3" w:rsidP="00623C41">
      <w:pPr>
        <w:pStyle w:val="BulletPara"/>
        <w:jc w:val="both"/>
        <w:rPr>
          <w:b/>
          <w:caps/>
        </w:rPr>
      </w:pPr>
      <w:r w:rsidRPr="00CB2C31">
        <w:t>In half of the treaties examined, there is a requirement for candidates to be independent or impartial.</w:t>
      </w:r>
    </w:p>
    <w:p w14:paraId="5A76B6AB" w14:textId="77777777" w:rsidR="005628A3" w:rsidRPr="002E5273" w:rsidRDefault="005628A3" w:rsidP="00623C41">
      <w:pPr>
        <w:pStyle w:val="LegalCombo3"/>
        <w:rPr>
          <w:b w:val="0"/>
        </w:rPr>
      </w:pPr>
      <w:bookmarkStart w:id="78" w:name="_Toc15027204"/>
      <w:bookmarkStart w:id="79" w:name="_Toc15027596"/>
      <w:bookmarkStart w:id="80" w:name="_Toc15027873"/>
      <w:bookmarkStart w:id="81" w:name="_Toc16692468"/>
      <w:bookmarkStart w:id="82" w:name="_Toc22904975"/>
      <w:bookmarkStart w:id="83" w:name="_Toc24114374"/>
      <w:r w:rsidRPr="002E5273">
        <w:t>Submission and Election Process</w:t>
      </w:r>
      <w:bookmarkEnd w:id="78"/>
      <w:bookmarkEnd w:id="79"/>
      <w:bookmarkEnd w:id="80"/>
      <w:bookmarkEnd w:id="81"/>
      <w:bookmarkEnd w:id="82"/>
      <w:bookmarkEnd w:id="83"/>
    </w:p>
    <w:p w14:paraId="174A9A83" w14:textId="77777777" w:rsidR="005628A3" w:rsidRPr="00CB2C31" w:rsidRDefault="005628A3" w:rsidP="00623C41">
      <w:pPr>
        <w:pStyle w:val="BulletPara"/>
        <w:jc w:val="both"/>
        <w:rPr>
          <w:b/>
          <w:caps/>
        </w:rPr>
      </w:pPr>
      <w:r w:rsidRPr="00CB2C31">
        <w:t>While some of the treaties examined stipulate criteria which treaty body candidates must meet, none say anything about the kind of procedure that State parties must follow to pick their nominees in the first place.</w:t>
      </w:r>
    </w:p>
    <w:p w14:paraId="241645A5" w14:textId="77777777" w:rsidR="005628A3" w:rsidRPr="00CB2C31" w:rsidRDefault="00E21D5D" w:rsidP="00623C41">
      <w:pPr>
        <w:pStyle w:val="BulletPara"/>
        <w:jc w:val="both"/>
        <w:rPr>
          <w:b/>
          <w:caps/>
        </w:rPr>
      </w:pPr>
      <w:r w:rsidRPr="00CB2C31">
        <w:t>Most</w:t>
      </w:r>
      <w:r w:rsidR="0091691C">
        <w:t xml:space="preserve">, </w:t>
      </w:r>
      <w:r w:rsidRPr="00CB2C31">
        <w:t>but not all</w:t>
      </w:r>
      <w:r w:rsidR="0091691C">
        <w:t xml:space="preserve">, </w:t>
      </w:r>
      <w:r w:rsidR="005628A3" w:rsidRPr="00CB2C31">
        <w:t>elections for the treaty bodies examined are conducted by a secret ballot of votes.</w:t>
      </w:r>
    </w:p>
    <w:p w14:paraId="057A8B4F" w14:textId="77777777" w:rsidR="005628A3" w:rsidRPr="00CB2C31" w:rsidRDefault="005628A3" w:rsidP="00623C41">
      <w:pPr>
        <w:pStyle w:val="BulletPara"/>
        <w:jc w:val="both"/>
        <w:rPr>
          <w:b/>
          <w:caps/>
        </w:rPr>
      </w:pPr>
      <w:r w:rsidRPr="00CB2C31">
        <w:t>The quorum requ</w:t>
      </w:r>
      <w:r w:rsidR="00A67240">
        <w:t>irement for decisions made by ten</w:t>
      </w:r>
      <w:r w:rsidR="009A1E68" w:rsidRPr="00CB2C31">
        <w:t xml:space="preserve"> of the</w:t>
      </w:r>
      <w:r w:rsidRPr="00CB2C31">
        <w:t xml:space="preserve"> treaty bodies examined is </w:t>
      </w:r>
      <w:r w:rsidR="00F07942" w:rsidRPr="00CB2C31">
        <w:t>two-thirds</w:t>
      </w:r>
      <w:r w:rsidRPr="00CB2C31">
        <w:t xml:space="preserve"> of all State parties present</w:t>
      </w:r>
      <w:r w:rsidR="001877C9" w:rsidRPr="00CB2C31">
        <w:t xml:space="preserve">.  </w:t>
      </w:r>
      <w:r w:rsidRPr="00CB2C31">
        <w:t xml:space="preserve">Quorum requirements for the remainder require attendance by either: (i) a simple majority; (ii) </w:t>
      </w:r>
      <w:r w:rsidR="009A1E68" w:rsidRPr="00CB2C31">
        <w:t xml:space="preserve">an </w:t>
      </w:r>
      <w:r w:rsidR="00E737AB" w:rsidRPr="00CB2C31">
        <w:t>absolute majority; (iii) </w:t>
      </w:r>
      <w:r w:rsidRPr="00CB2C31">
        <w:t>one</w:t>
      </w:r>
      <w:r w:rsidR="00F07942" w:rsidRPr="00CB2C31">
        <w:t>-</w:t>
      </w:r>
      <w:r w:rsidRPr="00CB2C31">
        <w:t xml:space="preserve">third of State parties present; or (iv) some other number. </w:t>
      </w:r>
    </w:p>
    <w:p w14:paraId="493F0A4C" w14:textId="77777777" w:rsidR="005628A3" w:rsidRPr="00CB2C31" w:rsidRDefault="00FE2B35" w:rsidP="00623C41">
      <w:pPr>
        <w:pStyle w:val="BulletPara"/>
        <w:jc w:val="both"/>
        <w:rPr>
          <w:b/>
          <w:caps/>
        </w:rPr>
      </w:pPr>
      <w:r w:rsidRPr="00CB2C31">
        <w:t>UN</w:t>
      </w:r>
      <w:r w:rsidR="005628A3" w:rsidRPr="00CB2C31">
        <w:t xml:space="preserve"> treaty body nomination processes usually commence at least four months before election;</w:t>
      </w:r>
      <w:bookmarkStart w:id="84" w:name="_Ref16193356"/>
      <w:r w:rsidR="005628A3" w:rsidRPr="00CB2C31">
        <w:rPr>
          <w:rStyle w:val="FootnoteReference"/>
        </w:rPr>
        <w:footnoteReference w:id="24"/>
      </w:r>
      <w:bookmarkEnd w:id="84"/>
      <w:r w:rsidR="005628A3" w:rsidRPr="00CB2C31">
        <w:t xml:space="preserve"> </w:t>
      </w:r>
      <w:r w:rsidR="009A1E68" w:rsidRPr="00CB2C31">
        <w:t xml:space="preserve">normally between two to three months before elections, </w:t>
      </w:r>
      <w:r w:rsidR="005628A3" w:rsidRPr="00CB2C31">
        <w:t xml:space="preserve">the </w:t>
      </w:r>
      <w:r w:rsidRPr="00CB2C31">
        <w:t>UN</w:t>
      </w:r>
      <w:r w:rsidR="005628A3" w:rsidRPr="00CB2C31">
        <w:t xml:space="preserve"> Secretary-General formally invites State parties to nominate candidates.</w:t>
      </w:r>
      <w:r w:rsidR="005628A3" w:rsidRPr="00CB2C31">
        <w:rPr>
          <w:rStyle w:val="FootnoteReference"/>
        </w:rPr>
        <w:footnoteReference w:id="25"/>
      </w:r>
      <w:r w:rsidR="005628A3" w:rsidRPr="00CB2C31">
        <w:t xml:space="preserve"> </w:t>
      </w:r>
      <w:r w:rsidR="005271E1">
        <w:t xml:space="preserve"> </w:t>
      </w:r>
      <w:r w:rsidR="005628A3" w:rsidRPr="00CB2C31">
        <w:t xml:space="preserve">In most cases, State parties will elect </w:t>
      </w:r>
      <w:r w:rsidRPr="00CB2C31">
        <w:t>UN</w:t>
      </w:r>
      <w:r w:rsidR="005628A3" w:rsidRPr="00CB2C31">
        <w:t xml:space="preserve"> treaty body members at meetings convened at the </w:t>
      </w:r>
      <w:r w:rsidRPr="00CB2C31">
        <w:t>UN</w:t>
      </w:r>
      <w:r w:rsidR="00593F1F">
        <w:t>’</w:t>
      </w:r>
      <w:r w:rsidR="005628A3" w:rsidRPr="00CB2C31">
        <w:t>s Headquarters in New York every two years.</w:t>
      </w:r>
      <w:r w:rsidR="005628A3" w:rsidRPr="00CB2C31">
        <w:rPr>
          <w:rStyle w:val="FootnoteReference"/>
        </w:rPr>
        <w:footnoteReference w:id="26"/>
      </w:r>
      <w:r w:rsidR="005628A3" w:rsidRPr="00CB2C31">
        <w:t xml:space="preserve"> </w:t>
      </w:r>
    </w:p>
    <w:p w14:paraId="127AF315" w14:textId="77777777" w:rsidR="005628A3" w:rsidRPr="002E5273" w:rsidRDefault="005628A3" w:rsidP="00623C41">
      <w:pPr>
        <w:pStyle w:val="LegalCombo3"/>
        <w:rPr>
          <w:b w:val="0"/>
        </w:rPr>
      </w:pPr>
      <w:bookmarkStart w:id="85" w:name="_Toc15027205"/>
      <w:bookmarkStart w:id="86" w:name="_Toc15027597"/>
      <w:bookmarkStart w:id="87" w:name="_Toc15027874"/>
      <w:bookmarkStart w:id="88" w:name="_Toc16692469"/>
      <w:bookmarkStart w:id="89" w:name="_Toc22904976"/>
      <w:bookmarkStart w:id="90" w:name="_Toc24114375"/>
      <w:r w:rsidRPr="002E5273">
        <w:t>Terms</w:t>
      </w:r>
      <w:bookmarkEnd w:id="85"/>
      <w:bookmarkEnd w:id="86"/>
      <w:bookmarkEnd w:id="87"/>
      <w:bookmarkEnd w:id="88"/>
      <w:bookmarkEnd w:id="89"/>
      <w:bookmarkEnd w:id="90"/>
      <w:r w:rsidRPr="002E5273">
        <w:t xml:space="preserve"> </w:t>
      </w:r>
    </w:p>
    <w:p w14:paraId="11CC2E92" w14:textId="77777777" w:rsidR="005628A3" w:rsidRPr="00CB2C31" w:rsidRDefault="00F07942" w:rsidP="00623C41">
      <w:pPr>
        <w:pStyle w:val="BulletPara"/>
        <w:jc w:val="both"/>
        <w:rPr>
          <w:b/>
          <w:caps/>
        </w:rPr>
      </w:pPr>
      <w:r w:rsidRPr="00CB2C31">
        <w:t>Two-thirds</w:t>
      </w:r>
      <w:r w:rsidR="00205DF7" w:rsidRPr="00CB2C31">
        <w:t xml:space="preserve"> of the treaty</w:t>
      </w:r>
      <w:r w:rsidR="005628A3" w:rsidRPr="00CB2C31">
        <w:t xml:space="preserve"> bodies examined elect nominees for a term of four years; over half permit individuals to be re-elected at least once to the respective treaty body. </w:t>
      </w:r>
    </w:p>
    <w:p w14:paraId="61234485" w14:textId="4878C3FA" w:rsidR="005628A3" w:rsidRPr="00CB2C31" w:rsidRDefault="005628A3" w:rsidP="00623C41">
      <w:pPr>
        <w:pStyle w:val="BulletPara"/>
        <w:jc w:val="both"/>
        <w:rPr>
          <w:b/>
          <w:caps/>
        </w:rPr>
      </w:pPr>
      <w:r w:rsidRPr="00CB2C31">
        <w:t xml:space="preserve">More than </w:t>
      </w:r>
      <w:r w:rsidR="00F07942" w:rsidRPr="00CB2C31">
        <w:t>two-thirds</w:t>
      </w:r>
      <w:r w:rsidR="00205DF7" w:rsidRPr="00CB2C31">
        <w:t xml:space="preserve"> of the treaty</w:t>
      </w:r>
      <w:r w:rsidRPr="00CB2C31">
        <w:t xml:space="preserve"> bodies examined provide for staggered terms whereby the terms </w:t>
      </w:r>
      <w:r w:rsidR="0071367E" w:rsidRPr="00CB2C31">
        <w:t xml:space="preserve">of service </w:t>
      </w:r>
      <w:r w:rsidRPr="00CB2C31">
        <w:t xml:space="preserve">of members elected at the first election will expire at </w:t>
      </w:r>
      <w:r w:rsidR="009A1E68" w:rsidRPr="00CB2C31">
        <w:t>varying times</w:t>
      </w:r>
      <w:r w:rsidRPr="00CB2C31">
        <w:t xml:space="preserve"> during the term (</w:t>
      </w:r>
      <w:r w:rsidRPr="00F90097">
        <w:t>e.g.</w:t>
      </w:r>
      <w:r w:rsidR="0030411F">
        <w:t>,</w:t>
      </w:r>
      <w:r w:rsidRPr="00CB2C31">
        <w:t xml:space="preserve"> halfway through a full term). </w:t>
      </w:r>
    </w:p>
    <w:p w14:paraId="210885F9" w14:textId="324B68EB" w:rsidR="005628A3" w:rsidRPr="00CB2C31" w:rsidRDefault="005628A3" w:rsidP="00623C41">
      <w:pPr>
        <w:pStyle w:val="DoublePara"/>
        <w:rPr>
          <w:lang w:val="en-US"/>
        </w:rPr>
      </w:pPr>
      <w:r w:rsidRPr="00CB2C31">
        <w:rPr>
          <w:lang w:val="en-US"/>
        </w:rPr>
        <w:t>Most of the treat</w:t>
      </w:r>
      <w:r w:rsidR="00205DF7" w:rsidRPr="00CB2C31">
        <w:rPr>
          <w:lang w:val="en-US"/>
        </w:rPr>
        <w:t>y</w:t>
      </w:r>
      <w:r w:rsidRPr="00CB2C31">
        <w:rPr>
          <w:lang w:val="en-US"/>
        </w:rPr>
        <w:t xml:space="preserve"> bodies examined do not stipulate the number of terms a member is permitted to serve</w:t>
      </w:r>
      <w:r w:rsidR="0099443C">
        <w:rPr>
          <w:lang w:val="en-US"/>
        </w:rPr>
        <w:t>,</w:t>
      </w:r>
      <w:r w:rsidRPr="00CB2C31">
        <w:rPr>
          <w:rStyle w:val="FootnoteReference"/>
          <w:lang w:val="en-US"/>
        </w:rPr>
        <w:footnoteReference w:id="27"/>
      </w:r>
      <w:r w:rsidR="00A67240">
        <w:rPr>
          <w:lang w:val="en-US"/>
        </w:rPr>
        <w:t xml:space="preserve"> </w:t>
      </w:r>
      <w:r w:rsidRPr="00CB2C31">
        <w:rPr>
          <w:lang w:val="en-US"/>
        </w:rPr>
        <w:t xml:space="preserve">save for </w:t>
      </w:r>
      <w:r w:rsidR="00FD14C7">
        <w:rPr>
          <w:lang w:val="en-US"/>
        </w:rPr>
        <w:t>the CRPD, the SPT,</w:t>
      </w:r>
      <w:r w:rsidRPr="00CB2C31">
        <w:rPr>
          <w:lang w:val="en-US"/>
        </w:rPr>
        <w:t xml:space="preserve"> the CED, </w:t>
      </w:r>
      <w:r w:rsidR="00205DF7" w:rsidRPr="00CB2C31">
        <w:rPr>
          <w:lang w:val="en-US"/>
        </w:rPr>
        <w:t xml:space="preserve">and </w:t>
      </w:r>
      <w:r w:rsidRPr="00CB2C31">
        <w:rPr>
          <w:lang w:val="en-US"/>
        </w:rPr>
        <w:t>the American Convention on Human Rights,</w:t>
      </w:r>
      <w:r w:rsidRPr="00CB2C31">
        <w:rPr>
          <w:i/>
          <w:lang w:val="en-US"/>
        </w:rPr>
        <w:t xml:space="preserve"> </w:t>
      </w:r>
      <w:r w:rsidRPr="00CB2C31">
        <w:rPr>
          <w:lang w:val="en-US"/>
        </w:rPr>
        <w:t>which restrict the number of successive terms</w:t>
      </w:r>
      <w:r w:rsidR="0030411F">
        <w:rPr>
          <w:lang w:val="en-US"/>
        </w:rPr>
        <w:t>.</w:t>
      </w:r>
      <w:r w:rsidRPr="00CB2C31">
        <w:rPr>
          <w:rStyle w:val="FootnoteReference"/>
          <w:lang w:val="en-US"/>
        </w:rPr>
        <w:footnoteReference w:id="28"/>
      </w:r>
      <w:r w:rsidR="003C0B9B">
        <w:rPr>
          <w:lang w:val="en-US"/>
        </w:rPr>
        <w:t xml:space="preserve"> </w:t>
      </w:r>
      <w:r w:rsidR="0030411F">
        <w:rPr>
          <w:lang w:val="en-US"/>
        </w:rPr>
        <w:t xml:space="preserve"> </w:t>
      </w:r>
      <w:r w:rsidR="003C0B9B">
        <w:rPr>
          <w:lang w:val="en-US"/>
        </w:rPr>
        <w:t xml:space="preserve">As mentioned above, for a more detailed breakdown of the data discussed for each of the treaty bodies, turn to Section IV </w:t>
      </w:r>
      <w:r w:rsidR="003C0B9B" w:rsidRPr="00CB2C31">
        <w:rPr>
          <w:lang w:val="en-US"/>
        </w:rPr>
        <w:t>of the Report</w:t>
      </w:r>
      <w:r w:rsidR="003C0B9B">
        <w:rPr>
          <w:lang w:val="en-US"/>
        </w:rPr>
        <w:t>.</w:t>
      </w:r>
    </w:p>
    <w:p w14:paraId="5F086B43" w14:textId="3334CEB6" w:rsidR="00E87C9B" w:rsidRPr="00CB2C31" w:rsidRDefault="00E75B3E" w:rsidP="00623C41">
      <w:pPr>
        <w:pStyle w:val="LegalCombo2"/>
      </w:pPr>
      <w:bookmarkStart w:id="91" w:name="_Toc22904977"/>
      <w:bookmarkStart w:id="92" w:name="_Toc24114376"/>
      <w:bookmarkEnd w:id="52"/>
      <w:bookmarkEnd w:id="53"/>
      <w:bookmarkEnd w:id="54"/>
      <w:bookmarkEnd w:id="55"/>
      <w:bookmarkEnd w:id="56"/>
      <w:r w:rsidRPr="008F24D6">
        <w:rPr>
          <w:color w:val="auto"/>
        </w:rPr>
        <w:t>EXISTING TREATY BODY PRACTICES</w:t>
      </w:r>
      <w:bookmarkEnd w:id="91"/>
      <w:bookmarkEnd w:id="92"/>
    </w:p>
    <w:p w14:paraId="6107BFF5" w14:textId="6E969AE2" w:rsidR="005628A3" w:rsidRPr="002E5273" w:rsidRDefault="005628A3" w:rsidP="00623C41">
      <w:pPr>
        <w:pStyle w:val="LegalCombo3"/>
        <w:rPr>
          <w:b w:val="0"/>
        </w:rPr>
      </w:pPr>
      <w:bookmarkStart w:id="93" w:name="_Toc22904978"/>
      <w:bookmarkStart w:id="94" w:name="_Toc24114377"/>
      <w:bookmarkStart w:id="95" w:name="_Toc15027207"/>
      <w:bookmarkStart w:id="96" w:name="_Toc15027599"/>
      <w:bookmarkStart w:id="97" w:name="_Toc15027876"/>
      <w:bookmarkStart w:id="98" w:name="_Toc16692471"/>
      <w:r w:rsidRPr="002E5273">
        <w:t>Nomination</w:t>
      </w:r>
      <w:bookmarkEnd w:id="93"/>
      <w:bookmarkEnd w:id="94"/>
      <w:r w:rsidRPr="002E5273">
        <w:t xml:space="preserve"> </w:t>
      </w:r>
      <w:bookmarkEnd w:id="95"/>
      <w:bookmarkEnd w:id="96"/>
      <w:bookmarkEnd w:id="97"/>
      <w:bookmarkEnd w:id="98"/>
    </w:p>
    <w:p w14:paraId="3F83F8B1" w14:textId="69512914" w:rsidR="0011224A" w:rsidRPr="00C745D4" w:rsidRDefault="005628A3" w:rsidP="00C745D4">
      <w:pPr>
        <w:pStyle w:val="DoublePara"/>
        <w:rPr>
          <w:lang w:val="en-US"/>
        </w:rPr>
      </w:pPr>
      <w:r w:rsidRPr="00CB2C31">
        <w:rPr>
          <w:lang w:val="en-US"/>
        </w:rPr>
        <w:t>In recent years</w:t>
      </w:r>
      <w:r w:rsidR="009A1E68" w:rsidRPr="00CB2C31">
        <w:rPr>
          <w:lang w:val="en-US"/>
        </w:rPr>
        <w:t>,</w:t>
      </w:r>
      <w:r w:rsidRPr="00CB2C31">
        <w:rPr>
          <w:lang w:val="en-US"/>
        </w:rPr>
        <w:t xml:space="preserve"> significant steps have been </w:t>
      </w:r>
      <w:r w:rsidR="009A1E68" w:rsidRPr="00CB2C31">
        <w:rPr>
          <w:lang w:val="en-US"/>
        </w:rPr>
        <w:t>taken</w:t>
      </w:r>
      <w:r w:rsidRPr="00CB2C31">
        <w:rPr>
          <w:lang w:val="en-US"/>
        </w:rPr>
        <w:t xml:space="preserve"> to improve the processes for nominating and electing </w:t>
      </w:r>
      <w:r w:rsidRPr="00CB2C31">
        <w:rPr>
          <w:lang w:val="en-US" w:eastAsia="en-GB"/>
        </w:rPr>
        <w:t>individuals</w:t>
      </w:r>
      <w:r w:rsidRPr="00CB2C31">
        <w:rPr>
          <w:lang w:val="en-US"/>
        </w:rPr>
        <w:t xml:space="preserve"> to international and regional treaty bodies</w:t>
      </w:r>
      <w:r w:rsidR="00F42D6A" w:rsidRPr="00CB2C31">
        <w:rPr>
          <w:lang w:val="en-US"/>
        </w:rPr>
        <w:t xml:space="preserve">.  </w:t>
      </w:r>
      <w:r w:rsidRPr="00CB2C31">
        <w:rPr>
          <w:lang w:val="en-US"/>
        </w:rPr>
        <w:t xml:space="preserve">The </w:t>
      </w:r>
      <w:r w:rsidR="00FE2B35" w:rsidRPr="00CB2C31">
        <w:rPr>
          <w:lang w:val="en-US"/>
        </w:rPr>
        <w:t>UN</w:t>
      </w:r>
      <w:r w:rsidRPr="00CB2C31">
        <w:rPr>
          <w:lang w:val="en-US"/>
        </w:rPr>
        <w:t xml:space="preserve"> High Commissioner for Human Rights</w:t>
      </w:r>
      <w:r w:rsidR="00901F88" w:rsidRPr="00CB2C31">
        <w:rPr>
          <w:lang w:val="en-US"/>
        </w:rPr>
        <w:t>, as well as the International Criminal Court,</w:t>
      </w:r>
      <w:r w:rsidRPr="00CB2C31">
        <w:rPr>
          <w:lang w:val="en-US"/>
        </w:rPr>
        <w:t xml:space="preserve"> ha</w:t>
      </w:r>
      <w:r w:rsidR="00901F88" w:rsidRPr="00CB2C31">
        <w:rPr>
          <w:lang w:val="en-US"/>
        </w:rPr>
        <w:t>ve</w:t>
      </w:r>
      <w:r w:rsidRPr="00CB2C31">
        <w:rPr>
          <w:lang w:val="en-US"/>
        </w:rPr>
        <w:t xml:space="preserve"> been particularly active in this area, and </w:t>
      </w:r>
      <w:r w:rsidR="00205DF7" w:rsidRPr="00CB2C31">
        <w:rPr>
          <w:lang w:val="en-US"/>
        </w:rPr>
        <w:t xml:space="preserve">their activities </w:t>
      </w:r>
      <w:r w:rsidRPr="00CB2C31">
        <w:rPr>
          <w:lang w:val="en-US"/>
        </w:rPr>
        <w:t>provide a rich</w:t>
      </w:r>
      <w:r w:rsidR="00A72D45">
        <w:rPr>
          <w:lang w:val="en-US"/>
        </w:rPr>
        <w:t xml:space="preserve"> source of discussion</w:t>
      </w:r>
      <w:r w:rsidR="0073673A">
        <w:rPr>
          <w:lang w:val="en-US"/>
        </w:rPr>
        <w:t xml:space="preserve"> below</w:t>
      </w:r>
      <w:r w:rsidRPr="00CB2C31">
        <w:rPr>
          <w:lang w:val="en-US"/>
        </w:rPr>
        <w:t xml:space="preserve">. </w:t>
      </w:r>
    </w:p>
    <w:p w14:paraId="3879A3C5" w14:textId="4F563FD8" w:rsidR="003142DB" w:rsidRPr="00680B60" w:rsidRDefault="005628A3" w:rsidP="00680B60">
      <w:pPr>
        <w:pStyle w:val="DoublePara"/>
        <w:rPr>
          <w:lang w:val="en-US"/>
        </w:rPr>
      </w:pPr>
      <w:r w:rsidRPr="00CB2C31">
        <w:rPr>
          <w:lang w:val="en-US"/>
        </w:rPr>
        <w:t xml:space="preserve">Although human rights treaties </w:t>
      </w:r>
      <w:r w:rsidRPr="00CB2C31">
        <w:rPr>
          <w:lang w:val="en-US" w:eastAsia="en-GB"/>
        </w:rPr>
        <w:t>do</w:t>
      </w:r>
      <w:r w:rsidRPr="00CB2C31">
        <w:rPr>
          <w:lang w:val="en-US"/>
        </w:rPr>
        <w:t xml:space="preserve"> not prescribe a specific national nomination procedure, the </w:t>
      </w:r>
      <w:r w:rsidR="00FE2B35" w:rsidRPr="00CB2C31">
        <w:rPr>
          <w:lang w:val="en-US"/>
        </w:rPr>
        <w:t>UN</w:t>
      </w:r>
      <w:r w:rsidRPr="00CB2C31">
        <w:rPr>
          <w:lang w:val="en-US"/>
        </w:rPr>
        <w:t xml:space="preserve"> High Commissioner</w:t>
      </w:r>
      <w:r w:rsidR="005A1521">
        <w:rPr>
          <w:lang w:val="en-US"/>
        </w:rPr>
        <w:t xml:space="preserve"> for Human Rights</w:t>
      </w:r>
      <w:r w:rsidR="00680B60">
        <w:rPr>
          <w:lang w:val="en-US"/>
        </w:rPr>
        <w:t xml:space="preserve"> encourages State parties to:</w:t>
      </w:r>
    </w:p>
    <w:p w14:paraId="26EE07DA" w14:textId="2D8C9AAE" w:rsidR="005628A3" w:rsidRPr="00CB2C31" w:rsidRDefault="007602C6" w:rsidP="00623C41">
      <w:pPr>
        <w:pStyle w:val="BulletPara"/>
        <w:jc w:val="both"/>
      </w:pPr>
      <w:r w:rsidRPr="00CB2C31">
        <w:t>r</w:t>
      </w:r>
      <w:r w:rsidR="005628A3" w:rsidRPr="00CB2C31">
        <w:t>ely on formal measures of expertise and respect the selection process;</w:t>
      </w:r>
    </w:p>
    <w:p w14:paraId="14AFFDD4" w14:textId="5DE33D0E" w:rsidR="005628A3" w:rsidRPr="00CB2C31" w:rsidRDefault="007602C6" w:rsidP="00623C41">
      <w:pPr>
        <w:pStyle w:val="BulletPara"/>
        <w:jc w:val="both"/>
      </w:pPr>
      <w:r w:rsidRPr="00CB2C31">
        <w:t>c</w:t>
      </w:r>
      <w:r w:rsidR="005628A3" w:rsidRPr="00CB2C31">
        <w:t>onsider candidates with a proven record of expertise in the relevant area (</w:t>
      </w:r>
      <w:r w:rsidR="005628A3" w:rsidRPr="00F90097">
        <w:t>e.g.</w:t>
      </w:r>
      <w:r w:rsidR="0030411F">
        <w:t>,</w:t>
      </w:r>
      <w:r w:rsidR="005628A3" w:rsidRPr="00CB2C31">
        <w:t xml:space="preserve"> through relevant work experience, publications and other achievements);</w:t>
      </w:r>
    </w:p>
    <w:p w14:paraId="3EA97A5E" w14:textId="77777777" w:rsidR="005628A3" w:rsidRPr="00CB2C31" w:rsidRDefault="007602C6" w:rsidP="00623C41">
      <w:pPr>
        <w:pStyle w:val="BulletPara"/>
        <w:jc w:val="both"/>
      </w:pPr>
      <w:r w:rsidRPr="00CB2C31">
        <w:t>c</w:t>
      </w:r>
      <w:r w:rsidR="005628A3" w:rsidRPr="00CB2C31">
        <w:t>onsider candidates who are willing to take on the full range of responsibilities required of a treaty body member;</w:t>
      </w:r>
    </w:p>
    <w:p w14:paraId="06C84583" w14:textId="77777777" w:rsidR="005628A3" w:rsidRPr="00CB2C31" w:rsidRDefault="007602C6" w:rsidP="00623C41">
      <w:pPr>
        <w:pStyle w:val="BulletPara"/>
        <w:jc w:val="both"/>
      </w:pPr>
      <w:r w:rsidRPr="00CB2C31">
        <w:t>a</w:t>
      </w:r>
      <w:r w:rsidR="005628A3" w:rsidRPr="00CB2C31">
        <w:t>void nominating experts who hold positions that might expose them to pressures</w:t>
      </w:r>
      <w:r w:rsidR="0060109E" w:rsidRPr="00CB2C31">
        <w:t xml:space="preserve"> or</w:t>
      </w:r>
      <w:r w:rsidR="005628A3" w:rsidRPr="00CB2C31">
        <w:t xml:space="preserve"> conflict</w:t>
      </w:r>
      <w:r w:rsidR="0060109E" w:rsidRPr="00CB2C31">
        <w:t>s of interest</w:t>
      </w:r>
      <w:r w:rsidR="005628A3" w:rsidRPr="00CB2C31">
        <w:t xml:space="preserve"> or generate a real or perceived impression of a lack of independence; and</w:t>
      </w:r>
    </w:p>
    <w:p w14:paraId="4C1F7281" w14:textId="77777777" w:rsidR="005628A3" w:rsidRPr="00CB2C31" w:rsidRDefault="007602C6" w:rsidP="00623C41">
      <w:pPr>
        <w:pStyle w:val="BulletPara"/>
        <w:jc w:val="both"/>
      </w:pPr>
      <w:r w:rsidRPr="00CB2C31">
        <w:t>l</w:t>
      </w:r>
      <w:r w:rsidR="005628A3" w:rsidRPr="00CB2C31">
        <w:t>imit</w:t>
      </w:r>
      <w:r w:rsidR="00A67240">
        <w:t xml:space="preserve"> the number of and</w:t>
      </w:r>
      <w:r w:rsidR="005628A3" w:rsidRPr="00CB2C31">
        <w:t xml:space="preserve"> the terms of service of members to a reasonable number for any given committee, bearing in mind that most recent treaties allow a maximum of two successive terms.</w:t>
      </w:r>
      <w:r w:rsidR="005628A3" w:rsidRPr="00CB2C31">
        <w:rPr>
          <w:rStyle w:val="FootnoteReference"/>
        </w:rPr>
        <w:footnoteReference w:id="29"/>
      </w:r>
    </w:p>
    <w:p w14:paraId="0EE3836A" w14:textId="1204D65E" w:rsidR="005628A3" w:rsidRPr="00CB2C31" w:rsidRDefault="005628A3" w:rsidP="00623C41">
      <w:pPr>
        <w:pStyle w:val="DoublePara"/>
        <w:rPr>
          <w:lang w:val="en-US"/>
        </w:rPr>
      </w:pPr>
      <w:r w:rsidRPr="00CB2C31">
        <w:rPr>
          <w:lang w:val="en-US"/>
        </w:rPr>
        <w:t xml:space="preserve">The </w:t>
      </w:r>
      <w:r w:rsidRPr="00CB2C31">
        <w:rPr>
          <w:i/>
          <w:lang w:val="en-US"/>
        </w:rPr>
        <w:t>Handbook for Human Rights Treaty Body Members</w:t>
      </w:r>
      <w:r w:rsidR="007276F8">
        <w:rPr>
          <w:i/>
          <w:lang w:val="en-US"/>
        </w:rPr>
        <w:t xml:space="preserve"> </w:t>
      </w:r>
      <w:r w:rsidR="0099443C">
        <w:rPr>
          <w:lang w:val="en-US"/>
        </w:rPr>
        <w:t>–</w:t>
      </w:r>
      <w:r w:rsidR="007276F8">
        <w:rPr>
          <w:lang w:val="en-US"/>
        </w:rPr>
        <w:t xml:space="preserve"> </w:t>
      </w:r>
      <w:r w:rsidRPr="00CB2C31">
        <w:rPr>
          <w:lang w:val="en-US"/>
        </w:rPr>
        <w:t xml:space="preserve">published by the </w:t>
      </w:r>
      <w:r w:rsidR="005A1521">
        <w:rPr>
          <w:lang w:val="en-US"/>
        </w:rPr>
        <w:t>OHCHR</w:t>
      </w:r>
      <w:r w:rsidR="007276F8">
        <w:rPr>
          <w:lang w:val="en-US"/>
        </w:rPr>
        <w:t xml:space="preserve"> </w:t>
      </w:r>
      <w:r w:rsidR="0099443C">
        <w:rPr>
          <w:lang w:val="en-US"/>
        </w:rPr>
        <w:t>–</w:t>
      </w:r>
      <w:r w:rsidR="007276F8">
        <w:rPr>
          <w:lang w:val="en-US"/>
        </w:rPr>
        <w:t xml:space="preserve"> </w:t>
      </w:r>
      <w:r w:rsidRPr="00CB2C31">
        <w:rPr>
          <w:lang w:val="en-US"/>
        </w:rPr>
        <w:t>further recommends State parties consider candidates</w:t>
      </w:r>
      <w:r w:rsidR="00593F1F">
        <w:rPr>
          <w:lang w:val="en-US"/>
        </w:rPr>
        <w:t>’</w:t>
      </w:r>
      <w:r w:rsidRPr="00CB2C31">
        <w:rPr>
          <w:lang w:val="en-US"/>
        </w:rPr>
        <w:t xml:space="preserve"> availability to prepare for and attend all treaty body meetings, as well as their ability to work confidently in at least one of the working languages of the treaty body.</w:t>
      </w:r>
      <w:r w:rsidRPr="00CB2C31">
        <w:rPr>
          <w:rStyle w:val="FootnoteReference"/>
          <w:lang w:val="en-US"/>
        </w:rPr>
        <w:footnoteReference w:id="30"/>
      </w:r>
    </w:p>
    <w:p w14:paraId="493525B7" w14:textId="757372E5" w:rsidR="005628A3" w:rsidRPr="002E5273" w:rsidRDefault="00585D4A" w:rsidP="00623C41">
      <w:pPr>
        <w:pStyle w:val="LegalCombo3"/>
        <w:rPr>
          <w:b w:val="0"/>
        </w:rPr>
      </w:pPr>
      <w:bookmarkStart w:id="99" w:name="_Toc22904979"/>
      <w:bookmarkStart w:id="100" w:name="_Toc24114378"/>
      <w:r>
        <w:t>E</w:t>
      </w:r>
      <w:r w:rsidR="009673DB">
        <w:t xml:space="preserve">xisting </w:t>
      </w:r>
      <w:r w:rsidR="002376B9">
        <w:t>S</w:t>
      </w:r>
      <w:r w:rsidR="009673DB">
        <w:t xml:space="preserve">upport and </w:t>
      </w:r>
      <w:r w:rsidR="002376B9">
        <w:t>R</w:t>
      </w:r>
      <w:r w:rsidR="009673DB">
        <w:t xml:space="preserve">ecommendations for </w:t>
      </w:r>
      <w:r w:rsidR="002376B9">
        <w:t>G</w:t>
      </w:r>
      <w:r w:rsidR="009673DB">
        <w:t xml:space="preserve">ender </w:t>
      </w:r>
      <w:r w:rsidR="002376B9">
        <w:t>B</w:t>
      </w:r>
      <w:r w:rsidR="009673DB">
        <w:t xml:space="preserve">alance in </w:t>
      </w:r>
      <w:r w:rsidR="002376B9">
        <w:t>T</w:t>
      </w:r>
      <w:r w:rsidR="009673DB">
        <w:t xml:space="preserve">reaty </w:t>
      </w:r>
      <w:r w:rsidR="002376B9">
        <w:t>B</w:t>
      </w:r>
      <w:r w:rsidR="009673DB">
        <w:t>odies</w:t>
      </w:r>
      <w:bookmarkEnd w:id="99"/>
      <w:bookmarkEnd w:id="100"/>
      <w:r w:rsidR="009673DB">
        <w:t xml:space="preserve"> </w:t>
      </w:r>
    </w:p>
    <w:p w14:paraId="16F4BDC4" w14:textId="790E4E17" w:rsidR="005628A3" w:rsidRPr="005903E0" w:rsidRDefault="005628A3" w:rsidP="00623C41">
      <w:pPr>
        <w:pStyle w:val="DoublePara"/>
        <w:rPr>
          <w:lang w:val="en-US"/>
        </w:rPr>
      </w:pPr>
      <w:r w:rsidRPr="00CB2C31">
        <w:rPr>
          <w:lang w:val="en-US"/>
        </w:rPr>
        <w:t>The</w:t>
      </w:r>
      <w:r w:rsidR="00CF405A">
        <w:rPr>
          <w:lang w:val="en-US"/>
        </w:rPr>
        <w:t xml:space="preserve">re is </w:t>
      </w:r>
      <w:r w:rsidR="00CF405A" w:rsidRPr="00CB2C31">
        <w:rPr>
          <w:lang w:val="en-US"/>
        </w:rPr>
        <w:t>widespread UN support</w:t>
      </w:r>
      <w:r w:rsidR="00CF405A">
        <w:rPr>
          <w:lang w:val="en-US"/>
        </w:rPr>
        <w:t xml:space="preserve"> for the</w:t>
      </w:r>
      <w:r w:rsidRPr="00CB2C31">
        <w:rPr>
          <w:lang w:val="en-US"/>
        </w:rPr>
        <w:t xml:space="preserve"> </w:t>
      </w:r>
      <w:r w:rsidR="009A1E68" w:rsidRPr="00CB2C31">
        <w:rPr>
          <w:lang w:val="en-US"/>
        </w:rPr>
        <w:t>concept</w:t>
      </w:r>
      <w:r w:rsidRPr="00CB2C31">
        <w:rPr>
          <w:lang w:val="en-US"/>
        </w:rPr>
        <w:t xml:space="preserve"> that State parties should seek gender balance, </w:t>
      </w:r>
      <w:r w:rsidR="008C5677" w:rsidRPr="00CB2C31">
        <w:rPr>
          <w:lang w:val="en-US"/>
        </w:rPr>
        <w:t xml:space="preserve">targeted </w:t>
      </w:r>
      <w:r w:rsidRPr="00CB2C31">
        <w:rPr>
          <w:lang w:val="en-US"/>
        </w:rPr>
        <w:t>expertise in areas related to treaty body mandates</w:t>
      </w:r>
      <w:r w:rsidR="001E33D9" w:rsidRPr="00CB2C31">
        <w:rPr>
          <w:lang w:val="en-US"/>
        </w:rPr>
        <w:t xml:space="preserve"> and </w:t>
      </w:r>
      <w:r w:rsidRPr="00CB2C31">
        <w:rPr>
          <w:lang w:val="en-US"/>
        </w:rPr>
        <w:t>bal</w:t>
      </w:r>
      <w:r w:rsidR="001E33D9" w:rsidRPr="00CB2C31">
        <w:rPr>
          <w:lang w:val="en-US"/>
        </w:rPr>
        <w:t>anced geographical composition</w:t>
      </w:r>
      <w:r w:rsidRPr="00CB2C31">
        <w:rPr>
          <w:lang w:val="en-US"/>
        </w:rPr>
        <w:t>.</w:t>
      </w:r>
      <w:r w:rsidRPr="00CB2C31">
        <w:rPr>
          <w:rStyle w:val="FootnoteReference"/>
          <w:lang w:val="en-US"/>
        </w:rPr>
        <w:footnoteReference w:id="31"/>
      </w:r>
      <w:r w:rsidR="005903E0">
        <w:rPr>
          <w:lang w:val="en-US"/>
        </w:rPr>
        <w:t xml:space="preserve"> </w:t>
      </w:r>
      <w:r w:rsidRPr="00CB2C31">
        <w:rPr>
          <w:lang w:val="en-US"/>
        </w:rPr>
        <w:t xml:space="preserve">The </w:t>
      </w:r>
      <w:r w:rsidR="009A1E68" w:rsidRPr="00CB2C31">
        <w:rPr>
          <w:lang w:val="en-US"/>
        </w:rPr>
        <w:t xml:space="preserve">concept </w:t>
      </w:r>
      <w:r w:rsidRPr="00CB2C31">
        <w:rPr>
          <w:lang w:val="en-US"/>
        </w:rPr>
        <w:t>initially championed by the</w:t>
      </w:r>
      <w:r w:rsidR="005A1521">
        <w:rPr>
          <w:lang w:val="en-US"/>
        </w:rPr>
        <w:t xml:space="preserve"> then</w:t>
      </w:r>
      <w:r w:rsidRPr="00CB2C31">
        <w:rPr>
          <w:lang w:val="en-US"/>
        </w:rPr>
        <w:t xml:space="preserve"> </w:t>
      </w:r>
      <w:r w:rsidR="00FE2B35" w:rsidRPr="00CB2C31">
        <w:rPr>
          <w:lang w:val="en-US"/>
        </w:rPr>
        <w:t>UN</w:t>
      </w:r>
      <w:r w:rsidRPr="00CB2C31">
        <w:rPr>
          <w:lang w:val="en-US"/>
        </w:rPr>
        <w:t xml:space="preserve"> High Commissioner for Human Rights</w:t>
      </w:r>
      <w:r w:rsidR="005903E0">
        <w:rPr>
          <w:rStyle w:val="FootnoteReference"/>
          <w:lang w:val="en-US"/>
        </w:rPr>
        <w:footnoteReference w:id="32"/>
      </w:r>
      <w:r w:rsidR="005903E0">
        <w:rPr>
          <w:lang w:val="en-US"/>
        </w:rPr>
        <w:t xml:space="preserve"> has been echoed since by the Chairpersons of the treaty bodies during their Annual Meetings</w:t>
      </w:r>
      <w:r w:rsidR="005903E0">
        <w:rPr>
          <w:rStyle w:val="FootnoteReference"/>
          <w:lang w:val="en-US"/>
        </w:rPr>
        <w:footnoteReference w:id="33"/>
      </w:r>
      <w:r w:rsidR="005903E0">
        <w:rPr>
          <w:lang w:val="en-US"/>
        </w:rPr>
        <w:t xml:space="preserve"> and </w:t>
      </w:r>
      <w:r w:rsidRPr="00CB2C31">
        <w:rPr>
          <w:lang w:val="en-US"/>
        </w:rPr>
        <w:t xml:space="preserve">is now contained in </w:t>
      </w:r>
      <w:r w:rsidR="00FE2B35" w:rsidRPr="00CB2C31">
        <w:rPr>
          <w:lang w:val="en-US"/>
        </w:rPr>
        <w:t>UN</w:t>
      </w:r>
      <w:r w:rsidRPr="00CB2C31">
        <w:rPr>
          <w:lang w:val="en-US"/>
        </w:rPr>
        <w:t xml:space="preserve"> General Assembly Resolution</w:t>
      </w:r>
      <w:r w:rsidRPr="00CB2C31">
        <w:rPr>
          <w:rFonts w:eastAsia="Arial Unicode MS" w:cs="Arial Unicode MS"/>
          <w:lang w:val="en-US"/>
        </w:rPr>
        <w:t xml:space="preserve"> 68/268 (considered below).</w:t>
      </w:r>
      <w:r w:rsidRPr="00CB2C31">
        <w:rPr>
          <w:rStyle w:val="FootnoteReference"/>
          <w:rFonts w:eastAsia="Arial Unicode MS" w:cs="Arial Unicode MS"/>
          <w:lang w:val="en-US"/>
        </w:rPr>
        <w:footnoteReference w:id="34"/>
      </w:r>
      <w:r w:rsidRPr="00CB2C31">
        <w:rPr>
          <w:rFonts w:eastAsia="Arial Unicode MS" w:cs="Arial Unicode MS"/>
          <w:lang w:val="en-US"/>
        </w:rPr>
        <w:t xml:space="preserve"> </w:t>
      </w:r>
      <w:r w:rsidR="000B507A">
        <w:rPr>
          <w:rFonts w:eastAsia="Arial Unicode MS" w:cs="Arial Unicode MS"/>
          <w:lang w:val="en-US"/>
        </w:rPr>
        <w:t xml:space="preserve"> </w:t>
      </w:r>
      <w:r w:rsidRPr="00CB2C31">
        <w:rPr>
          <w:lang w:val="en-US"/>
        </w:rPr>
        <w:t xml:space="preserve">Other </w:t>
      </w:r>
      <w:r w:rsidR="00FE2B35" w:rsidRPr="00CB2C31">
        <w:rPr>
          <w:lang w:val="en-US"/>
        </w:rPr>
        <w:t>UN</w:t>
      </w:r>
      <w:r w:rsidRPr="00CB2C31">
        <w:rPr>
          <w:lang w:val="en-US"/>
        </w:rPr>
        <w:t xml:space="preserve"> treaty bodies have </w:t>
      </w:r>
      <w:r w:rsidR="00CF405A">
        <w:rPr>
          <w:lang w:val="en-US"/>
        </w:rPr>
        <w:t>followed,</w:t>
      </w:r>
      <w:r w:rsidRPr="00CB2C31">
        <w:rPr>
          <w:lang w:val="en-US"/>
        </w:rPr>
        <w:t xml:space="preserve"> particularly in recognizing the need for </w:t>
      </w:r>
      <w:r w:rsidR="00203E75" w:rsidRPr="00203E75">
        <w:rPr>
          <w:i/>
          <w:lang w:val="en-US"/>
        </w:rPr>
        <w:t>“</w:t>
      </w:r>
      <w:r w:rsidRPr="00CB2C31">
        <w:rPr>
          <w:i/>
          <w:lang w:val="en-US"/>
        </w:rPr>
        <w:t>gender balance</w:t>
      </w:r>
      <w:r w:rsidR="00203E75" w:rsidRPr="00203E75">
        <w:rPr>
          <w:i/>
          <w:lang w:val="en-US"/>
        </w:rPr>
        <w:t>”</w:t>
      </w:r>
      <w:r w:rsidRPr="00CB2C31">
        <w:rPr>
          <w:lang w:val="en-US"/>
        </w:rPr>
        <w:t xml:space="preserve"> in electing experts to their decision-making bodies.</w:t>
      </w:r>
      <w:r w:rsidRPr="00CB2C31">
        <w:rPr>
          <w:rStyle w:val="FootnoteReference"/>
          <w:lang w:val="en-US"/>
        </w:rPr>
        <w:footnoteReference w:id="35"/>
      </w:r>
      <w:r w:rsidR="00FA1A67" w:rsidRPr="00CB2C31">
        <w:rPr>
          <w:lang w:val="en-US"/>
        </w:rPr>
        <w:t xml:space="preserve"> </w:t>
      </w:r>
      <w:r w:rsidR="000B507A">
        <w:rPr>
          <w:lang w:val="en-US"/>
        </w:rPr>
        <w:t xml:space="preserve"> </w:t>
      </w:r>
      <w:r w:rsidR="006D44BB" w:rsidRPr="00CB2C31">
        <w:rPr>
          <w:lang w:val="en-US"/>
        </w:rPr>
        <w:t xml:space="preserve">International </w:t>
      </w:r>
      <w:r w:rsidRPr="00CB2C31">
        <w:rPr>
          <w:lang w:val="en-US"/>
        </w:rPr>
        <w:t xml:space="preserve">and regional </w:t>
      </w:r>
      <w:r w:rsidR="00236E78" w:rsidRPr="00CB2C31">
        <w:rPr>
          <w:lang w:val="en-US"/>
        </w:rPr>
        <w:t>organizations</w:t>
      </w:r>
      <w:r w:rsidR="006D44BB" w:rsidRPr="00CB2C31">
        <w:rPr>
          <w:lang w:val="en-US"/>
        </w:rPr>
        <w:t xml:space="preserve"> outside the UN</w:t>
      </w:r>
      <w:r w:rsidRPr="00CB2C31">
        <w:rPr>
          <w:lang w:val="en-US"/>
        </w:rPr>
        <w:t xml:space="preserve">, such as the </w:t>
      </w:r>
      <w:r w:rsidR="0074355F" w:rsidRPr="00CB2C31">
        <w:rPr>
          <w:lang w:val="en-US"/>
        </w:rPr>
        <w:t>ICC</w:t>
      </w:r>
      <w:r w:rsidR="0071351D" w:rsidRPr="00CB2C31">
        <w:rPr>
          <w:lang w:val="en-US"/>
        </w:rPr>
        <w:t>,</w:t>
      </w:r>
      <w:r w:rsidR="00B05A1F" w:rsidRPr="00CB2C31">
        <w:rPr>
          <w:rFonts w:eastAsia="Arial Unicode MS" w:cs="Arial Unicode MS"/>
          <w:lang w:val="en-US"/>
        </w:rPr>
        <w:t xml:space="preserve"> require State</w:t>
      </w:r>
      <w:r w:rsidRPr="00CB2C31">
        <w:rPr>
          <w:rFonts w:eastAsia="Arial Unicode MS" w:cs="Arial Unicode MS"/>
          <w:lang w:val="en-US"/>
        </w:rPr>
        <w:t xml:space="preserve"> </w:t>
      </w:r>
      <w:r w:rsidR="006D44BB" w:rsidRPr="00CB2C31">
        <w:rPr>
          <w:rFonts w:eastAsia="Arial Unicode MS" w:cs="Arial Unicode MS"/>
          <w:lang w:val="en-US"/>
        </w:rPr>
        <w:t xml:space="preserve">parties </w:t>
      </w:r>
      <w:r w:rsidRPr="00CB2C31">
        <w:rPr>
          <w:rFonts w:eastAsia="Arial Unicode MS" w:cs="Arial Unicode MS"/>
          <w:lang w:val="en-US"/>
        </w:rPr>
        <w:t xml:space="preserve">to account for similar factors when electing members to their respective </w:t>
      </w:r>
      <w:r w:rsidR="006D44BB" w:rsidRPr="00CB2C31">
        <w:rPr>
          <w:rFonts w:eastAsia="Arial Unicode MS" w:cs="Arial Unicode MS"/>
          <w:lang w:val="en-US"/>
        </w:rPr>
        <w:t xml:space="preserve">governing </w:t>
      </w:r>
      <w:r w:rsidRPr="00CB2C31">
        <w:rPr>
          <w:rFonts w:eastAsia="Arial Unicode MS" w:cs="Arial Unicode MS"/>
          <w:lang w:val="en-US"/>
        </w:rPr>
        <w:t xml:space="preserve">bodies. </w:t>
      </w:r>
    </w:p>
    <w:p w14:paraId="4620CB57" w14:textId="3CA974A3" w:rsidR="005628A3" w:rsidRPr="00CB2C31" w:rsidRDefault="005628A3" w:rsidP="00623C41">
      <w:pPr>
        <w:pStyle w:val="DoublePara"/>
        <w:rPr>
          <w:lang w:val="en-US"/>
        </w:rPr>
      </w:pPr>
      <w:r w:rsidRPr="00CB2C31">
        <w:rPr>
          <w:lang w:val="en-US"/>
        </w:rPr>
        <w:t xml:space="preserve">Following a comprehensive report prepared by </w:t>
      </w:r>
      <w:r w:rsidR="006D44BB" w:rsidRPr="00CB2C31">
        <w:rPr>
          <w:lang w:val="en-US"/>
        </w:rPr>
        <w:t xml:space="preserve">the </w:t>
      </w:r>
      <w:r w:rsidR="00FE2B35" w:rsidRPr="00CB2C31">
        <w:rPr>
          <w:lang w:val="en-US"/>
        </w:rPr>
        <w:t>UN</w:t>
      </w:r>
      <w:r w:rsidRPr="00CB2C31">
        <w:rPr>
          <w:lang w:val="en-US"/>
        </w:rPr>
        <w:t xml:space="preserve"> High Commissioner for Human Rights in 2012, the </w:t>
      </w:r>
      <w:r w:rsidR="00FE2B35" w:rsidRPr="00CB2C31">
        <w:rPr>
          <w:lang w:val="en-US"/>
        </w:rPr>
        <w:t>UN</w:t>
      </w:r>
      <w:r w:rsidRPr="00CB2C31">
        <w:rPr>
          <w:lang w:val="en-US"/>
        </w:rPr>
        <w:t xml:space="preserve"> General Assembly adopted Re</w:t>
      </w:r>
      <w:r w:rsidR="006D44BB" w:rsidRPr="00CB2C31">
        <w:rPr>
          <w:lang w:val="en-US"/>
        </w:rPr>
        <w:t>solution 68/268, inviting State parties</w:t>
      </w:r>
      <w:r w:rsidRPr="00CB2C31">
        <w:rPr>
          <w:lang w:val="en-US"/>
        </w:rPr>
        <w:t xml:space="preserve"> to:</w:t>
      </w:r>
    </w:p>
    <w:p w14:paraId="732598DA" w14:textId="347B2809" w:rsidR="005628A3" w:rsidRPr="00CB2C31" w:rsidRDefault="005628A3" w:rsidP="00623C41">
      <w:pPr>
        <w:pStyle w:val="BulletPara"/>
        <w:jc w:val="both"/>
      </w:pPr>
      <w:r w:rsidRPr="00CB2C31">
        <w:t xml:space="preserve">give </w:t>
      </w:r>
      <w:r w:rsidRPr="002E5273">
        <w:rPr>
          <w:b/>
        </w:rPr>
        <w:t>due consideration</w:t>
      </w:r>
      <w:r w:rsidRPr="00CB2C31">
        <w:t xml:space="preserve"> </w:t>
      </w:r>
      <w:r w:rsidR="00203E75" w:rsidRPr="00203E75">
        <w:rPr>
          <w:i/>
        </w:rPr>
        <w:t>“</w:t>
      </w:r>
      <w:r w:rsidRPr="00CB2C31">
        <w:t xml:space="preserve">to equitable geographical distribution, the representation of the different forms of civilization and the principal legal systems, </w:t>
      </w:r>
      <w:r w:rsidRPr="002E5273">
        <w:rPr>
          <w:b/>
        </w:rPr>
        <w:t>balanced gender representation</w:t>
      </w:r>
      <w:r w:rsidRPr="00CB2C31">
        <w:t xml:space="preserve"> and the participation of experts with disabilities in the membership of the human rights treaty bodies […]</w:t>
      </w:r>
      <w:r w:rsidR="00203E75" w:rsidRPr="00203E75">
        <w:rPr>
          <w:i/>
        </w:rPr>
        <w:t>”</w:t>
      </w:r>
      <w:r w:rsidRPr="00CB2C31">
        <w:t>;</w:t>
      </w:r>
      <w:r w:rsidRPr="00CB2C31">
        <w:rPr>
          <w:rStyle w:val="FootnoteReference"/>
        </w:rPr>
        <w:footnoteReference w:id="36"/>
      </w:r>
      <w:r w:rsidRPr="00CB2C31">
        <w:t xml:space="preserve"> and </w:t>
      </w:r>
    </w:p>
    <w:p w14:paraId="0465D1A5" w14:textId="77777777" w:rsidR="005628A3" w:rsidRPr="00CB2C31" w:rsidRDefault="005628A3" w:rsidP="00623C41">
      <w:pPr>
        <w:pStyle w:val="BulletPara"/>
        <w:jc w:val="both"/>
      </w:pPr>
      <w:r w:rsidRPr="00CB2C31">
        <w:t xml:space="preserve">include in the documentation prepared for electing </w:t>
      </w:r>
      <w:r w:rsidR="009A1E68" w:rsidRPr="00CB2C31">
        <w:t>t</w:t>
      </w:r>
      <w:r w:rsidRPr="00CB2C31">
        <w:t xml:space="preserve">reaty </w:t>
      </w:r>
      <w:r w:rsidR="009A1E68" w:rsidRPr="00CB2C31">
        <w:t>b</w:t>
      </w:r>
      <w:r w:rsidRPr="00CB2C31">
        <w:t>ody members at meetings of State parties an information</w:t>
      </w:r>
      <w:r w:rsidR="00B05A1F" w:rsidRPr="00CB2C31">
        <w:t>al</w:t>
      </w:r>
      <w:r w:rsidRPr="00CB2C31">
        <w:t xml:space="preserve"> note on current composition, addressing the balance in terms of geographical distribution and gender representation, professional background and different legal systems, as well as the tenure of current members.</w:t>
      </w:r>
      <w:r w:rsidRPr="00CB2C31">
        <w:rPr>
          <w:rStyle w:val="FootnoteReference"/>
        </w:rPr>
        <w:footnoteReference w:id="37"/>
      </w:r>
      <w:r w:rsidRPr="00CB2C31">
        <w:t xml:space="preserve"> </w:t>
      </w:r>
    </w:p>
    <w:p w14:paraId="51285087" w14:textId="5EA08334" w:rsidR="005628A3" w:rsidRPr="00CB2C31" w:rsidRDefault="005628A3" w:rsidP="002E5273">
      <w:pPr>
        <w:pStyle w:val="DoubleParaFlush"/>
        <w:ind w:firstLine="720"/>
        <w:rPr>
          <w:lang w:val="en-US"/>
        </w:rPr>
      </w:pPr>
      <w:r w:rsidRPr="00CB2C31">
        <w:rPr>
          <w:lang w:val="en-US"/>
        </w:rPr>
        <w:t xml:space="preserve">These recommendations were reinforced by the </w:t>
      </w:r>
      <w:r w:rsidR="00FE2B35" w:rsidRPr="00CB2C31">
        <w:rPr>
          <w:lang w:val="en-US"/>
        </w:rPr>
        <w:t>UN</w:t>
      </w:r>
      <w:r w:rsidRPr="00CB2C31">
        <w:rPr>
          <w:lang w:val="en-US"/>
        </w:rPr>
        <w:t xml:space="preserve"> Secretary</w:t>
      </w:r>
      <w:r w:rsidR="00127CD7">
        <w:rPr>
          <w:lang w:val="en-US"/>
        </w:rPr>
        <w:t>-</w:t>
      </w:r>
      <w:r w:rsidRPr="00CB2C31">
        <w:rPr>
          <w:lang w:val="en-US"/>
        </w:rPr>
        <w:t>General in August 2015</w:t>
      </w:r>
      <w:r w:rsidR="006F673D">
        <w:rPr>
          <w:lang w:val="en-US"/>
        </w:rPr>
        <w:t xml:space="preserve"> and are to be reviewed and hopefully supplemented in the forthcoming treaty body review to be carried out by the UN in 2020</w:t>
      </w:r>
      <w:r w:rsidRPr="00CB2C31">
        <w:rPr>
          <w:lang w:val="en-US"/>
        </w:rPr>
        <w:t>.</w:t>
      </w:r>
      <w:r w:rsidRPr="00CB2C31">
        <w:rPr>
          <w:rStyle w:val="FootnoteReference"/>
          <w:lang w:val="en-US"/>
        </w:rPr>
        <w:footnoteReference w:id="38"/>
      </w:r>
      <w:r w:rsidRPr="00CB2C31">
        <w:rPr>
          <w:lang w:val="en-US"/>
        </w:rPr>
        <w:t xml:space="preserve"> </w:t>
      </w:r>
      <w:r w:rsidR="000B507A">
        <w:rPr>
          <w:lang w:val="en-US"/>
        </w:rPr>
        <w:t xml:space="preserve"> </w:t>
      </w:r>
      <w:r w:rsidR="006B449C">
        <w:rPr>
          <w:b/>
          <w:i/>
          <w:lang w:val="en-US"/>
        </w:rPr>
        <w:t xml:space="preserve"> </w:t>
      </w:r>
    </w:p>
    <w:p w14:paraId="12A61D9E" w14:textId="77777777" w:rsidR="005628A3" w:rsidRPr="00CB2C31" w:rsidRDefault="005628A3" w:rsidP="00623C41">
      <w:pPr>
        <w:pStyle w:val="DoublePara"/>
        <w:rPr>
          <w:lang w:val="en-US"/>
        </w:rPr>
      </w:pPr>
      <w:r w:rsidRPr="00CB2C31">
        <w:rPr>
          <w:lang w:val="en-US"/>
        </w:rPr>
        <w:t xml:space="preserve">Resolution 68/268 </w:t>
      </w:r>
      <w:r w:rsidR="006D44BB" w:rsidRPr="00CB2C31">
        <w:rPr>
          <w:lang w:val="en-US"/>
        </w:rPr>
        <w:t>also established</w:t>
      </w:r>
      <w:r w:rsidRPr="00CB2C31">
        <w:rPr>
          <w:lang w:val="en-US"/>
        </w:rPr>
        <w:t xml:space="preserve"> </w:t>
      </w:r>
      <w:r w:rsidRPr="00CB2C31">
        <w:rPr>
          <w:lang w:val="en-US" w:eastAsia="en-GB"/>
        </w:rPr>
        <w:t>two</w:t>
      </w:r>
      <w:r w:rsidRPr="00CB2C31">
        <w:rPr>
          <w:lang w:val="en-US"/>
        </w:rPr>
        <w:t xml:space="preserve"> review mechanisms to strengthen treaty body governance</w:t>
      </w:r>
      <w:r w:rsidR="00F42D6A" w:rsidRPr="00CB2C31">
        <w:rPr>
          <w:lang w:val="en-US"/>
        </w:rPr>
        <w:t xml:space="preserve">.  </w:t>
      </w:r>
      <w:r w:rsidRPr="00CB2C31">
        <w:rPr>
          <w:i/>
          <w:lang w:val="en-US"/>
        </w:rPr>
        <w:t>First</w:t>
      </w:r>
      <w:r w:rsidRPr="00CB2C31">
        <w:rPr>
          <w:lang w:val="en-US"/>
        </w:rPr>
        <w:t xml:space="preserve">, the Resolution requests the </w:t>
      </w:r>
      <w:r w:rsidR="00FE2B35" w:rsidRPr="00CB2C31">
        <w:rPr>
          <w:lang w:val="en-US"/>
        </w:rPr>
        <w:t>UN</w:t>
      </w:r>
      <w:r w:rsidRPr="00CB2C31">
        <w:rPr>
          <w:lang w:val="en-US"/>
        </w:rPr>
        <w:t xml:space="preserve"> Se</w:t>
      </w:r>
      <w:r w:rsidR="003703DB" w:rsidRPr="00CB2C31">
        <w:rPr>
          <w:lang w:val="en-US"/>
        </w:rPr>
        <w:t>cretary-General to submit a biennial</w:t>
      </w:r>
      <w:r w:rsidRPr="00CB2C31">
        <w:rPr>
          <w:lang w:val="en-US"/>
        </w:rPr>
        <w:t xml:space="preserve"> report to the General Assembly on the state of the </w:t>
      </w:r>
      <w:r w:rsidR="00FE2B35" w:rsidRPr="00CB2C31">
        <w:rPr>
          <w:lang w:val="en-US"/>
        </w:rPr>
        <w:t>UN</w:t>
      </w:r>
      <w:r w:rsidRPr="00CB2C31">
        <w:rPr>
          <w:lang w:val="en-US"/>
        </w:rPr>
        <w:t xml:space="preserve"> treaty body system</w:t>
      </w:r>
      <w:r w:rsidR="00F42D6A" w:rsidRPr="00CB2C31">
        <w:rPr>
          <w:lang w:val="en-US"/>
        </w:rPr>
        <w:t xml:space="preserve">.  </w:t>
      </w:r>
      <w:r w:rsidRPr="00CB2C31">
        <w:rPr>
          <w:i/>
          <w:lang w:val="en-US"/>
        </w:rPr>
        <w:t>Second</w:t>
      </w:r>
      <w:r w:rsidRPr="00CB2C31">
        <w:rPr>
          <w:lang w:val="en-US"/>
        </w:rPr>
        <w:t xml:space="preserve">, </w:t>
      </w:r>
      <w:r w:rsidR="000D5BCF" w:rsidRPr="00CB2C31">
        <w:rPr>
          <w:lang w:val="en-US"/>
        </w:rPr>
        <w:t xml:space="preserve">it encourages </w:t>
      </w:r>
      <w:r w:rsidRPr="00CB2C31">
        <w:rPr>
          <w:lang w:val="en-US"/>
        </w:rPr>
        <w:t>an overall review of the effectiveness of the measures taken pursuant to Resolution 68/268</w:t>
      </w:r>
      <w:r w:rsidR="006D44BB" w:rsidRPr="00CB2C31">
        <w:rPr>
          <w:lang w:val="en-US"/>
        </w:rPr>
        <w:t>, which</w:t>
      </w:r>
      <w:r w:rsidRPr="00CB2C31">
        <w:rPr>
          <w:lang w:val="en-US"/>
        </w:rPr>
        <w:t xml:space="preserve"> must take place no later than 2020</w:t>
      </w:r>
      <w:r w:rsidR="00F42D6A" w:rsidRPr="00CB2C31">
        <w:rPr>
          <w:lang w:val="en-US"/>
        </w:rPr>
        <w:t xml:space="preserve">.  </w:t>
      </w:r>
      <w:r w:rsidR="0074355F" w:rsidRPr="00CB2C31">
        <w:rPr>
          <w:lang w:val="en-US"/>
        </w:rPr>
        <w:t xml:space="preserve">Resolution 73162, adopted on December </w:t>
      </w:r>
      <w:r w:rsidR="008C5677" w:rsidRPr="00CB2C31">
        <w:rPr>
          <w:lang w:val="en-US"/>
        </w:rPr>
        <w:t xml:space="preserve">17, </w:t>
      </w:r>
      <w:r w:rsidR="0074355F" w:rsidRPr="00CB2C31">
        <w:rPr>
          <w:lang w:val="en-US"/>
        </w:rPr>
        <w:t xml:space="preserve">2018, subsequently provided an update on the position, requesting that the third </w:t>
      </w:r>
      <w:r w:rsidR="008C5677" w:rsidRPr="00CB2C31">
        <w:rPr>
          <w:lang w:val="en-US"/>
        </w:rPr>
        <w:t xml:space="preserve">biennial </w:t>
      </w:r>
      <w:r w:rsidR="0074355F" w:rsidRPr="00CB2C31">
        <w:rPr>
          <w:lang w:val="en-US"/>
        </w:rPr>
        <w:t>report (two previous reports were submitted in 2016 and 2018) should be submitted in January 2020, in advance of the 2020 review of the treaty body system, which sh</w:t>
      </w:r>
      <w:r w:rsidR="00312AD2" w:rsidRPr="00CB2C31">
        <w:rPr>
          <w:lang w:val="en-US"/>
        </w:rPr>
        <w:t xml:space="preserve">ould take place no later than </w:t>
      </w:r>
      <w:r w:rsidR="0074355F" w:rsidRPr="00CB2C31">
        <w:rPr>
          <w:lang w:val="en-US"/>
        </w:rPr>
        <w:t xml:space="preserve">April </w:t>
      </w:r>
      <w:r w:rsidR="00312AD2" w:rsidRPr="00CB2C31">
        <w:rPr>
          <w:lang w:val="en-US"/>
        </w:rPr>
        <w:t xml:space="preserve">9, </w:t>
      </w:r>
      <w:r w:rsidR="0074355F" w:rsidRPr="00CB2C31">
        <w:rPr>
          <w:lang w:val="en-US"/>
        </w:rPr>
        <w:t>2020.</w:t>
      </w:r>
    </w:p>
    <w:p w14:paraId="09CAF052" w14:textId="7FF96897" w:rsidR="005628A3" w:rsidRPr="00CB2C31" w:rsidRDefault="005628A3" w:rsidP="00623C41">
      <w:pPr>
        <w:pStyle w:val="DoublePara"/>
        <w:rPr>
          <w:lang w:val="en-US"/>
        </w:rPr>
      </w:pPr>
      <w:r w:rsidRPr="00CB2C31">
        <w:rPr>
          <w:lang w:val="en-US"/>
        </w:rPr>
        <w:t xml:space="preserve">The first report of the Secretary-General </w:t>
      </w:r>
      <w:r w:rsidR="006D44BB" w:rsidRPr="00CB2C31">
        <w:rPr>
          <w:lang w:val="en-US"/>
        </w:rPr>
        <w:t>published in 2016 highlighted</w:t>
      </w:r>
      <w:r w:rsidRPr="00CB2C31">
        <w:rPr>
          <w:lang w:val="en-US"/>
        </w:rPr>
        <w:t xml:space="preserve"> several governance problems; notably, gender imbalance and inequality in the geographic distribution of treaty body </w:t>
      </w:r>
      <w:r w:rsidRPr="00CB2C31">
        <w:rPr>
          <w:lang w:val="en-US" w:eastAsia="en-GB"/>
        </w:rPr>
        <w:t>experts</w:t>
      </w:r>
      <w:r w:rsidR="00F42D6A" w:rsidRPr="00CB2C31">
        <w:rPr>
          <w:lang w:val="en-US"/>
        </w:rPr>
        <w:t xml:space="preserve">.  </w:t>
      </w:r>
      <w:r w:rsidRPr="00CB2C31">
        <w:rPr>
          <w:lang w:val="en-US"/>
        </w:rPr>
        <w:t>The report acknowledge</w:t>
      </w:r>
      <w:r w:rsidR="00A1389F" w:rsidRPr="00CB2C31">
        <w:rPr>
          <w:lang w:val="en-US"/>
        </w:rPr>
        <w:t>d</w:t>
      </w:r>
      <w:r w:rsidRPr="00CB2C31">
        <w:rPr>
          <w:lang w:val="en-US"/>
        </w:rPr>
        <w:t xml:space="preserve"> that treaty body experts </w:t>
      </w:r>
      <w:r w:rsidR="00A1389F" w:rsidRPr="00CB2C31">
        <w:rPr>
          <w:lang w:val="en-US"/>
        </w:rPr>
        <w:t xml:space="preserve">were </w:t>
      </w:r>
      <w:r w:rsidRPr="00CB2C31">
        <w:rPr>
          <w:lang w:val="en-US"/>
        </w:rPr>
        <w:t>predominantly male.</w:t>
      </w:r>
      <w:r w:rsidRPr="00CB2C31">
        <w:rPr>
          <w:rStyle w:val="FootnoteReference"/>
          <w:lang w:val="en-US"/>
        </w:rPr>
        <w:footnoteReference w:id="39"/>
      </w:r>
      <w:r w:rsidR="006D44BB" w:rsidRPr="00CB2C31">
        <w:rPr>
          <w:lang w:val="en-US"/>
        </w:rPr>
        <w:t xml:space="preserve"> </w:t>
      </w:r>
      <w:r w:rsidR="000B507A">
        <w:rPr>
          <w:lang w:val="en-US"/>
        </w:rPr>
        <w:t xml:space="preserve"> </w:t>
      </w:r>
      <w:r w:rsidR="006D44BB" w:rsidRPr="00CB2C31">
        <w:rPr>
          <w:lang w:val="en-US"/>
        </w:rPr>
        <w:t>Although it has been known since 2016,</w:t>
      </w:r>
      <w:r w:rsidRPr="00CB2C31">
        <w:rPr>
          <w:lang w:val="en-US"/>
        </w:rPr>
        <w:t xml:space="preserve"> many of these </w:t>
      </w:r>
      <w:r w:rsidR="00907C35">
        <w:rPr>
          <w:lang w:val="en-US"/>
        </w:rPr>
        <w:t>inequalities (i.e.</w:t>
      </w:r>
      <w:r w:rsidR="00127CD7">
        <w:rPr>
          <w:lang w:val="en-US"/>
        </w:rPr>
        <w:t>,</w:t>
      </w:r>
      <w:r w:rsidR="00907C35">
        <w:rPr>
          <w:lang w:val="en-US"/>
        </w:rPr>
        <w:t xml:space="preserve"> lack of </w:t>
      </w:r>
      <w:r w:rsidR="00CA6416">
        <w:rPr>
          <w:lang w:val="en-US"/>
        </w:rPr>
        <w:t xml:space="preserve">gender </w:t>
      </w:r>
      <w:r w:rsidR="00907C35">
        <w:rPr>
          <w:lang w:val="en-US"/>
        </w:rPr>
        <w:t xml:space="preserve">balance) </w:t>
      </w:r>
      <w:r w:rsidRPr="00CB2C31">
        <w:rPr>
          <w:lang w:val="en-US"/>
        </w:rPr>
        <w:t>persist</w:t>
      </w:r>
      <w:r w:rsidR="00F42D6A" w:rsidRPr="00CB2C31">
        <w:rPr>
          <w:lang w:val="en-US"/>
        </w:rPr>
        <w:t xml:space="preserve">.  </w:t>
      </w:r>
      <w:r w:rsidR="0074355F" w:rsidRPr="00CB2C31">
        <w:rPr>
          <w:lang w:val="en-US"/>
        </w:rPr>
        <w:t>In particular, the second report of the Secretary-General published in 2018 noted that very little progress was made be</w:t>
      </w:r>
      <w:r w:rsidR="00182706" w:rsidRPr="00CB2C31">
        <w:rPr>
          <w:lang w:val="en-US"/>
        </w:rPr>
        <w:t>t</w:t>
      </w:r>
      <w:r w:rsidR="0074355F" w:rsidRPr="00CB2C31">
        <w:rPr>
          <w:lang w:val="en-US"/>
        </w:rPr>
        <w:t xml:space="preserve">ween the publication of the first and second reports in relation to improving the gender </w:t>
      </w:r>
      <w:r w:rsidR="00182706" w:rsidRPr="00CB2C31">
        <w:rPr>
          <w:lang w:val="en-US"/>
        </w:rPr>
        <w:t>c</w:t>
      </w:r>
      <w:r w:rsidR="0074355F" w:rsidRPr="00CB2C31">
        <w:rPr>
          <w:lang w:val="en-US"/>
        </w:rPr>
        <w:t>omposition of treaty bodies.</w:t>
      </w:r>
      <w:r w:rsidR="00182706" w:rsidRPr="00CB2C31">
        <w:rPr>
          <w:rStyle w:val="FootnoteReference"/>
          <w:lang w:val="en-US"/>
        </w:rPr>
        <w:footnoteReference w:id="40"/>
      </w:r>
      <w:r w:rsidR="0074355F" w:rsidRPr="00CB2C31">
        <w:rPr>
          <w:lang w:val="en-US"/>
        </w:rPr>
        <w:t xml:space="preserve"> </w:t>
      </w:r>
      <w:r w:rsidR="000B507A">
        <w:rPr>
          <w:lang w:val="en-US"/>
        </w:rPr>
        <w:t xml:space="preserve"> </w:t>
      </w:r>
      <w:r w:rsidR="00182C78">
        <w:rPr>
          <w:lang w:val="en-US"/>
        </w:rPr>
        <w:t>An alliance of</w:t>
      </w:r>
      <w:r w:rsidRPr="00CB2C31">
        <w:rPr>
          <w:lang w:val="en-US"/>
        </w:rPr>
        <w:t xml:space="preserve"> not-for-profit organizations pointed out that </w:t>
      </w:r>
      <w:r w:rsidR="009A1E68" w:rsidRPr="00CB2C31">
        <w:rPr>
          <w:lang w:val="en-US"/>
        </w:rPr>
        <w:t xml:space="preserve">in </w:t>
      </w:r>
      <w:r w:rsidR="00CC2020" w:rsidRPr="00CB2C31">
        <w:rPr>
          <w:lang w:val="en-US"/>
        </w:rPr>
        <w:t xml:space="preserve">the </w:t>
      </w:r>
      <w:r w:rsidR="009A1E68" w:rsidRPr="00CB2C31">
        <w:rPr>
          <w:lang w:val="en-US"/>
        </w:rPr>
        <w:t xml:space="preserve">June 2016 </w:t>
      </w:r>
      <w:r w:rsidRPr="00CB2C31">
        <w:rPr>
          <w:lang w:val="en-US"/>
        </w:rPr>
        <w:t>election</w:t>
      </w:r>
      <w:r w:rsidR="009A1E68" w:rsidRPr="00CB2C31">
        <w:rPr>
          <w:lang w:val="en-US"/>
        </w:rPr>
        <w:t>s</w:t>
      </w:r>
      <w:r w:rsidRPr="00CB2C31">
        <w:rPr>
          <w:lang w:val="en-US"/>
        </w:rPr>
        <w:t xml:space="preserve"> for the CRPD Committee, only one woman was electe</w:t>
      </w:r>
      <w:r w:rsidR="00312AD2" w:rsidRPr="00CB2C31">
        <w:rPr>
          <w:lang w:val="en-US"/>
        </w:rPr>
        <w:t xml:space="preserve">d among 17 men, starting from </w:t>
      </w:r>
      <w:r w:rsidRPr="00CB2C31">
        <w:rPr>
          <w:lang w:val="en-US"/>
        </w:rPr>
        <w:t xml:space="preserve">January </w:t>
      </w:r>
      <w:r w:rsidR="00312AD2" w:rsidRPr="00CB2C31">
        <w:rPr>
          <w:lang w:val="en-US"/>
        </w:rPr>
        <w:t xml:space="preserve">1, </w:t>
      </w:r>
      <w:r w:rsidRPr="00CB2C31">
        <w:rPr>
          <w:lang w:val="en-US"/>
        </w:rPr>
        <w:t>2017.</w:t>
      </w:r>
      <w:r w:rsidRPr="00CB2C31">
        <w:rPr>
          <w:rStyle w:val="FootnoteReference"/>
          <w:lang w:val="en-US"/>
        </w:rPr>
        <w:footnoteReference w:id="41"/>
      </w:r>
      <w:r w:rsidRPr="00CB2C31">
        <w:rPr>
          <w:lang w:val="en-US"/>
        </w:rPr>
        <w:t xml:space="preserve"> </w:t>
      </w:r>
      <w:r w:rsidR="000B507A">
        <w:rPr>
          <w:lang w:val="en-US"/>
        </w:rPr>
        <w:t xml:space="preserve"> </w:t>
      </w:r>
      <w:r w:rsidRPr="00CB2C31">
        <w:rPr>
          <w:lang w:val="en-US"/>
        </w:rPr>
        <w:t xml:space="preserve">Following up on criticisms like these, the </w:t>
      </w:r>
      <w:r w:rsidRPr="00907C35">
        <w:rPr>
          <w:i/>
          <w:lang w:val="en-US"/>
        </w:rPr>
        <w:t>Académie de Droit International Humanitaire et de Droits Humains à Genève</w:t>
      </w:r>
      <w:r w:rsidR="00870996" w:rsidRPr="00CB2C31">
        <w:rPr>
          <w:lang w:val="en-US"/>
        </w:rPr>
        <w:t xml:space="preserve"> </w:t>
      </w:r>
      <w:r w:rsidRPr="00CB2C31">
        <w:rPr>
          <w:lang w:val="en-US"/>
        </w:rPr>
        <w:t>recently recommended four areas for improvement:</w:t>
      </w:r>
      <w:r w:rsidRPr="00CB2C31">
        <w:rPr>
          <w:rStyle w:val="FootnoteReference"/>
          <w:lang w:val="en-US"/>
        </w:rPr>
        <w:footnoteReference w:id="42"/>
      </w:r>
      <w:r w:rsidRPr="00CB2C31">
        <w:rPr>
          <w:lang w:val="en-US"/>
        </w:rPr>
        <w:t xml:space="preserve"> </w:t>
      </w:r>
    </w:p>
    <w:p w14:paraId="49723CED" w14:textId="77777777" w:rsidR="005628A3" w:rsidRPr="00CB2C31" w:rsidRDefault="005628A3" w:rsidP="00623C41">
      <w:pPr>
        <w:pStyle w:val="LegalCombo5"/>
      </w:pPr>
      <w:r w:rsidRPr="00CB2C31">
        <w:t xml:space="preserve">improve gender balance among elected treaty body members (only </w:t>
      </w:r>
      <w:r w:rsidR="00A1389F" w:rsidRPr="00CB2C31">
        <w:t>three</w:t>
      </w:r>
      <w:r w:rsidRPr="00CB2C31">
        <w:t xml:space="preserve"> out of </w:t>
      </w:r>
      <w:r w:rsidR="00A1389F" w:rsidRPr="00CB2C31">
        <w:t>ten</w:t>
      </w:r>
      <w:r w:rsidRPr="00CB2C31">
        <w:t xml:space="preserve"> bodi</w:t>
      </w:r>
      <w:r w:rsidR="006D44BB" w:rsidRPr="00CB2C31">
        <w:t>es are close to gender balance</w:t>
      </w:r>
      <w:r w:rsidR="00B05A1F" w:rsidRPr="00CB2C31">
        <w:t>)</w:t>
      </w:r>
      <w:r w:rsidRPr="00CB2C31">
        <w:t>;</w:t>
      </w:r>
    </w:p>
    <w:p w14:paraId="3E982059" w14:textId="02117B82" w:rsidR="005628A3" w:rsidRPr="00CB2C31" w:rsidRDefault="005628A3" w:rsidP="00623C41">
      <w:pPr>
        <w:pStyle w:val="LegalCombo5"/>
      </w:pPr>
      <w:r w:rsidRPr="00CB2C31">
        <w:t>improve equality of geographic representation among treaty body members (</w:t>
      </w:r>
      <w:r w:rsidRPr="00F90097">
        <w:t>e.g.</w:t>
      </w:r>
      <w:r w:rsidR="00127CD7">
        <w:t>,</w:t>
      </w:r>
      <w:r w:rsidRPr="00CB2C31">
        <w:t xml:space="preserve"> Western Europe is over-represented);</w:t>
      </w:r>
    </w:p>
    <w:p w14:paraId="6D1DBE69" w14:textId="73BBE4D1" w:rsidR="005628A3" w:rsidRPr="00CB2C31" w:rsidRDefault="005628A3" w:rsidP="00623C41">
      <w:pPr>
        <w:pStyle w:val="LegalCombo5"/>
      </w:pPr>
      <w:r w:rsidRPr="00CB2C31">
        <w:t>encourage less prevalent (</w:t>
      </w:r>
      <w:r w:rsidRPr="00F90097">
        <w:t>e.g.</w:t>
      </w:r>
      <w:r w:rsidR="00127CD7">
        <w:t>,</w:t>
      </w:r>
      <w:r w:rsidRPr="00CB2C31">
        <w:t xml:space="preserve"> non-legal) subject-matter expertise for treaty body members; and </w:t>
      </w:r>
    </w:p>
    <w:p w14:paraId="291EB84F" w14:textId="0A4627C8" w:rsidR="005628A3" w:rsidRPr="00CB2C31" w:rsidRDefault="005628A3" w:rsidP="00623C41">
      <w:pPr>
        <w:pStyle w:val="LegalCombo5"/>
      </w:pPr>
      <w:r w:rsidRPr="00CB2C31">
        <w:t>encourage election of treaty body members from less prevalent national backgrounds (</w:t>
      </w:r>
      <w:r w:rsidRPr="00F90097">
        <w:t>e.g.</w:t>
      </w:r>
      <w:r w:rsidR="00127CD7">
        <w:t>,</w:t>
      </w:r>
      <w:r w:rsidRPr="00CB2C31">
        <w:t xml:space="preserve"> members with national executive / political experience are over-represented</w:t>
      </w:r>
      <w:r w:rsidR="00B05A1F" w:rsidRPr="00CB2C31">
        <w:t xml:space="preserve">: </w:t>
      </w:r>
      <w:r w:rsidRPr="00CB2C31">
        <w:t>44% on average).</w:t>
      </w:r>
    </w:p>
    <w:p w14:paraId="1A917369" w14:textId="77777777" w:rsidR="005628A3" w:rsidRPr="00CB2C31" w:rsidRDefault="005628A3" w:rsidP="00623C41">
      <w:pPr>
        <w:pStyle w:val="DoublePara"/>
        <w:rPr>
          <w:lang w:val="en-US"/>
        </w:rPr>
      </w:pPr>
      <w:r w:rsidRPr="00CB2C31">
        <w:rPr>
          <w:lang w:val="en-US"/>
        </w:rPr>
        <w:t>Inter-American human rights bodies have been similarly encoura</w:t>
      </w:r>
      <w:r w:rsidR="00B53B4B">
        <w:rPr>
          <w:lang w:val="en-US"/>
        </w:rPr>
        <w:t>ged to consider the need for gender diversity</w:t>
      </w:r>
      <w:r w:rsidRPr="00CB2C31">
        <w:rPr>
          <w:lang w:val="en-US"/>
        </w:rPr>
        <w:t xml:space="preserve"> on the </w:t>
      </w:r>
      <w:r w:rsidR="00A1389F" w:rsidRPr="00CB2C31">
        <w:rPr>
          <w:lang w:val="en-US"/>
        </w:rPr>
        <w:t>IACtHR</w:t>
      </w:r>
      <w:r w:rsidRPr="00CB2C31">
        <w:rPr>
          <w:lang w:val="en-US"/>
        </w:rPr>
        <w:t xml:space="preserve"> and </w:t>
      </w:r>
      <w:r w:rsidR="00A1389F" w:rsidRPr="00CB2C31">
        <w:rPr>
          <w:lang w:val="en-US"/>
        </w:rPr>
        <w:t>IACHR</w:t>
      </w:r>
      <w:r w:rsidRPr="00CB2C31">
        <w:rPr>
          <w:lang w:val="en-US"/>
        </w:rPr>
        <w:t>.</w:t>
      </w:r>
      <w:r w:rsidRPr="00CB2C31">
        <w:rPr>
          <w:rStyle w:val="FootnoteReference"/>
          <w:lang w:val="en-US"/>
        </w:rPr>
        <w:footnoteReference w:id="43"/>
      </w:r>
      <w:r w:rsidRPr="00CB2C31">
        <w:rPr>
          <w:lang w:val="en-US"/>
        </w:rPr>
        <w:t xml:space="preserve"> </w:t>
      </w:r>
    </w:p>
    <w:p w14:paraId="59054C46" w14:textId="77777777" w:rsidR="00743B8C" w:rsidRPr="00CB2C31" w:rsidRDefault="006D44BB" w:rsidP="00623C41">
      <w:pPr>
        <w:pStyle w:val="DoublePara"/>
        <w:rPr>
          <w:lang w:val="en-US"/>
        </w:rPr>
      </w:pPr>
      <w:r w:rsidRPr="00CB2C31">
        <w:rPr>
          <w:lang w:val="en-US"/>
        </w:rPr>
        <w:t>Again, t</w:t>
      </w:r>
      <w:r w:rsidR="00B05A1F" w:rsidRPr="00CB2C31">
        <w:rPr>
          <w:lang w:val="en-US"/>
        </w:rPr>
        <w:t>he ICC</w:t>
      </w:r>
      <w:r w:rsidR="00743B8C" w:rsidRPr="00CB2C31">
        <w:rPr>
          <w:lang w:val="en-US"/>
        </w:rPr>
        <w:t xml:space="preserve"> </w:t>
      </w:r>
      <w:r w:rsidRPr="00CB2C31">
        <w:rPr>
          <w:lang w:val="en-US"/>
        </w:rPr>
        <w:t>stands out for its commitment to gender diversity at the election level</w:t>
      </w:r>
      <w:r w:rsidR="00F42D6A" w:rsidRPr="00CB2C31">
        <w:rPr>
          <w:lang w:val="en-US"/>
        </w:rPr>
        <w:t xml:space="preserve">.  </w:t>
      </w:r>
      <w:r w:rsidRPr="00CB2C31">
        <w:rPr>
          <w:lang w:val="en-US"/>
        </w:rPr>
        <w:t>I</w:t>
      </w:r>
      <w:r w:rsidR="00743B8C" w:rsidRPr="00CB2C31">
        <w:rPr>
          <w:lang w:val="en-US"/>
        </w:rPr>
        <w:t>t sets out minimum voting requirements to ensure gender diversity</w:t>
      </w:r>
      <w:r w:rsidR="00F42D6A" w:rsidRPr="00CB2C31">
        <w:rPr>
          <w:lang w:val="en-US"/>
        </w:rPr>
        <w:t xml:space="preserve">.  </w:t>
      </w:r>
      <w:r w:rsidR="0071351D" w:rsidRPr="00CB2C31">
        <w:rPr>
          <w:lang w:val="en-US"/>
        </w:rPr>
        <w:t xml:space="preserve">For </w:t>
      </w:r>
      <w:r w:rsidRPr="00CB2C31">
        <w:rPr>
          <w:lang w:val="en-US"/>
        </w:rPr>
        <w:t>example</w:t>
      </w:r>
      <w:r w:rsidR="0071351D" w:rsidRPr="00CB2C31">
        <w:rPr>
          <w:lang w:val="en-US"/>
        </w:rPr>
        <w:t>,</w:t>
      </w:r>
      <w:r w:rsidR="00743B8C" w:rsidRPr="00CB2C31">
        <w:rPr>
          <w:lang w:val="en-US"/>
        </w:rPr>
        <w:t xml:space="preserve"> </w:t>
      </w:r>
      <w:r w:rsidRPr="00CB2C31">
        <w:rPr>
          <w:lang w:val="en-US"/>
        </w:rPr>
        <w:t xml:space="preserve">during </w:t>
      </w:r>
      <w:r w:rsidR="00743B8C" w:rsidRPr="00CB2C31">
        <w:rPr>
          <w:lang w:val="en-US"/>
        </w:rPr>
        <w:t xml:space="preserve">the 2003 </w:t>
      </w:r>
      <w:r w:rsidR="00743B8C" w:rsidRPr="00CB2C31">
        <w:rPr>
          <w:lang w:val="en-US" w:eastAsia="en-GB"/>
        </w:rPr>
        <w:t>elections</w:t>
      </w:r>
      <w:r w:rsidR="00743B8C" w:rsidRPr="00CB2C31">
        <w:rPr>
          <w:lang w:val="en-US"/>
        </w:rPr>
        <w:t xml:space="preserve">, the minimum voting requirements were that each State </w:t>
      </w:r>
      <w:r w:rsidRPr="00CB2C31">
        <w:rPr>
          <w:lang w:val="en-US"/>
        </w:rPr>
        <w:t xml:space="preserve">party </w:t>
      </w:r>
      <w:r w:rsidR="00743B8C" w:rsidRPr="00CB2C31">
        <w:rPr>
          <w:lang w:val="en-US"/>
        </w:rPr>
        <w:t>had to vote for at least six women and at least six men</w:t>
      </w:r>
      <w:r w:rsidR="00B05A1F" w:rsidRPr="00CB2C31">
        <w:rPr>
          <w:lang w:val="en-US"/>
        </w:rPr>
        <w:t>,</w:t>
      </w:r>
      <w:r w:rsidR="00743B8C" w:rsidRPr="00CB2C31">
        <w:rPr>
          <w:lang w:val="en-US"/>
        </w:rPr>
        <w:t xml:space="preserve"> provided that the number of candidates from each gender is greater than </w:t>
      </w:r>
      <w:r w:rsidR="00A1389F" w:rsidRPr="00CB2C31">
        <w:rPr>
          <w:lang w:val="en-US"/>
        </w:rPr>
        <w:t>ten</w:t>
      </w:r>
      <w:r w:rsidR="00F42D6A" w:rsidRPr="00CB2C31">
        <w:rPr>
          <w:lang w:val="en-US"/>
        </w:rPr>
        <w:t xml:space="preserve">.  </w:t>
      </w:r>
      <w:r w:rsidR="00743B8C" w:rsidRPr="00CB2C31">
        <w:rPr>
          <w:lang w:val="en-US"/>
        </w:rPr>
        <w:t>The minimum voting requirements apply to all areas of diversity (geographic, gender and expertise) and are applied to the first four rounds of voting.</w:t>
      </w:r>
      <w:r w:rsidR="00743B8C" w:rsidRPr="00CB2C31">
        <w:rPr>
          <w:rStyle w:val="FootnoteReference"/>
          <w:rFonts w:cstheme="minorHAnsi"/>
          <w:lang w:val="en-US"/>
        </w:rPr>
        <w:footnoteReference w:id="44"/>
      </w:r>
    </w:p>
    <w:p w14:paraId="3B4BFE0F" w14:textId="67B63DB0" w:rsidR="00743B8C" w:rsidRPr="00CB2C31" w:rsidRDefault="00743B8C" w:rsidP="00623C41">
      <w:pPr>
        <w:pStyle w:val="DoublePara"/>
        <w:rPr>
          <w:lang w:val="en-US"/>
        </w:rPr>
      </w:pPr>
      <w:r w:rsidRPr="00CB2C31">
        <w:rPr>
          <w:lang w:val="en-US"/>
        </w:rPr>
        <w:t>This combined nomination and election focus on gender diversity, as well as the vocal support by the ICC, has resulted in the ICC</w:t>
      </w:r>
      <w:r w:rsidR="00593F1F">
        <w:rPr>
          <w:lang w:val="en-US"/>
        </w:rPr>
        <w:t>’</w:t>
      </w:r>
      <w:r w:rsidRPr="00CB2C31">
        <w:rPr>
          <w:lang w:val="en-US"/>
        </w:rPr>
        <w:t>s success</w:t>
      </w:r>
      <w:r w:rsidR="006D44BB" w:rsidRPr="00CB2C31">
        <w:rPr>
          <w:lang w:val="en-US"/>
        </w:rPr>
        <w:t xml:space="preserve"> with gender balance</w:t>
      </w:r>
      <w:r w:rsidR="00F42D6A" w:rsidRPr="00CB2C31">
        <w:rPr>
          <w:lang w:val="en-US"/>
        </w:rPr>
        <w:t xml:space="preserve">.  </w:t>
      </w:r>
      <w:r w:rsidRPr="00CB2C31">
        <w:rPr>
          <w:lang w:val="en-US"/>
        </w:rPr>
        <w:t xml:space="preserve">However, it is important to note that the ICC </w:t>
      </w:r>
      <w:r w:rsidR="004A422F" w:rsidRPr="00CB2C31">
        <w:rPr>
          <w:lang w:val="en-US"/>
        </w:rPr>
        <w:t>has not yet achieved all of its goals</w:t>
      </w:r>
      <w:r w:rsidR="00F42D6A" w:rsidRPr="00CB2C31">
        <w:rPr>
          <w:lang w:val="en-US"/>
        </w:rPr>
        <w:t xml:space="preserve">.  </w:t>
      </w:r>
      <w:r w:rsidRPr="00CB2C31">
        <w:rPr>
          <w:lang w:val="en-US"/>
        </w:rPr>
        <w:t xml:space="preserve">Although the ICC has reached highs in its gender diversity, the results </w:t>
      </w:r>
      <w:r w:rsidR="003112FA" w:rsidRPr="00CB2C31">
        <w:rPr>
          <w:lang w:val="en-US"/>
        </w:rPr>
        <w:t xml:space="preserve">have not been </w:t>
      </w:r>
      <w:r w:rsidRPr="00CB2C31">
        <w:rPr>
          <w:lang w:val="en-US"/>
        </w:rPr>
        <w:t>stable, and in 2017 the number of femal</w:t>
      </w:r>
      <w:r w:rsidR="00A1389F" w:rsidRPr="00CB2C31">
        <w:rPr>
          <w:lang w:val="en-US"/>
        </w:rPr>
        <w:t>e judges reduced to six out of 18</w:t>
      </w:r>
      <w:r w:rsidRPr="00CB2C31">
        <w:rPr>
          <w:lang w:val="en-US"/>
        </w:rPr>
        <w:t>.</w:t>
      </w:r>
      <w:r w:rsidRPr="00CB2C31">
        <w:rPr>
          <w:rStyle w:val="FootnoteReference"/>
          <w:lang w:val="en-US"/>
        </w:rPr>
        <w:footnoteReference w:id="45"/>
      </w:r>
      <w:r w:rsidRPr="00CB2C31">
        <w:rPr>
          <w:lang w:val="en-US"/>
        </w:rPr>
        <w:t xml:space="preserve"> </w:t>
      </w:r>
      <w:r w:rsidR="000B507A">
        <w:rPr>
          <w:lang w:val="en-US"/>
        </w:rPr>
        <w:t xml:space="preserve"> </w:t>
      </w:r>
      <w:r w:rsidRPr="00CB2C31">
        <w:rPr>
          <w:lang w:val="en-US"/>
        </w:rPr>
        <w:t>Additionally, the Appeals Court of the ICC has not yet reached the level of success of the general court and still features a majority of male judges.</w:t>
      </w:r>
      <w:r w:rsidRPr="00CB2C31">
        <w:rPr>
          <w:rStyle w:val="FootnoteReference"/>
          <w:lang w:val="en-US"/>
        </w:rPr>
        <w:footnoteReference w:id="46"/>
      </w:r>
      <w:r w:rsidRPr="00CB2C31">
        <w:rPr>
          <w:lang w:val="en-US"/>
        </w:rPr>
        <w:t xml:space="preserve"> </w:t>
      </w:r>
      <w:r w:rsidR="000B507A">
        <w:rPr>
          <w:lang w:val="en-US"/>
        </w:rPr>
        <w:t xml:space="preserve"> </w:t>
      </w:r>
      <w:r w:rsidR="003112FA" w:rsidRPr="00CB2C31">
        <w:rPr>
          <w:lang w:val="en-US"/>
        </w:rPr>
        <w:t>Finally, w</w:t>
      </w:r>
      <w:r w:rsidRPr="00CB2C31">
        <w:rPr>
          <w:lang w:val="en-US"/>
        </w:rPr>
        <w:t>omen remain under</w:t>
      </w:r>
      <w:r w:rsidR="00127CD7">
        <w:rPr>
          <w:lang w:val="en-US"/>
        </w:rPr>
        <w:t>-</w:t>
      </w:r>
      <w:r w:rsidRPr="00CB2C31">
        <w:rPr>
          <w:lang w:val="en-US"/>
        </w:rPr>
        <w:t>represented in most senior management positions.</w:t>
      </w:r>
      <w:r w:rsidR="00771DDB" w:rsidRPr="00CB2C31">
        <w:rPr>
          <w:rStyle w:val="FootnoteReference"/>
          <w:lang w:val="en-US"/>
        </w:rPr>
        <w:footnoteReference w:id="47"/>
      </w:r>
      <w:r w:rsidRPr="00CB2C31">
        <w:rPr>
          <w:lang w:val="en-US"/>
        </w:rPr>
        <w:t xml:space="preserve"> </w:t>
      </w:r>
      <w:r w:rsidR="000B507A">
        <w:rPr>
          <w:lang w:val="en-US"/>
        </w:rPr>
        <w:t xml:space="preserve"> </w:t>
      </w:r>
      <w:r w:rsidRPr="00CB2C31">
        <w:rPr>
          <w:lang w:val="en-US"/>
        </w:rPr>
        <w:t>The ICC</w:t>
      </w:r>
      <w:r w:rsidR="00593F1F">
        <w:rPr>
          <w:lang w:val="en-US"/>
        </w:rPr>
        <w:t>’</w:t>
      </w:r>
      <w:r w:rsidRPr="00CB2C31">
        <w:rPr>
          <w:lang w:val="en-US"/>
        </w:rPr>
        <w:t>s governing body, the Assembly of States Parties</w:t>
      </w:r>
      <w:r w:rsidR="00B05A1F" w:rsidRPr="00CB2C31">
        <w:rPr>
          <w:lang w:val="en-US"/>
        </w:rPr>
        <w:t>,</w:t>
      </w:r>
      <w:r w:rsidRPr="00CB2C31">
        <w:rPr>
          <w:lang w:val="en-US"/>
        </w:rPr>
        <w:t xml:space="preserve"> </w:t>
      </w:r>
      <w:r w:rsidR="00236E78" w:rsidRPr="00CB2C31">
        <w:rPr>
          <w:lang w:val="en-US"/>
        </w:rPr>
        <w:t>recognized</w:t>
      </w:r>
      <w:r w:rsidRPr="00CB2C31">
        <w:rPr>
          <w:lang w:val="en-US"/>
        </w:rPr>
        <w:t xml:space="preserve"> this disp</w:t>
      </w:r>
      <w:r w:rsidR="003112FA" w:rsidRPr="00CB2C31">
        <w:rPr>
          <w:lang w:val="en-US"/>
        </w:rPr>
        <w:t>arity and recommended</w:t>
      </w:r>
      <w:r w:rsidR="0071351D" w:rsidRPr="00CB2C31">
        <w:rPr>
          <w:lang w:val="en-US"/>
        </w:rPr>
        <w:t xml:space="preserve"> the Court </w:t>
      </w:r>
      <w:r w:rsidR="00203E75" w:rsidRPr="00203E75">
        <w:rPr>
          <w:i/>
          <w:lang w:val="en-US"/>
        </w:rPr>
        <w:t>“</w:t>
      </w:r>
      <w:r w:rsidRPr="00CB2C31">
        <w:rPr>
          <w:i/>
          <w:lang w:val="en-US"/>
        </w:rPr>
        <w:t>continue to build on the strides it has made in the recruitment of female staff,</w:t>
      </w:r>
      <w:r w:rsidR="00312AD2" w:rsidRPr="00CB2C31">
        <w:rPr>
          <w:i/>
          <w:lang w:val="en-US"/>
        </w:rPr>
        <w:t xml:space="preserve"> particularly at senior levels</w:t>
      </w:r>
      <w:r w:rsidR="007276F8">
        <w:rPr>
          <w:lang w:val="en-US"/>
        </w:rPr>
        <w:t>.</w:t>
      </w:r>
      <w:r w:rsidR="00203E75" w:rsidRPr="00203E75">
        <w:rPr>
          <w:i/>
          <w:lang w:val="en-US"/>
        </w:rPr>
        <w:t>”</w:t>
      </w:r>
      <w:r w:rsidRPr="00CB2C31">
        <w:rPr>
          <w:rStyle w:val="FootnoteReference"/>
          <w:lang w:val="en-US"/>
        </w:rPr>
        <w:footnoteReference w:id="48"/>
      </w:r>
    </w:p>
    <w:p w14:paraId="6D5E5D1D" w14:textId="25342C41" w:rsidR="005628A3" w:rsidRPr="00CB2C31" w:rsidRDefault="00182C78" w:rsidP="00623C41">
      <w:pPr>
        <w:pStyle w:val="DoublePara"/>
        <w:rPr>
          <w:lang w:val="en-US"/>
        </w:rPr>
      </w:pPr>
      <w:r>
        <w:rPr>
          <w:lang w:val="en-US"/>
        </w:rPr>
        <w:t>The significant efforts deployed by</w:t>
      </w:r>
      <w:r w:rsidRPr="00CB2C31">
        <w:rPr>
          <w:lang w:val="en-US"/>
        </w:rPr>
        <w:t xml:space="preserve"> </w:t>
      </w:r>
      <w:r w:rsidR="005628A3" w:rsidRPr="00CB2C31">
        <w:rPr>
          <w:lang w:val="en-US"/>
        </w:rPr>
        <w:t xml:space="preserve">international and regional human rights organizations </w:t>
      </w:r>
      <w:r>
        <w:rPr>
          <w:lang w:val="en-US"/>
        </w:rPr>
        <w:t xml:space="preserve">to seek to improve their </w:t>
      </w:r>
      <w:r w:rsidRPr="00CB2C31">
        <w:rPr>
          <w:lang w:val="en-US"/>
        </w:rPr>
        <w:t xml:space="preserve">nomination and election procedures </w:t>
      </w:r>
      <w:r>
        <w:rPr>
          <w:lang w:val="en-US"/>
        </w:rPr>
        <w:t>and guidelines provide valuable examples from which best practices can be ascertained</w:t>
      </w:r>
      <w:r w:rsidR="005628A3" w:rsidRPr="00CB2C31">
        <w:rPr>
          <w:lang w:val="en-US"/>
        </w:rPr>
        <w:t>.</w:t>
      </w:r>
    </w:p>
    <w:p w14:paraId="2D607C1A" w14:textId="4C8F844B" w:rsidR="00E75B3E" w:rsidRDefault="00E75B3E" w:rsidP="00623C41">
      <w:pPr>
        <w:pStyle w:val="LegalCombo2"/>
      </w:pPr>
      <w:bookmarkStart w:id="101" w:name="_Toc22904980"/>
      <w:bookmarkStart w:id="102" w:name="_Toc24114379"/>
      <w:bookmarkStart w:id="103" w:name="_Toc512156403"/>
      <w:bookmarkStart w:id="104" w:name="_Toc512163736"/>
      <w:bookmarkStart w:id="105" w:name="_Toc513199207"/>
      <w:bookmarkStart w:id="106" w:name="_Toc15027209"/>
      <w:bookmarkStart w:id="107" w:name="_Toc15027601"/>
      <w:bookmarkStart w:id="108" w:name="_Toc15027878"/>
      <w:bookmarkStart w:id="109" w:name="_Toc16692473"/>
      <w:r>
        <w:t>INTERNATIONAL BEST PRACTICES</w:t>
      </w:r>
      <w:bookmarkEnd w:id="101"/>
      <w:bookmarkEnd w:id="102"/>
    </w:p>
    <w:p w14:paraId="38D320D1" w14:textId="77777777" w:rsidR="00E75B3E" w:rsidRPr="0051289E" w:rsidRDefault="00E75B3E" w:rsidP="009673DB">
      <w:pPr>
        <w:pStyle w:val="LegalCombo3"/>
      </w:pPr>
      <w:bookmarkStart w:id="110" w:name="_Toc22904981"/>
      <w:bookmarkStart w:id="111" w:name="_Toc24114380"/>
      <w:r>
        <w:t>Parliamentary Assembly</w:t>
      </w:r>
      <w:bookmarkEnd w:id="110"/>
      <w:bookmarkEnd w:id="111"/>
    </w:p>
    <w:p w14:paraId="169EB72A" w14:textId="6DC512E7" w:rsidR="00E75B3E" w:rsidRPr="00CB2C31" w:rsidRDefault="00101645" w:rsidP="00E75B3E">
      <w:pPr>
        <w:pStyle w:val="DoublePara"/>
        <w:rPr>
          <w:lang w:val="en-US"/>
        </w:rPr>
      </w:pPr>
      <w:r>
        <w:rPr>
          <w:lang w:val="en-US"/>
        </w:rPr>
        <w:t>The</w:t>
      </w:r>
      <w:r w:rsidR="00E75B3E" w:rsidRPr="00CB2C31">
        <w:rPr>
          <w:lang w:val="en-US"/>
        </w:rPr>
        <w:t xml:space="preserve"> recommendations</w:t>
      </w:r>
      <w:r w:rsidR="001D2826">
        <w:rPr>
          <w:lang w:val="en-US"/>
        </w:rPr>
        <w:t xml:space="preserve"> </w:t>
      </w:r>
      <w:r>
        <w:rPr>
          <w:lang w:val="en-US"/>
        </w:rPr>
        <w:t>above</w:t>
      </w:r>
      <w:r w:rsidR="00E75B3E" w:rsidRPr="00CB2C31">
        <w:rPr>
          <w:lang w:val="en-US"/>
        </w:rPr>
        <w:t xml:space="preserve"> </w:t>
      </w:r>
      <w:r w:rsidR="00E75B3E" w:rsidRPr="00CB2C31">
        <w:rPr>
          <w:lang w:val="en-US" w:eastAsia="en-GB"/>
        </w:rPr>
        <w:t>can</w:t>
      </w:r>
      <w:r w:rsidR="00E75B3E" w:rsidRPr="00CB2C31">
        <w:rPr>
          <w:lang w:val="en-US"/>
        </w:rPr>
        <w:t xml:space="preserve"> be compared to the practice of the ECtHR (whose judges are appointed by the Parliamentary Assembly of the Council of Europe (</w:t>
      </w:r>
      <w:r w:rsidR="00203E75" w:rsidRPr="00203E75">
        <w:rPr>
          <w:i/>
          <w:lang w:val="en-US"/>
        </w:rPr>
        <w:t>“</w:t>
      </w:r>
      <w:r w:rsidR="00E75B3E" w:rsidRPr="00CB2C31">
        <w:rPr>
          <w:b/>
          <w:lang w:val="en-US"/>
        </w:rPr>
        <w:t>Parliamentary Assembly</w:t>
      </w:r>
      <w:r w:rsidR="00203E75" w:rsidRPr="00203E75">
        <w:rPr>
          <w:i/>
          <w:lang w:val="en-US"/>
        </w:rPr>
        <w:t>”</w:t>
      </w:r>
      <w:r w:rsidR="00E75B3E" w:rsidRPr="00CB2C31">
        <w:rPr>
          <w:lang w:val="en-US"/>
        </w:rPr>
        <w:t xml:space="preserve">) from a list of candidates put forward by States), which recommends that: </w:t>
      </w:r>
    </w:p>
    <w:p w14:paraId="61E57370" w14:textId="77777777" w:rsidR="00E75B3E" w:rsidRPr="00CB2C31" w:rsidRDefault="00E75B3E" w:rsidP="00E75B3E">
      <w:pPr>
        <w:pStyle w:val="BulletPara"/>
        <w:jc w:val="both"/>
      </w:pPr>
      <w:r w:rsidRPr="00CB2C31">
        <w:t>State parties should issue public and open calls for candidates</w:t>
      </w:r>
      <w:r>
        <w:t>,</w:t>
      </w:r>
      <w:r w:rsidRPr="00CB2C31">
        <w:t xml:space="preserve"> and when submitting candidate names to the Parliamentary Assembly, must describe the manner in which candidates have been selected;</w:t>
      </w:r>
      <w:r w:rsidRPr="00CB2C31">
        <w:rPr>
          <w:rStyle w:val="FootnoteReference"/>
        </w:rPr>
        <w:footnoteReference w:id="49"/>
      </w:r>
    </w:p>
    <w:p w14:paraId="3A8A7DD5" w14:textId="77777777" w:rsidR="00E75B3E" w:rsidRPr="00CB2C31" w:rsidRDefault="00E75B3E" w:rsidP="00E75B3E">
      <w:pPr>
        <w:pStyle w:val="BulletPara"/>
        <w:jc w:val="both"/>
      </w:pPr>
      <w:r w:rsidRPr="00CB2C31">
        <w:t xml:space="preserve">State parties should consider a model </w:t>
      </w:r>
      <w:r w:rsidRPr="00CB2C31">
        <w:rPr>
          <w:i/>
        </w:rPr>
        <w:t>curriculum vitae</w:t>
      </w:r>
      <w:r w:rsidRPr="00CB2C31">
        <w:t xml:space="preserve"> to guide their national nomination processes;</w:t>
      </w:r>
    </w:p>
    <w:p w14:paraId="6E0A2EAA" w14:textId="77777777" w:rsidR="00E75B3E" w:rsidRPr="00CB2C31" w:rsidRDefault="00E75B3E" w:rsidP="00E75B3E">
      <w:pPr>
        <w:pStyle w:val="BulletPara"/>
        <w:jc w:val="both"/>
      </w:pPr>
      <w:r w:rsidRPr="00CB2C31">
        <w:t xml:space="preserve">political groups should aim to include at least 40% </w:t>
      </w:r>
      <w:r>
        <w:t xml:space="preserve">of </w:t>
      </w:r>
      <w:r w:rsidRPr="00CB2C31">
        <w:t>women on the Committee;</w:t>
      </w:r>
      <w:r w:rsidRPr="00CB2C31">
        <w:rPr>
          <w:rStyle w:val="FootnoteReference"/>
        </w:rPr>
        <w:footnoteReference w:id="50"/>
      </w:r>
      <w:r w:rsidRPr="00CB2C31">
        <w:t xml:space="preserve"> </w:t>
      </w:r>
    </w:p>
    <w:p w14:paraId="17AD2B3E" w14:textId="77777777" w:rsidR="00E75B3E" w:rsidRPr="00CB2C31" w:rsidRDefault="00E75B3E" w:rsidP="00E75B3E">
      <w:pPr>
        <w:pStyle w:val="BulletPara"/>
        <w:jc w:val="both"/>
      </w:pPr>
      <w:r w:rsidRPr="00CB2C31">
        <w:t>the Parliamentary Assembly will not consider candidate lists which do not include at least one candidate of each sex, except in certain circumstances;</w:t>
      </w:r>
      <w:r w:rsidRPr="00CB2C31">
        <w:rPr>
          <w:rStyle w:val="FootnoteReference"/>
        </w:rPr>
        <w:footnoteReference w:id="51"/>
      </w:r>
      <w:r w:rsidRPr="00CB2C31">
        <w:t xml:space="preserve"> and </w:t>
      </w:r>
    </w:p>
    <w:p w14:paraId="6DBD6CD7" w14:textId="5D6978A9" w:rsidR="00E75B3E" w:rsidRPr="008944E1" w:rsidRDefault="00E75B3E" w:rsidP="00E75B3E">
      <w:pPr>
        <w:pStyle w:val="BulletPara"/>
        <w:jc w:val="both"/>
      </w:pPr>
      <w:r w:rsidRPr="00CB2C31">
        <w:t xml:space="preserve">in the event of the election sub-committee considering two candidates of equal merit, preference should be given to a candidate of the sex under-represented at the ECtHR. </w:t>
      </w:r>
    </w:p>
    <w:p w14:paraId="3C6DC3E9" w14:textId="77777777" w:rsidR="00E75B3E" w:rsidRPr="00CB2C31" w:rsidRDefault="00E75B3E" w:rsidP="00E75B3E">
      <w:pPr>
        <w:pStyle w:val="DoublePara"/>
        <w:rPr>
          <w:lang w:val="en-US"/>
        </w:rPr>
      </w:pPr>
      <w:r w:rsidRPr="00CB2C31">
        <w:rPr>
          <w:lang w:val="en-US"/>
        </w:rPr>
        <w:t xml:space="preserve">Similarly, in respect of the CPT </w:t>
      </w:r>
      <w:r w:rsidRPr="00CB2C31">
        <w:rPr>
          <w:lang w:val="en-US" w:eastAsia="en-GB"/>
        </w:rPr>
        <w:t>committee</w:t>
      </w:r>
      <w:r w:rsidRPr="00CB2C31">
        <w:rPr>
          <w:lang w:val="en-US"/>
        </w:rPr>
        <w:t>, the Parliamentary Assembly invited all State parties to review their national nomination procedures, and in particular to introduce:</w:t>
      </w:r>
      <w:r w:rsidRPr="00CB2C31">
        <w:rPr>
          <w:rStyle w:val="FootnoteReference"/>
          <w:lang w:val="en-US"/>
        </w:rPr>
        <w:footnoteReference w:id="52"/>
      </w:r>
    </w:p>
    <w:p w14:paraId="5A019EA1" w14:textId="77777777" w:rsidR="00E75B3E" w:rsidRPr="00CB2C31" w:rsidRDefault="00E75B3E" w:rsidP="00E75B3E">
      <w:pPr>
        <w:pStyle w:val="BulletPara"/>
        <w:jc w:val="both"/>
      </w:pPr>
      <w:r w:rsidRPr="00CB2C31">
        <w:t>public calls for candidatures to be open equally to male and female candidates, with a preference for candidates of the under-represented sex on the CPT in the case of equal merit;</w:t>
      </w:r>
    </w:p>
    <w:p w14:paraId="0B2F704A" w14:textId="77777777" w:rsidR="00E75B3E" w:rsidRPr="00CB2C31" w:rsidRDefault="00E75B3E" w:rsidP="00E75B3E">
      <w:pPr>
        <w:pStyle w:val="BulletPara"/>
        <w:jc w:val="both"/>
      </w:pPr>
      <w:r w:rsidRPr="00CB2C31">
        <w:t>consultation on suitable candidates with relevant state and non-governmental bodies (for example, ministries of justice, interior and health, prison administration, academic institutions and NGOs active in the fight against torture and in assistance to prisoners and inmates of psychiatric institutions);</w:t>
      </w:r>
    </w:p>
    <w:p w14:paraId="35F38CA4" w14:textId="77777777" w:rsidR="00E75B3E" w:rsidRPr="00CB2C31" w:rsidRDefault="00E75B3E" w:rsidP="00E75B3E">
      <w:pPr>
        <w:pStyle w:val="BulletPara"/>
        <w:jc w:val="both"/>
      </w:pPr>
      <w:r w:rsidRPr="00CB2C31">
        <w:t>interviews with shortlisted candidates to assess their qualifications, motivation and availability, as well as language skills, possibly carried out by an independent panel of experts;</w:t>
      </w:r>
    </w:p>
    <w:p w14:paraId="5B674D89" w14:textId="77777777" w:rsidR="00E75B3E" w:rsidRPr="00CB2C31" w:rsidRDefault="00E75B3E" w:rsidP="00E75B3E">
      <w:pPr>
        <w:pStyle w:val="BulletPara"/>
        <w:jc w:val="both"/>
      </w:pPr>
      <w:r w:rsidRPr="00CB2C31">
        <w:t>an active role, in the final phase of the pre-selection process, for the national delegation to the Parliamentary Assembly; and</w:t>
      </w:r>
    </w:p>
    <w:p w14:paraId="2516786F" w14:textId="77777777" w:rsidR="00E75B3E" w:rsidRPr="00CB2C31" w:rsidRDefault="00E75B3E" w:rsidP="00E75B3E">
      <w:pPr>
        <w:pStyle w:val="BulletPara"/>
        <w:jc w:val="both"/>
      </w:pPr>
      <w:r w:rsidRPr="00CB2C31">
        <w:t xml:space="preserve">the systematic use of the standard </w:t>
      </w:r>
      <w:r w:rsidRPr="00CB2C31">
        <w:rPr>
          <w:i/>
        </w:rPr>
        <w:t>curriculum vitae</w:t>
      </w:r>
      <w:r w:rsidRPr="00CB2C31">
        <w:t xml:space="preserve"> form designed to provide all relevant information on the candidates to national authorities, as well as to the different bodies of the Council of Europe involved in the selection procedure.</w:t>
      </w:r>
    </w:p>
    <w:p w14:paraId="6A16F0DF" w14:textId="77777777" w:rsidR="00E75B3E" w:rsidRPr="0051289E" w:rsidRDefault="00E75B3E" w:rsidP="009673DB">
      <w:pPr>
        <w:pStyle w:val="LegalCombo3"/>
      </w:pPr>
      <w:bookmarkStart w:id="112" w:name="_Toc22904982"/>
      <w:bookmarkStart w:id="113" w:name="_Toc24114381"/>
      <w:r>
        <w:t>ICC</w:t>
      </w:r>
      <w:bookmarkEnd w:id="112"/>
      <w:bookmarkEnd w:id="113"/>
    </w:p>
    <w:p w14:paraId="0D237DD8" w14:textId="77777777" w:rsidR="00E75B3E" w:rsidRPr="00CB2C31" w:rsidRDefault="00E75B3E" w:rsidP="00E75B3E">
      <w:pPr>
        <w:pStyle w:val="DoublePara"/>
        <w:rPr>
          <w:lang w:val="en-US"/>
        </w:rPr>
      </w:pPr>
      <w:r w:rsidRPr="00CB2C31">
        <w:rPr>
          <w:lang w:val="en-US"/>
        </w:rPr>
        <w:t xml:space="preserve">The ICC also advocates </w:t>
      </w:r>
      <w:r w:rsidRPr="00CB2C31">
        <w:rPr>
          <w:lang w:val="en-US" w:eastAsia="en-GB"/>
        </w:rPr>
        <w:t>gender</w:t>
      </w:r>
      <w:r w:rsidRPr="00CB2C31">
        <w:rPr>
          <w:lang w:val="en-US"/>
        </w:rPr>
        <w:t xml:space="preserve"> diversity and transparent nomination processes.  In 2002, the ICC was the first international bench which benefited from a female majority.</w:t>
      </w:r>
      <w:bookmarkStart w:id="114" w:name="_Ref16193414"/>
      <w:r w:rsidRPr="00CB2C31">
        <w:rPr>
          <w:rStyle w:val="FootnoteReference"/>
          <w:lang w:val="en-US"/>
        </w:rPr>
        <w:footnoteReference w:id="53"/>
      </w:r>
      <w:bookmarkEnd w:id="114"/>
      <w:r w:rsidRPr="00CB2C31">
        <w:rPr>
          <w:lang w:val="en-US"/>
        </w:rPr>
        <w:t xml:space="preserve"> </w:t>
      </w:r>
      <w:r>
        <w:rPr>
          <w:lang w:val="en-US"/>
        </w:rPr>
        <w:t xml:space="preserve"> </w:t>
      </w:r>
      <w:r w:rsidRPr="00CB2C31">
        <w:rPr>
          <w:lang w:val="en-US"/>
        </w:rPr>
        <w:t>Additionally, with regards to staffing at the ICC, as of July 31, 2018</w:t>
      </w:r>
      <w:r>
        <w:rPr>
          <w:lang w:val="en-US"/>
        </w:rPr>
        <w:t>,</w:t>
      </w:r>
      <w:r w:rsidRPr="00CB2C31">
        <w:rPr>
          <w:lang w:val="en-US"/>
        </w:rPr>
        <w:t xml:space="preserve"> women represented 49.7% of the Court</w:t>
      </w:r>
      <w:r>
        <w:rPr>
          <w:lang w:val="en-US"/>
        </w:rPr>
        <w:t>’</w:t>
      </w:r>
      <w:r w:rsidRPr="00CB2C31">
        <w:rPr>
          <w:lang w:val="en-US"/>
        </w:rPr>
        <w:t>s professional staff.</w:t>
      </w:r>
      <w:r w:rsidRPr="00CB2C31">
        <w:rPr>
          <w:rStyle w:val="FootnoteReference"/>
          <w:lang w:val="en-US"/>
        </w:rPr>
        <w:footnoteReference w:id="54"/>
      </w:r>
    </w:p>
    <w:p w14:paraId="259F915A" w14:textId="6E24537E" w:rsidR="00E75B3E" w:rsidRPr="00CB2C31" w:rsidRDefault="00E75B3E" w:rsidP="00E75B3E">
      <w:pPr>
        <w:pStyle w:val="DoublePara"/>
        <w:rPr>
          <w:lang w:val="en-US"/>
        </w:rPr>
      </w:pPr>
      <w:r w:rsidRPr="00CB2C31">
        <w:rPr>
          <w:lang w:val="en-US"/>
        </w:rPr>
        <w:t xml:space="preserve">The </w:t>
      </w:r>
      <w:r>
        <w:rPr>
          <w:lang w:val="en-US"/>
        </w:rPr>
        <w:t xml:space="preserve">former </w:t>
      </w:r>
      <w:r w:rsidRPr="00CB2C31">
        <w:rPr>
          <w:lang w:val="en-US"/>
        </w:rPr>
        <w:t xml:space="preserve">ICC President Judge Silvia </w:t>
      </w:r>
      <w:r w:rsidRPr="00CB2C31">
        <w:rPr>
          <w:lang w:val="en-US" w:eastAsia="en-GB"/>
        </w:rPr>
        <w:t>Fernández</w:t>
      </w:r>
      <w:r w:rsidRPr="00CB2C31">
        <w:rPr>
          <w:lang w:val="en-US"/>
        </w:rPr>
        <w:t xml:space="preserve"> de Gurmendi has noted that: </w:t>
      </w:r>
      <w:r w:rsidR="00203E75" w:rsidRPr="00203E75">
        <w:rPr>
          <w:i/>
          <w:lang w:val="en-US"/>
        </w:rPr>
        <w:t>“</w:t>
      </w:r>
      <w:r w:rsidRPr="00CB2C31">
        <w:rPr>
          <w:lang w:val="en-US"/>
        </w:rPr>
        <w:t>[t]he ICC, with an all-female Presidency, a female Prosecutor and several female Judges, is an example of how women can lead in achieving justice and pursuing security</w:t>
      </w:r>
      <w:r>
        <w:rPr>
          <w:lang w:val="en-US"/>
        </w:rPr>
        <w:t>.</w:t>
      </w:r>
      <w:r w:rsidR="00203E75" w:rsidRPr="00203E75">
        <w:rPr>
          <w:i/>
          <w:lang w:val="en-US"/>
        </w:rPr>
        <w:t>”</w:t>
      </w:r>
      <w:r w:rsidRPr="00CB2C31">
        <w:rPr>
          <w:rStyle w:val="FootnoteReference"/>
          <w:lang w:val="en-US"/>
        </w:rPr>
        <w:footnoteReference w:id="55"/>
      </w:r>
      <w:r>
        <w:rPr>
          <w:lang w:val="en-US"/>
        </w:rPr>
        <w:t xml:space="preserve">  In furtherance of gender equality, current ICC officials President Chile Eboe-Osuji, Prosecutor Fatou Bensouda and Registrar Peter Lewis, have also recently joined the International Gender Champions leadership network </w:t>
      </w:r>
      <w:r w:rsidR="002F58CA">
        <w:rPr>
          <w:lang w:val="en-US"/>
        </w:rPr>
        <w:t>“</w:t>
      </w:r>
      <w:r w:rsidRPr="002F58CA">
        <w:rPr>
          <w:i/>
          <w:lang w:val="en-US"/>
        </w:rPr>
        <w:t>in their capacity as heads of the three organs of the Court, making individual and collective pledges to promote gender equality within their respective spheres of responsibility.</w:t>
      </w:r>
      <w:r w:rsidR="00203E75" w:rsidRPr="00203E75">
        <w:rPr>
          <w:i/>
          <w:lang w:val="en-US"/>
        </w:rPr>
        <w:t>”</w:t>
      </w:r>
      <w:r>
        <w:rPr>
          <w:rStyle w:val="FootnoteReference"/>
          <w:lang w:val="en-US"/>
        </w:rPr>
        <w:footnoteReference w:id="56"/>
      </w:r>
      <w:r>
        <w:rPr>
          <w:lang w:val="en-US"/>
        </w:rPr>
        <w:t xml:space="preserve">  On that occasion, the current ICC president, Judge Chile Eboe-Osuji, is quoted as having said that: </w:t>
      </w:r>
      <w:r w:rsidR="00203E75" w:rsidRPr="00203E75">
        <w:rPr>
          <w:i/>
          <w:lang w:val="en-US"/>
        </w:rPr>
        <w:t>“</w:t>
      </w:r>
      <w:r>
        <w:rPr>
          <w:lang w:val="en-US"/>
        </w:rPr>
        <w:t>[a]s an institution whose task is to promote justice, the ICC itself must also reflect principles of equality and fairness in how it conducts its mandate.  Gender balance is one of the key principles we must adhere to.  To this end, our policies promote the equal participation of women – from all regions – in the Court’s workforce, at all levels of seniority.</w:t>
      </w:r>
      <w:r w:rsidR="00203E75" w:rsidRPr="00203E75">
        <w:rPr>
          <w:i/>
          <w:lang w:val="en-US"/>
        </w:rPr>
        <w:t>”</w:t>
      </w:r>
      <w:r>
        <w:rPr>
          <w:rStyle w:val="FootnoteReference"/>
          <w:lang w:val="en-US"/>
        </w:rPr>
        <w:footnoteReference w:id="57"/>
      </w:r>
      <w:r>
        <w:rPr>
          <w:lang w:val="en-US"/>
        </w:rPr>
        <w:t xml:space="preserve"> </w:t>
      </w:r>
    </w:p>
    <w:p w14:paraId="7597E0EA" w14:textId="77777777" w:rsidR="00E75B3E" w:rsidRPr="00CB2C31" w:rsidRDefault="00E75B3E" w:rsidP="00E75B3E">
      <w:pPr>
        <w:pStyle w:val="DoublePara"/>
        <w:rPr>
          <w:lang w:val="en-US"/>
        </w:rPr>
      </w:pPr>
      <w:r w:rsidRPr="00CB2C31">
        <w:rPr>
          <w:lang w:val="en-US"/>
        </w:rPr>
        <w:t>This success and focus on gender diversity comes from the ICC</w:t>
      </w:r>
      <w:r>
        <w:rPr>
          <w:lang w:val="en-US"/>
        </w:rPr>
        <w:t>’</w:t>
      </w:r>
      <w:r w:rsidRPr="00CB2C31">
        <w:rPr>
          <w:lang w:val="en-US"/>
        </w:rPr>
        <w:t>s nomination and election procedures.  The ICC not only requires candidates to satisfy the key nomination and election criteria which include character, experience, fluency and geographic diversity,</w:t>
      </w:r>
      <w:r w:rsidRPr="00CB2C31">
        <w:rPr>
          <w:rStyle w:val="FootnoteReference"/>
          <w:lang w:val="en-US"/>
        </w:rPr>
        <w:footnoteReference w:id="58"/>
      </w:r>
      <w:r w:rsidRPr="00CB2C31">
        <w:rPr>
          <w:lang w:val="en-US"/>
        </w:rPr>
        <w:t xml:space="preserve"> but the ICC also stipulates that State parties should take into account the need for:</w:t>
      </w:r>
      <w:r w:rsidRPr="00CB2C31">
        <w:rPr>
          <w:rStyle w:val="FootnoteReference"/>
          <w:lang w:val="en-US"/>
        </w:rPr>
        <w:footnoteReference w:id="59"/>
      </w:r>
    </w:p>
    <w:p w14:paraId="5E9C6C30" w14:textId="77777777" w:rsidR="00E75B3E" w:rsidRPr="00CB2C31" w:rsidRDefault="00E75B3E" w:rsidP="00E75B3E">
      <w:pPr>
        <w:pStyle w:val="BulletPara"/>
        <w:jc w:val="both"/>
      </w:pPr>
      <w:r w:rsidRPr="00CB2C31">
        <w:t>representation of the principal legal systems of the world;</w:t>
      </w:r>
    </w:p>
    <w:p w14:paraId="31EF5EF4" w14:textId="77777777" w:rsidR="00E75B3E" w:rsidRPr="00CB2C31" w:rsidRDefault="00E75B3E" w:rsidP="00E75B3E">
      <w:pPr>
        <w:pStyle w:val="BulletPara"/>
        <w:jc w:val="both"/>
      </w:pPr>
      <w:r w:rsidRPr="00CB2C31">
        <w:t xml:space="preserve">equitable geographic representation; and </w:t>
      </w:r>
    </w:p>
    <w:p w14:paraId="471A9799" w14:textId="77777777" w:rsidR="00E75B3E" w:rsidRPr="00CB2C31" w:rsidRDefault="00E75B3E" w:rsidP="00E75B3E">
      <w:pPr>
        <w:pStyle w:val="BulletPara"/>
        <w:jc w:val="both"/>
      </w:pPr>
      <w:r w:rsidRPr="00CB2C31">
        <w:t>fair representation of female and male judges.</w:t>
      </w:r>
    </w:p>
    <w:p w14:paraId="07C918B8" w14:textId="40891262" w:rsidR="00E75B3E" w:rsidRDefault="00E75B3E" w:rsidP="00E75B3E">
      <w:pPr>
        <w:pStyle w:val="DoublePara"/>
        <w:rPr>
          <w:lang w:val="en-US"/>
        </w:rPr>
      </w:pPr>
      <w:r w:rsidRPr="00CB2C31">
        <w:rPr>
          <w:lang w:val="en-US"/>
        </w:rPr>
        <w:t xml:space="preserve">This requirement of </w:t>
      </w:r>
      <w:r w:rsidR="00203E75" w:rsidRPr="00203E75">
        <w:rPr>
          <w:i/>
          <w:lang w:val="en-US"/>
        </w:rPr>
        <w:t>“</w:t>
      </w:r>
      <w:r w:rsidRPr="00CB2C31">
        <w:rPr>
          <w:i/>
          <w:lang w:val="en-US"/>
        </w:rPr>
        <w:t>fair representation of female and male judges</w:t>
      </w:r>
      <w:r w:rsidR="00203E75" w:rsidRPr="00203E75">
        <w:rPr>
          <w:i/>
          <w:lang w:val="en-US"/>
        </w:rPr>
        <w:t>”</w:t>
      </w:r>
      <w:r w:rsidRPr="00CB2C31">
        <w:rPr>
          <w:lang w:val="en-US"/>
        </w:rPr>
        <w:t xml:space="preserve"> is required by the Rome Treaty Statute</w:t>
      </w:r>
      <w:r w:rsidRPr="00CB2C31">
        <w:rPr>
          <w:rStyle w:val="FootnoteReference"/>
          <w:lang w:val="en-US"/>
        </w:rPr>
        <w:footnoteReference w:id="60"/>
      </w:r>
      <w:r w:rsidRPr="00CB2C31">
        <w:rPr>
          <w:lang w:val="en-US"/>
        </w:rPr>
        <w:t xml:space="preserve"> and is a key part of the ICC</w:t>
      </w:r>
      <w:r>
        <w:rPr>
          <w:lang w:val="en-US"/>
        </w:rPr>
        <w:t>’</w:t>
      </w:r>
      <w:r w:rsidRPr="00CB2C31">
        <w:rPr>
          <w:lang w:val="en-US"/>
        </w:rPr>
        <w:t>s successful approach towards gender diversity</w:t>
      </w:r>
      <w:r>
        <w:rPr>
          <w:lang w:val="en-US"/>
        </w:rPr>
        <w:t xml:space="preserve">, </w:t>
      </w:r>
      <w:r w:rsidRPr="00CB2C31">
        <w:rPr>
          <w:lang w:val="en-US"/>
        </w:rPr>
        <w:t>being one of the first international agreements to stipulate this.</w:t>
      </w:r>
      <w:bookmarkStart w:id="115" w:name="_Ref16193399"/>
      <w:r w:rsidRPr="00CB2C31">
        <w:rPr>
          <w:rStyle w:val="FootnoteReference"/>
          <w:lang w:val="en-US"/>
        </w:rPr>
        <w:footnoteReference w:id="61"/>
      </w:r>
      <w:bookmarkEnd w:id="115"/>
      <w:r>
        <w:rPr>
          <w:lang w:val="en-US"/>
        </w:rPr>
        <w:t xml:space="preserve"> </w:t>
      </w:r>
    </w:p>
    <w:p w14:paraId="58270F4E" w14:textId="4AA2336C" w:rsidR="005628A3" w:rsidRPr="008F24D6" w:rsidRDefault="00E75B3E" w:rsidP="008F24D6">
      <w:pPr>
        <w:pStyle w:val="DoublePara"/>
        <w:rPr>
          <w:lang w:val="en-US"/>
        </w:rPr>
      </w:pPr>
      <w:r w:rsidRPr="00CB2C31">
        <w:rPr>
          <w:lang w:val="en-US"/>
        </w:rPr>
        <w:t xml:space="preserve">Therefore, at least in respect of candidate lists and competitive, open nomination procedures, the Council of Europe and the ICC have gone further than their international and regional counterparts to ensure that individuals are nominated (and elected) to treaty bodies on a gender-balanced and inclusionary basis. </w:t>
      </w:r>
      <w:bookmarkEnd w:id="103"/>
      <w:bookmarkEnd w:id="104"/>
      <w:bookmarkEnd w:id="105"/>
      <w:bookmarkEnd w:id="106"/>
      <w:bookmarkEnd w:id="107"/>
      <w:bookmarkEnd w:id="108"/>
      <w:bookmarkEnd w:id="109"/>
    </w:p>
    <w:p w14:paraId="38B5809D" w14:textId="519087FC" w:rsidR="00092738" w:rsidRPr="00E75B3E" w:rsidRDefault="009A1E68" w:rsidP="00E75B3E">
      <w:pPr>
        <w:pStyle w:val="DoublePara"/>
        <w:rPr>
          <w:b/>
          <w:caps/>
          <w:lang w:val="en-US"/>
        </w:rPr>
      </w:pPr>
      <w:r w:rsidRPr="00CB2C31">
        <w:rPr>
          <w:lang w:val="en-US"/>
        </w:rPr>
        <w:t>Despite requir</w:t>
      </w:r>
      <w:r w:rsidR="006B449C">
        <w:rPr>
          <w:lang w:val="en-US"/>
        </w:rPr>
        <w:t xml:space="preserve">ements for </w:t>
      </w:r>
      <w:r w:rsidRPr="00CB2C31">
        <w:rPr>
          <w:lang w:val="en-US"/>
        </w:rPr>
        <w:t xml:space="preserve">State parties to consider equitable gender distribution before </w:t>
      </w:r>
      <w:r w:rsidR="00182C78">
        <w:rPr>
          <w:lang w:val="en-US"/>
        </w:rPr>
        <w:t>nominating</w:t>
      </w:r>
      <w:r w:rsidRPr="00CB2C31">
        <w:rPr>
          <w:lang w:val="en-US"/>
        </w:rPr>
        <w:t xml:space="preserve"> individuals, the</w:t>
      </w:r>
      <w:r w:rsidR="006B449C">
        <w:rPr>
          <w:lang w:val="en-US"/>
        </w:rPr>
        <w:t xml:space="preserve">re is little </w:t>
      </w:r>
      <w:r w:rsidRPr="00CB2C31">
        <w:rPr>
          <w:lang w:val="en-US"/>
        </w:rPr>
        <w:t>operational guidance as to how this can be achieved.</w:t>
      </w:r>
      <w:r w:rsidR="00593F1F">
        <w:rPr>
          <w:lang w:val="en-US"/>
        </w:rPr>
        <w:t xml:space="preserve">  </w:t>
      </w:r>
      <w:r w:rsidR="006B449C" w:rsidRPr="00CB2C31">
        <w:rPr>
          <w:lang w:val="en-US"/>
        </w:rPr>
        <w:t>Moreover, the treaties provide little to no guidance on the nomination process (rather than the election process) at the State level.</w:t>
      </w:r>
      <w:r w:rsidR="006B449C" w:rsidRPr="00CB2C31">
        <w:rPr>
          <w:rStyle w:val="FootnoteReference"/>
          <w:lang w:val="en-US"/>
        </w:rPr>
        <w:footnoteReference w:id="62"/>
      </w:r>
      <w:r w:rsidR="006B449C" w:rsidRPr="00CB2C31">
        <w:rPr>
          <w:lang w:val="en-US"/>
        </w:rPr>
        <w:t xml:space="preserve"> </w:t>
      </w:r>
      <w:r w:rsidR="006B449C">
        <w:rPr>
          <w:lang w:val="en-US"/>
        </w:rPr>
        <w:t xml:space="preserve"> </w:t>
      </w:r>
      <w:r w:rsidR="005628A3" w:rsidRPr="00CB2C31">
        <w:rPr>
          <w:lang w:val="en-US"/>
        </w:rPr>
        <w:t xml:space="preserve">There is no </w:t>
      </w:r>
      <w:r w:rsidR="00A1389F" w:rsidRPr="00CB2C31">
        <w:rPr>
          <w:lang w:val="en-US"/>
        </w:rPr>
        <w:t>single</w:t>
      </w:r>
      <w:r w:rsidR="005628A3" w:rsidRPr="00CB2C31">
        <w:rPr>
          <w:lang w:val="en-US"/>
        </w:rPr>
        <w:t xml:space="preserve"> approach </w:t>
      </w:r>
      <w:r w:rsidR="00074179">
        <w:rPr>
          <w:lang w:val="en-US"/>
        </w:rPr>
        <w:t xml:space="preserve">documented </w:t>
      </w:r>
      <w:r w:rsidR="005628A3" w:rsidRPr="00CB2C31">
        <w:rPr>
          <w:lang w:val="en-US"/>
        </w:rPr>
        <w:t>to nominating and electing individuals</w:t>
      </w:r>
      <w:r w:rsidR="00DE0488" w:rsidRPr="00CB2C31">
        <w:rPr>
          <w:lang w:val="en-US"/>
        </w:rPr>
        <w:t xml:space="preserve"> to internati</w:t>
      </w:r>
      <w:r w:rsidR="00FC617F" w:rsidRPr="00CB2C31">
        <w:rPr>
          <w:lang w:val="en-US"/>
        </w:rPr>
        <w:t>onal treaty bodies</w:t>
      </w:r>
      <w:r w:rsidR="007276F8">
        <w:rPr>
          <w:lang w:val="en-US"/>
        </w:rPr>
        <w:t xml:space="preserve"> </w:t>
      </w:r>
      <w:r w:rsidR="00FC617F" w:rsidRPr="00CB2C31">
        <w:rPr>
          <w:lang w:val="en-US"/>
        </w:rPr>
        <w:t>–</w:t>
      </w:r>
      <w:r w:rsidR="007276F8">
        <w:rPr>
          <w:lang w:val="en-US"/>
        </w:rPr>
        <w:t xml:space="preserve"> </w:t>
      </w:r>
      <w:r w:rsidR="005628A3" w:rsidRPr="00CB2C31">
        <w:rPr>
          <w:lang w:val="en-US"/>
        </w:rPr>
        <w:t>even less so for nominating and electing individuals on a diversity basis</w:t>
      </w:r>
      <w:r w:rsidR="00F42D6A" w:rsidRPr="00CB2C31">
        <w:rPr>
          <w:lang w:val="en-US"/>
        </w:rPr>
        <w:t xml:space="preserve">.  </w:t>
      </w:r>
      <w:r w:rsidR="006B449C">
        <w:rPr>
          <w:lang w:val="en-US"/>
        </w:rPr>
        <w:t>However, it is clear that</w:t>
      </w:r>
      <w:r w:rsidR="0043468C">
        <w:rPr>
          <w:lang w:val="en-US"/>
        </w:rPr>
        <w:t xml:space="preserve"> having a defined process that </w:t>
      </w:r>
      <w:r w:rsidR="006B449C">
        <w:rPr>
          <w:lang w:val="en-US"/>
        </w:rPr>
        <w:t>impos</w:t>
      </w:r>
      <w:r w:rsidR="0043468C">
        <w:rPr>
          <w:lang w:val="en-US"/>
        </w:rPr>
        <w:t>es</w:t>
      </w:r>
      <w:r w:rsidR="006B449C">
        <w:rPr>
          <w:lang w:val="en-US"/>
        </w:rPr>
        <w:t xml:space="preserve"> </w:t>
      </w:r>
      <w:r w:rsidR="006B449C" w:rsidRPr="00CB2C31">
        <w:rPr>
          <w:lang w:val="en-US"/>
        </w:rPr>
        <w:t xml:space="preserve">minimum voting requirements </w:t>
      </w:r>
      <w:r w:rsidR="006B449C">
        <w:rPr>
          <w:lang w:val="en-US"/>
        </w:rPr>
        <w:t>for each gender ha</w:t>
      </w:r>
      <w:r w:rsidR="0043468C">
        <w:rPr>
          <w:lang w:val="en-US"/>
        </w:rPr>
        <w:t>s</w:t>
      </w:r>
      <w:r w:rsidR="006B449C">
        <w:rPr>
          <w:lang w:val="en-US"/>
        </w:rPr>
        <w:t xml:space="preserve"> been successful in achieving gender balance at the ICC</w:t>
      </w:r>
      <w:r w:rsidR="0043468C">
        <w:rPr>
          <w:lang w:val="en-US"/>
        </w:rPr>
        <w:t xml:space="preserve">.  Therefore, we </w:t>
      </w:r>
      <w:r w:rsidR="006B449C">
        <w:rPr>
          <w:lang w:val="en-US"/>
        </w:rPr>
        <w:t xml:space="preserve">have included </w:t>
      </w:r>
      <w:r w:rsidR="0043468C">
        <w:rPr>
          <w:lang w:val="en-US"/>
        </w:rPr>
        <w:t xml:space="preserve">having such a process as part of our </w:t>
      </w:r>
      <w:r w:rsidR="006B449C">
        <w:rPr>
          <w:lang w:val="en-US"/>
        </w:rPr>
        <w:t>recommendation</w:t>
      </w:r>
      <w:r w:rsidR="0043468C">
        <w:rPr>
          <w:lang w:val="en-US"/>
        </w:rPr>
        <w:t xml:space="preserve">s.  </w:t>
      </w:r>
      <w:r w:rsidR="006B449C">
        <w:rPr>
          <w:lang w:val="en-US"/>
        </w:rPr>
        <w:t xml:space="preserve"> </w:t>
      </w:r>
      <w:bookmarkStart w:id="116" w:name="_Toc512156405"/>
      <w:bookmarkStart w:id="117" w:name="_Toc512163738"/>
      <w:bookmarkStart w:id="118" w:name="_Ref512868953"/>
      <w:bookmarkStart w:id="119" w:name="_Ref512969922"/>
      <w:bookmarkStart w:id="120" w:name="_Toc513199209"/>
      <w:bookmarkStart w:id="121" w:name="_Ref513204981"/>
      <w:bookmarkStart w:id="122" w:name="_Ref516237258"/>
      <w:bookmarkStart w:id="123" w:name="_Toc15027210"/>
      <w:bookmarkStart w:id="124" w:name="_Toc15027879"/>
    </w:p>
    <w:p w14:paraId="2613D9FC" w14:textId="7DF3F3FE" w:rsidR="00092738" w:rsidRPr="00CB2C31" w:rsidRDefault="00E75B3E" w:rsidP="00623C41">
      <w:pPr>
        <w:pStyle w:val="LegalCombo2"/>
      </w:pPr>
      <w:bookmarkStart w:id="125" w:name="_Toc22904983"/>
      <w:bookmarkStart w:id="126" w:name="_Toc24114382"/>
      <w:r>
        <w:t>EUROPEAN INITIATIVES</w:t>
      </w:r>
      <w:bookmarkEnd w:id="125"/>
      <w:bookmarkEnd w:id="126"/>
      <w:r>
        <w:t xml:space="preserve"> </w:t>
      </w:r>
    </w:p>
    <w:p w14:paraId="30BDBB32" w14:textId="7FD84B21" w:rsidR="00E75B3E" w:rsidRDefault="00E75B3E" w:rsidP="009673DB">
      <w:pPr>
        <w:pStyle w:val="LegalCombo3"/>
      </w:pPr>
      <w:bookmarkStart w:id="127" w:name="_Toc22904984"/>
      <w:bookmarkStart w:id="128" w:name="_Toc24114383"/>
      <w:r>
        <w:t>Introduction</w:t>
      </w:r>
      <w:bookmarkEnd w:id="127"/>
      <w:bookmarkEnd w:id="128"/>
      <w:r>
        <w:t xml:space="preserve"> </w:t>
      </w:r>
    </w:p>
    <w:p w14:paraId="629E4EF1" w14:textId="7031F29C" w:rsidR="00092738" w:rsidRPr="00CB2C31" w:rsidRDefault="00092738" w:rsidP="00623C41">
      <w:pPr>
        <w:pStyle w:val="DoublePara"/>
        <w:rPr>
          <w:lang w:val="en-US"/>
        </w:rPr>
      </w:pPr>
      <w:r w:rsidRPr="00CB2C31">
        <w:rPr>
          <w:lang w:val="en-US"/>
        </w:rPr>
        <w:t xml:space="preserve">Gender equality has been a core European principle since the founding treaty </w:t>
      </w:r>
      <w:r w:rsidR="001D11B8" w:rsidRPr="00CB2C31">
        <w:rPr>
          <w:lang w:val="en-US"/>
        </w:rPr>
        <w:t xml:space="preserve">that created the early versions of </w:t>
      </w:r>
      <w:r w:rsidRPr="00CB2C31">
        <w:rPr>
          <w:lang w:val="en-US"/>
        </w:rPr>
        <w:t>the European institutions that we know today</w:t>
      </w:r>
      <w:r w:rsidR="001D11B8" w:rsidRPr="00CB2C31">
        <w:rPr>
          <w:lang w:val="en-US"/>
        </w:rPr>
        <w:t>.</w:t>
      </w:r>
      <w:r w:rsidR="00F42D6A" w:rsidRPr="00CB2C31">
        <w:rPr>
          <w:lang w:val="en-US"/>
        </w:rPr>
        <w:t xml:space="preserve">  </w:t>
      </w:r>
      <w:r w:rsidR="001D11B8" w:rsidRPr="00CB2C31">
        <w:rPr>
          <w:lang w:val="en-US"/>
        </w:rPr>
        <w:t>The treaty establishing the</w:t>
      </w:r>
      <w:r w:rsidR="00A1389F" w:rsidRPr="00CB2C31">
        <w:rPr>
          <w:lang w:val="en-US"/>
        </w:rPr>
        <w:t xml:space="preserve"> European Economic C</w:t>
      </w:r>
      <w:r w:rsidR="001D11B8" w:rsidRPr="00CB2C31">
        <w:rPr>
          <w:lang w:val="en-US"/>
        </w:rPr>
        <w:t xml:space="preserve">ommunity </w:t>
      </w:r>
      <w:r w:rsidR="00697662" w:rsidRPr="00CB2C31">
        <w:rPr>
          <w:lang w:val="en-US"/>
        </w:rPr>
        <w:t>already included the concept of equal pay between men and women for equal work</w:t>
      </w:r>
      <w:r w:rsidRPr="00CB2C31">
        <w:rPr>
          <w:lang w:val="en-US"/>
        </w:rPr>
        <w:t xml:space="preserve"> among its fundamental values in the late 1950s.</w:t>
      </w:r>
      <w:bookmarkStart w:id="129" w:name="_Ref16187645"/>
      <w:r w:rsidRPr="00CB2C31">
        <w:rPr>
          <w:rStyle w:val="FootnoteReference"/>
          <w:lang w:val="en-US"/>
        </w:rPr>
        <w:footnoteReference w:id="63"/>
      </w:r>
      <w:bookmarkEnd w:id="129"/>
      <w:r w:rsidR="000B507A">
        <w:rPr>
          <w:lang w:val="en-US"/>
        </w:rPr>
        <w:t xml:space="preserve"> </w:t>
      </w:r>
      <w:r w:rsidRPr="00CB2C31">
        <w:rPr>
          <w:lang w:val="en-US"/>
        </w:rPr>
        <w:t xml:space="preserve"> However, progress has been slow</w:t>
      </w:r>
      <w:r w:rsidR="00F42D6A" w:rsidRPr="00CB2C31">
        <w:rPr>
          <w:lang w:val="en-US"/>
        </w:rPr>
        <w:t xml:space="preserve">.  </w:t>
      </w:r>
      <w:r w:rsidR="001D11B8" w:rsidRPr="00CB2C31">
        <w:rPr>
          <w:lang w:val="en-US"/>
        </w:rPr>
        <w:t xml:space="preserve">The </w:t>
      </w:r>
      <w:r w:rsidRPr="00CB2C31">
        <w:rPr>
          <w:lang w:val="en-US"/>
        </w:rPr>
        <w:t xml:space="preserve">first text seeking to compel member states to transpose equal pay rules into their legislative frameworks was a directive on equal pay for men and women </w:t>
      </w:r>
      <w:r w:rsidR="001D11B8" w:rsidRPr="00CB2C31">
        <w:rPr>
          <w:lang w:val="en-US"/>
        </w:rPr>
        <w:t xml:space="preserve">which was </w:t>
      </w:r>
      <w:r w:rsidRPr="00CB2C31">
        <w:rPr>
          <w:lang w:val="en-US"/>
        </w:rPr>
        <w:t>adopted 18 years later, in 1975.</w:t>
      </w:r>
      <w:r w:rsidRPr="00CB2C31">
        <w:rPr>
          <w:rStyle w:val="FootnoteReference"/>
          <w:lang w:val="en-US"/>
        </w:rPr>
        <w:footnoteReference w:id="64"/>
      </w:r>
      <w:r w:rsidRPr="00CB2C31">
        <w:rPr>
          <w:lang w:val="en-US"/>
        </w:rPr>
        <w:t xml:space="preserve"> </w:t>
      </w:r>
      <w:r w:rsidR="000B507A">
        <w:rPr>
          <w:lang w:val="en-US"/>
        </w:rPr>
        <w:t xml:space="preserve"> </w:t>
      </w:r>
      <w:r w:rsidRPr="00CB2C31">
        <w:rPr>
          <w:lang w:val="en-US"/>
        </w:rPr>
        <w:t>Thereafter, gender equality rules were broadened and strengthened with the successive entry into force of specific non-discrimination principles introduced into the founding treaties by the Treaty of Amsterdam in 1999 and the Treaty of Lisbon in 2009:</w:t>
      </w:r>
      <w:r w:rsidRPr="00CB2C31">
        <w:rPr>
          <w:rStyle w:val="FootnoteReference"/>
          <w:lang w:val="en-US"/>
        </w:rPr>
        <w:footnoteReference w:id="65"/>
      </w:r>
      <w:r w:rsidRPr="00CB2C31">
        <w:rPr>
          <w:lang w:val="en-US"/>
        </w:rPr>
        <w:t xml:space="preserve"> Article 10 of the Treaty on the Functioning of the European Union specifies that </w:t>
      </w:r>
      <w:r w:rsidR="00203E75" w:rsidRPr="00203E75">
        <w:rPr>
          <w:i/>
          <w:lang w:val="en-US"/>
        </w:rPr>
        <w:t>“</w:t>
      </w:r>
      <w:r w:rsidRPr="00CB2C31">
        <w:rPr>
          <w:i/>
          <w:lang w:val="en-US"/>
        </w:rPr>
        <w:t>[</w:t>
      </w:r>
      <w:r w:rsidRPr="00CB2C31">
        <w:rPr>
          <w:i/>
          <w:iCs/>
          <w:lang w:val="en-US"/>
        </w:rPr>
        <w:t>i]n defining and implementing its policies and activities, the Union shall aim to combat discrimination based on sex, racial or ethnic origin, religion or belief, disability, age or sexual orientation</w:t>
      </w:r>
      <w:r w:rsidR="00203E75" w:rsidRPr="00203E75">
        <w:rPr>
          <w:i/>
          <w:lang w:val="en-US"/>
        </w:rPr>
        <w:t>”</w:t>
      </w:r>
      <w:r w:rsidRPr="00CB2C31">
        <w:rPr>
          <w:lang w:val="en-US"/>
        </w:rPr>
        <w:t>;</w:t>
      </w:r>
      <w:r w:rsidRPr="00CB2C31">
        <w:rPr>
          <w:rStyle w:val="FootnoteReference"/>
          <w:lang w:val="en-US"/>
        </w:rPr>
        <w:footnoteReference w:id="66"/>
      </w:r>
      <w:r w:rsidRPr="00CB2C31">
        <w:rPr>
          <w:lang w:val="en-US"/>
        </w:rPr>
        <w:t xml:space="preserve"> separately, articles 2 and 3 of the Treaty of the European Union confirm the principle of gender equality as a founding principle and bind the European Union to promote gender equality in all its activities.</w:t>
      </w:r>
      <w:r w:rsidRPr="00CB2C31">
        <w:rPr>
          <w:rStyle w:val="FootnoteReference"/>
          <w:lang w:val="en-US"/>
        </w:rPr>
        <w:footnoteReference w:id="67"/>
      </w:r>
    </w:p>
    <w:p w14:paraId="6E476ECE" w14:textId="77777777" w:rsidR="00092738" w:rsidRPr="00CB2C31" w:rsidRDefault="00092738" w:rsidP="00623C41">
      <w:pPr>
        <w:pStyle w:val="DoublePara"/>
        <w:rPr>
          <w:lang w:val="en-US"/>
        </w:rPr>
      </w:pPr>
      <w:r w:rsidRPr="00CB2C31">
        <w:rPr>
          <w:lang w:val="en-US"/>
        </w:rPr>
        <w:t>The Lisbon Treaty also made legally binding the Charter of Fundamental Rights of the European Union, which (amongst other things) prohibits discrimination on any ground, including sex (Article 21) and recognizes the right to gender equality in all areas and the necessity of positive action for its promotion (Article 23).</w:t>
      </w:r>
      <w:r w:rsidRPr="00CB2C31">
        <w:rPr>
          <w:rStyle w:val="FootnoteReference"/>
          <w:lang w:val="en-US"/>
        </w:rPr>
        <w:footnoteReference w:id="68"/>
      </w:r>
    </w:p>
    <w:p w14:paraId="4572CD52" w14:textId="77777777" w:rsidR="00092738" w:rsidRDefault="00CB2C31" w:rsidP="009673DB">
      <w:pPr>
        <w:pStyle w:val="LegalCombo3"/>
      </w:pPr>
      <w:bookmarkStart w:id="130" w:name="_Toc15027196"/>
      <w:bookmarkStart w:id="131" w:name="_Toc15027589"/>
      <w:bookmarkStart w:id="132" w:name="_Toc15027865"/>
      <w:bookmarkStart w:id="133" w:name="_Toc16692476"/>
      <w:bookmarkStart w:id="134" w:name="_Toc22904985"/>
      <w:bookmarkStart w:id="135" w:name="_Toc24114384"/>
      <w:r w:rsidRPr="00042E7C">
        <w:t>Proposed Directive Regarding Gender Balance on Corporate Boards</w:t>
      </w:r>
      <w:bookmarkEnd w:id="130"/>
      <w:bookmarkEnd w:id="131"/>
      <w:bookmarkEnd w:id="132"/>
      <w:bookmarkEnd w:id="133"/>
      <w:bookmarkEnd w:id="134"/>
      <w:bookmarkEnd w:id="135"/>
    </w:p>
    <w:p w14:paraId="313DD43C" w14:textId="2AB4B1E6" w:rsidR="00446822" w:rsidRPr="00CB2C31" w:rsidRDefault="00446822" w:rsidP="009673DB">
      <w:pPr>
        <w:pStyle w:val="LegalCombo4"/>
      </w:pPr>
      <w:r>
        <w:t xml:space="preserve">Introduction </w:t>
      </w:r>
    </w:p>
    <w:p w14:paraId="603B9FA0" w14:textId="3AECE7A1" w:rsidR="00092738" w:rsidRPr="00CB2C31" w:rsidRDefault="00092738" w:rsidP="00623C41">
      <w:pPr>
        <w:pStyle w:val="DoublePara"/>
        <w:rPr>
          <w:lang w:val="en-US" w:eastAsia="en-GB"/>
        </w:rPr>
      </w:pPr>
      <w:r w:rsidRPr="00CB2C31">
        <w:rPr>
          <w:lang w:val="en-US" w:eastAsia="en-GB"/>
        </w:rPr>
        <w:t xml:space="preserve">In response to frustration </w:t>
      </w:r>
      <w:r w:rsidR="00DF1F22">
        <w:rPr>
          <w:lang w:val="en-US" w:eastAsia="en-GB"/>
        </w:rPr>
        <w:t xml:space="preserve">at the </w:t>
      </w:r>
      <w:r w:rsidR="00DF1F22" w:rsidRPr="00C07F23">
        <w:rPr>
          <w:lang w:val="en-US" w:eastAsia="en-GB"/>
        </w:rPr>
        <w:t>persistent gender imbalances</w:t>
      </w:r>
      <w:r w:rsidR="00DF1F22">
        <w:rPr>
          <w:lang w:val="en-US" w:eastAsia="en-GB"/>
        </w:rPr>
        <w:t xml:space="preserve"> in the boardrooms of </w:t>
      </w:r>
      <w:r w:rsidR="00074179">
        <w:rPr>
          <w:lang w:val="en-US" w:eastAsia="en-GB"/>
        </w:rPr>
        <w:t>companies established within</w:t>
      </w:r>
      <w:r w:rsidRPr="00CB2C31">
        <w:rPr>
          <w:lang w:val="en-US" w:eastAsia="en-GB"/>
        </w:rPr>
        <w:t xml:space="preserve"> the European Union and the concern that the discrepancies or absence of regulation at </w:t>
      </w:r>
      <w:r w:rsidR="001A46A2">
        <w:rPr>
          <w:lang w:val="en-US" w:eastAsia="en-GB"/>
        </w:rPr>
        <w:t xml:space="preserve">the </w:t>
      </w:r>
      <w:r w:rsidRPr="00CB2C31">
        <w:rPr>
          <w:lang w:val="en-US" w:eastAsia="en-GB"/>
        </w:rPr>
        <w:t xml:space="preserve">national level also </w:t>
      </w:r>
      <w:r w:rsidR="00203E75" w:rsidRPr="00203E75">
        <w:rPr>
          <w:i/>
          <w:lang w:val="en-US" w:eastAsia="en-GB"/>
        </w:rPr>
        <w:t>“</w:t>
      </w:r>
      <w:r w:rsidRPr="00CB2C31">
        <w:rPr>
          <w:i/>
          <w:lang w:val="en-US" w:eastAsia="en-GB"/>
        </w:rPr>
        <w:t>pose[d] barriers to the internal market by imposing divergent corporate governance requirements on European listed companies</w:t>
      </w:r>
      <w:r w:rsidR="007276F8">
        <w:rPr>
          <w:lang w:val="en-US" w:eastAsia="en-GB"/>
        </w:rPr>
        <w:t>,</w:t>
      </w:r>
      <w:r w:rsidR="00203E75" w:rsidRPr="00203E75">
        <w:rPr>
          <w:i/>
          <w:lang w:val="en-US" w:eastAsia="en-GB"/>
        </w:rPr>
        <w:t>”</w:t>
      </w:r>
      <w:r w:rsidRPr="00CB2C31">
        <w:rPr>
          <w:lang w:val="en-US" w:eastAsia="en-GB"/>
        </w:rPr>
        <w:t xml:space="preserve"> and after thorough consultation as to the best option to promote gender equality, the European Commission put forward a proposal </w:t>
      </w:r>
      <w:r w:rsidR="00182C78" w:rsidRPr="00CB2C31">
        <w:rPr>
          <w:lang w:val="en-US" w:eastAsia="en-GB"/>
        </w:rPr>
        <w:t>in November 2012</w:t>
      </w:r>
      <w:r w:rsidR="00182C78">
        <w:rPr>
          <w:lang w:val="en-US" w:eastAsia="en-GB"/>
        </w:rPr>
        <w:t xml:space="preserve"> </w:t>
      </w:r>
      <w:r w:rsidRPr="00CB2C31">
        <w:rPr>
          <w:lang w:val="en-US" w:eastAsia="en-GB"/>
        </w:rPr>
        <w:t xml:space="preserve">for a directive </w:t>
      </w:r>
      <w:r w:rsidR="00203E75" w:rsidRPr="00203E75">
        <w:rPr>
          <w:i/>
          <w:lang w:val="en-US" w:eastAsia="en-GB"/>
        </w:rPr>
        <w:t>“</w:t>
      </w:r>
      <w:r w:rsidRPr="00CB2C31">
        <w:rPr>
          <w:i/>
          <w:lang w:val="en-US" w:eastAsia="en-GB"/>
        </w:rPr>
        <w:t>on improving the gender balance among non-executive directors of companies listed on stock exchanges and related measures</w:t>
      </w:r>
      <w:r w:rsidR="007276F8">
        <w:rPr>
          <w:lang w:val="en-US" w:eastAsia="en-GB"/>
        </w:rPr>
        <w:t>.</w:t>
      </w:r>
      <w:r w:rsidR="00203E75" w:rsidRPr="00203E75">
        <w:rPr>
          <w:i/>
          <w:lang w:val="en-US" w:eastAsia="en-GB"/>
        </w:rPr>
        <w:t>”</w:t>
      </w:r>
      <w:r w:rsidRPr="00CB2C31">
        <w:rPr>
          <w:rStyle w:val="FootnoteReference"/>
          <w:rFonts w:ascii="Times New Roman" w:eastAsia="Times New Roman" w:hAnsi="Times New Roman" w:cs="Times New Roman"/>
          <w:lang w:val="en-US" w:eastAsia="en-GB"/>
        </w:rPr>
        <w:footnoteReference w:id="69"/>
      </w:r>
      <w:r w:rsidR="001D11B8" w:rsidRPr="00CB2C31">
        <w:rPr>
          <w:lang w:val="en-US" w:eastAsia="en-GB"/>
        </w:rPr>
        <w:t xml:space="preserve"> </w:t>
      </w:r>
      <w:r w:rsidR="000B507A">
        <w:rPr>
          <w:lang w:val="en-US" w:eastAsia="en-GB"/>
        </w:rPr>
        <w:t xml:space="preserve"> </w:t>
      </w:r>
      <w:r w:rsidR="00913DCB">
        <w:rPr>
          <w:lang w:val="en-US" w:eastAsia="en-GB"/>
        </w:rPr>
        <w:t>Despite receiving strong support from the European Parliament, t</w:t>
      </w:r>
      <w:r w:rsidR="00913DCB" w:rsidRPr="00CB2C31">
        <w:rPr>
          <w:lang w:val="en-US" w:eastAsia="en-GB"/>
        </w:rPr>
        <w:t xml:space="preserve">he proposed directive </w:t>
      </w:r>
      <w:r w:rsidR="00913DCB">
        <w:rPr>
          <w:lang w:val="en-US" w:eastAsia="en-GB"/>
        </w:rPr>
        <w:t xml:space="preserve">is now blocked at </w:t>
      </w:r>
      <w:r w:rsidR="00913DCB" w:rsidRPr="00CB2C31">
        <w:rPr>
          <w:lang w:val="en-US" w:eastAsia="en-GB"/>
        </w:rPr>
        <w:t xml:space="preserve">the European </w:t>
      </w:r>
      <w:r w:rsidR="00913DCB">
        <w:rPr>
          <w:lang w:val="en-US" w:eastAsia="en-GB"/>
        </w:rPr>
        <w:t xml:space="preserve">Council level as a result of the </w:t>
      </w:r>
      <w:r w:rsidR="00913DCB" w:rsidRPr="00CB2C31">
        <w:rPr>
          <w:lang w:val="en-US" w:eastAsia="en-GB"/>
        </w:rPr>
        <w:t>objections of certain Member States (Denmark, the Netherlands, Poland, Sweden, the UK and the Czech Republic)</w:t>
      </w:r>
      <w:r w:rsidR="00913DCB">
        <w:rPr>
          <w:lang w:val="en-US" w:eastAsia="en-GB"/>
        </w:rPr>
        <w:t xml:space="preserve">.  The </w:t>
      </w:r>
      <w:r w:rsidR="00913DCB" w:rsidRPr="00CB2C31">
        <w:rPr>
          <w:lang w:val="en-US" w:eastAsia="en-GB"/>
        </w:rPr>
        <w:t xml:space="preserve">amendments </w:t>
      </w:r>
      <w:r w:rsidR="00913DCB">
        <w:rPr>
          <w:lang w:val="en-US" w:eastAsia="en-GB"/>
        </w:rPr>
        <w:t xml:space="preserve">subsequently proposed by </w:t>
      </w:r>
      <w:r w:rsidR="00913DCB" w:rsidRPr="00CB2C31">
        <w:rPr>
          <w:lang w:val="en-US" w:eastAsia="en-GB"/>
        </w:rPr>
        <w:t>the Maltese Presidency of the European Council, on May 31, 2017</w:t>
      </w:r>
      <w:r w:rsidR="00913DCB">
        <w:rPr>
          <w:lang w:val="en-US" w:eastAsia="en-GB"/>
        </w:rPr>
        <w:t>,</w:t>
      </w:r>
      <w:r w:rsidR="00913DCB" w:rsidRPr="00CB2C31">
        <w:rPr>
          <w:lang w:val="en-US" w:eastAsia="en-GB"/>
        </w:rPr>
        <w:t xml:space="preserve"> to </w:t>
      </w:r>
      <w:r w:rsidR="00913DCB">
        <w:rPr>
          <w:lang w:val="en-US" w:eastAsia="en-GB"/>
        </w:rPr>
        <w:t xml:space="preserve">water down </w:t>
      </w:r>
      <w:r w:rsidR="00913DCB" w:rsidRPr="00CB2C31">
        <w:rPr>
          <w:lang w:val="en-US" w:eastAsia="en-GB"/>
        </w:rPr>
        <w:t>the draft directive</w:t>
      </w:r>
      <w:r w:rsidR="000C5561">
        <w:rPr>
          <w:lang w:val="en-US" w:eastAsia="en-GB"/>
        </w:rPr>
        <w:t xml:space="preserve"> have not, to date, succeeded in breaking</w:t>
      </w:r>
      <w:r w:rsidR="00913DCB">
        <w:rPr>
          <w:lang w:val="en-US" w:eastAsia="en-GB"/>
        </w:rPr>
        <w:t xml:space="preserve"> the deadlock.</w:t>
      </w:r>
      <w:r w:rsidR="00913DCB" w:rsidRPr="00CB2C31">
        <w:rPr>
          <w:rStyle w:val="FootnoteReference"/>
          <w:rFonts w:ascii="Times New Roman" w:eastAsia="Times New Roman" w:hAnsi="Times New Roman" w:cs="Times New Roman"/>
          <w:lang w:val="en-US" w:eastAsia="en-GB"/>
        </w:rPr>
        <w:footnoteReference w:id="70"/>
      </w:r>
      <w:r w:rsidR="00913DCB">
        <w:rPr>
          <w:lang w:val="en-US" w:eastAsia="en-GB"/>
        </w:rPr>
        <w:t xml:space="preserve">  </w:t>
      </w:r>
      <w:r w:rsidR="001D11B8" w:rsidRPr="00CB2C31">
        <w:rPr>
          <w:lang w:val="en-US" w:eastAsia="en-GB"/>
        </w:rPr>
        <w:t>Although the directive has not yet been finalized, it provides good examples of practi</w:t>
      </w:r>
      <w:r w:rsidR="00FF0CA7" w:rsidRPr="00CB2C31">
        <w:rPr>
          <w:lang w:val="en-US" w:eastAsia="en-GB"/>
        </w:rPr>
        <w:t xml:space="preserve">ces </w:t>
      </w:r>
      <w:r w:rsidR="00A1389F" w:rsidRPr="00CB2C31">
        <w:rPr>
          <w:lang w:val="en-US" w:eastAsia="en-GB"/>
        </w:rPr>
        <w:t>that</w:t>
      </w:r>
      <w:r w:rsidR="00FF0CA7" w:rsidRPr="00CB2C31">
        <w:rPr>
          <w:lang w:val="en-US" w:eastAsia="en-GB"/>
        </w:rPr>
        <w:t xml:space="preserve"> treaty </w:t>
      </w:r>
      <w:r w:rsidR="001D11B8" w:rsidRPr="00CB2C31">
        <w:rPr>
          <w:lang w:val="en-US" w:eastAsia="en-GB"/>
        </w:rPr>
        <w:t xml:space="preserve">bodies could put in place to address gender </w:t>
      </w:r>
      <w:r w:rsidR="00A1389F" w:rsidRPr="00CB2C31">
        <w:rPr>
          <w:lang w:val="en-US" w:eastAsia="en-GB"/>
        </w:rPr>
        <w:t>im</w:t>
      </w:r>
      <w:r w:rsidR="001D11B8" w:rsidRPr="00CB2C31">
        <w:rPr>
          <w:lang w:val="en-US" w:eastAsia="en-GB"/>
        </w:rPr>
        <w:t>balance</w:t>
      </w:r>
      <w:r w:rsidR="00127CD7">
        <w:rPr>
          <w:lang w:val="en-US" w:eastAsia="en-GB"/>
        </w:rPr>
        <w:t>s</w:t>
      </w:r>
      <w:r w:rsidR="001D11B8" w:rsidRPr="00CB2C31">
        <w:rPr>
          <w:lang w:val="en-US" w:eastAsia="en-GB"/>
        </w:rPr>
        <w:t>.</w:t>
      </w:r>
    </w:p>
    <w:p w14:paraId="08D66FD3" w14:textId="7A86ED6C" w:rsidR="00042E7C" w:rsidRDefault="00042E7C" w:rsidP="009673DB">
      <w:pPr>
        <w:pStyle w:val="LegalCombo4"/>
        <w:rPr>
          <w:lang w:eastAsia="en-GB"/>
        </w:rPr>
      </w:pPr>
      <w:r>
        <w:rPr>
          <w:lang w:eastAsia="en-GB"/>
        </w:rPr>
        <w:t>Requirements of the</w:t>
      </w:r>
      <w:r w:rsidR="007D1A01">
        <w:rPr>
          <w:lang w:eastAsia="en-GB"/>
        </w:rPr>
        <w:t xml:space="preserve"> proposed</w:t>
      </w:r>
      <w:r>
        <w:rPr>
          <w:lang w:eastAsia="en-GB"/>
        </w:rPr>
        <w:t xml:space="preserve"> directive</w:t>
      </w:r>
    </w:p>
    <w:p w14:paraId="6A6798FC" w14:textId="77777777" w:rsidR="00092738" w:rsidRPr="00CB2C31" w:rsidRDefault="00092738" w:rsidP="00623C41">
      <w:pPr>
        <w:pStyle w:val="DoublePara"/>
        <w:rPr>
          <w:lang w:val="en-US" w:eastAsia="en-GB"/>
        </w:rPr>
      </w:pPr>
      <w:r w:rsidRPr="00CB2C31">
        <w:rPr>
          <w:lang w:val="en-US" w:eastAsia="en-GB"/>
        </w:rPr>
        <w:t>The main requirements of the</w:t>
      </w:r>
      <w:r w:rsidR="00F74063" w:rsidRPr="00CB2C31">
        <w:rPr>
          <w:lang w:val="en-US" w:eastAsia="en-GB"/>
        </w:rPr>
        <w:t xml:space="preserve"> </w:t>
      </w:r>
      <w:r w:rsidRPr="00CB2C31">
        <w:rPr>
          <w:lang w:val="en-US" w:eastAsia="en-GB"/>
        </w:rPr>
        <w:t xml:space="preserve">proposed </w:t>
      </w:r>
      <w:r w:rsidR="00913DCB">
        <w:rPr>
          <w:lang w:val="en-US" w:eastAsia="en-GB"/>
        </w:rPr>
        <w:t xml:space="preserve">draft </w:t>
      </w:r>
      <w:r w:rsidR="00074179" w:rsidRPr="00CB2C31">
        <w:rPr>
          <w:lang w:val="en-US" w:eastAsia="en-GB"/>
        </w:rPr>
        <w:t>directive</w:t>
      </w:r>
      <w:r w:rsidR="00913DCB">
        <w:rPr>
          <w:lang w:val="en-US" w:eastAsia="en-GB"/>
        </w:rPr>
        <w:t xml:space="preserve">, as </w:t>
      </w:r>
      <w:r w:rsidR="000330EC">
        <w:rPr>
          <w:lang w:val="en-US" w:eastAsia="en-GB"/>
        </w:rPr>
        <w:t>watered down</w:t>
      </w:r>
      <w:r w:rsidR="00913DCB">
        <w:rPr>
          <w:lang w:val="en-US" w:eastAsia="en-GB"/>
        </w:rPr>
        <w:t xml:space="preserve"> in 2017,</w:t>
      </w:r>
      <w:r w:rsidR="000330EC" w:rsidRPr="00CB2C31">
        <w:rPr>
          <w:rStyle w:val="FootnoteReference"/>
          <w:rFonts w:ascii="Times New Roman" w:eastAsia="Times New Roman" w:hAnsi="Times New Roman" w:cs="Times New Roman"/>
          <w:lang w:val="en-US" w:eastAsia="en-GB"/>
        </w:rPr>
        <w:footnoteReference w:id="71"/>
      </w:r>
      <w:r w:rsidR="00074179" w:rsidRPr="00CB2C31">
        <w:rPr>
          <w:lang w:val="en-US" w:eastAsia="en-GB"/>
        </w:rPr>
        <w:t xml:space="preserve"> </w:t>
      </w:r>
      <w:r w:rsidRPr="00CB2C31">
        <w:rPr>
          <w:lang w:val="en-US" w:eastAsia="en-GB"/>
        </w:rPr>
        <w:t>are as follows:</w:t>
      </w:r>
    </w:p>
    <w:p w14:paraId="2364EFEA" w14:textId="2FA1E0C8" w:rsidR="00092738" w:rsidRPr="00CB2C31" w:rsidRDefault="00092738" w:rsidP="00623C41">
      <w:pPr>
        <w:pStyle w:val="BulletPara"/>
        <w:jc w:val="both"/>
      </w:pPr>
      <w:r w:rsidRPr="00CB2C31">
        <w:t xml:space="preserve">to ensure a quantified target </w:t>
      </w:r>
      <w:r w:rsidR="000330EC" w:rsidRPr="00CB2C31">
        <w:t>of the closest to either (i) 40% (but less than 50%) of non-executive director positions or (ii) 33% (but less than 50%) of all executive and non-executive director positions, in each case by December 31, 2022</w:t>
      </w:r>
      <w:r w:rsidR="000330EC">
        <w:t xml:space="preserve">, in each case </w:t>
      </w:r>
      <w:r w:rsidR="000330EC" w:rsidRPr="00CB2C31">
        <w:t>on the board of listed companies being held by the under-represented gender</w:t>
      </w:r>
      <w:r w:rsidR="000330EC">
        <w:t xml:space="preserve"> </w:t>
      </w:r>
      <w:r w:rsidR="000330EC" w:rsidRPr="00CB2C31">
        <w:t>and with pragmatic computation;</w:t>
      </w:r>
      <w:r w:rsidR="000330EC" w:rsidRPr="00CB2C31">
        <w:rPr>
          <w:rStyle w:val="FootnoteReference"/>
        </w:rPr>
        <w:footnoteReference w:id="72"/>
      </w:r>
    </w:p>
    <w:p w14:paraId="72549ADA" w14:textId="77777777" w:rsidR="00092738" w:rsidRPr="00CB2C31" w:rsidRDefault="00092738" w:rsidP="00623C41">
      <w:pPr>
        <w:pStyle w:val="BulletPara"/>
        <w:jc w:val="both"/>
      </w:pPr>
      <w:r w:rsidRPr="00CB2C31">
        <w:t xml:space="preserve">where the target is not met, to procure appointments to those positions based on pre-established, clear, neutrally formulated and unambiguous criteria such that the target is met </w:t>
      </w:r>
      <w:r w:rsidR="000330EC">
        <w:t>within three years from adoption of the directive</w:t>
      </w:r>
      <w:r w:rsidRPr="00CB2C31">
        <w:t>;</w:t>
      </w:r>
    </w:p>
    <w:p w14:paraId="32C59BE6" w14:textId="77777777" w:rsidR="00092738" w:rsidRPr="00CB2C31" w:rsidRDefault="00092738" w:rsidP="00623C41">
      <w:pPr>
        <w:pStyle w:val="BulletPara"/>
        <w:jc w:val="both"/>
      </w:pPr>
      <w:r w:rsidRPr="00CB2C31">
        <w:t>in the selection process, to ensure priority to candidates of the under-represented gender if equally qualified, unless an objective assessment of all criteria specific to the individuals tilts the balance in favor of the candidate of the other gender (such qualification and assessment criteria to be disclosed on request of the unsuccessful candidate); and</w:t>
      </w:r>
    </w:p>
    <w:p w14:paraId="61FAA663" w14:textId="77777777" w:rsidR="00092738" w:rsidRPr="00CB2C31" w:rsidRDefault="00092738" w:rsidP="00623C41">
      <w:pPr>
        <w:pStyle w:val="BulletPara"/>
        <w:jc w:val="both"/>
      </w:pPr>
      <w:r w:rsidRPr="00CB2C31">
        <w:t>to lay down rules on annual reporting and on effective, proportionate and dissuasive sanctions applicable to infringements</w:t>
      </w:r>
      <w:r w:rsidR="000330EC">
        <w:t xml:space="preserve"> – the European Parliament has </w:t>
      </w:r>
      <w:r w:rsidR="000330EC">
        <w:rPr>
          <w:lang w:eastAsia="en-GB"/>
        </w:rPr>
        <w:t xml:space="preserve">suggested </w:t>
      </w:r>
      <w:r w:rsidR="000330EC" w:rsidRPr="00CB2C31">
        <w:rPr>
          <w:lang w:eastAsia="en-GB"/>
        </w:rPr>
        <w:t xml:space="preserve">stronger penalties for non-compliance (such as exclusion from public tenders, removal of exemptions and broader reporting to the </w:t>
      </w:r>
      <w:r w:rsidR="000330EC">
        <w:rPr>
          <w:lang w:eastAsia="en-GB"/>
        </w:rPr>
        <w:t>European Union</w:t>
      </w:r>
      <w:r w:rsidR="000330EC" w:rsidRPr="00CB2C31">
        <w:rPr>
          <w:lang w:eastAsia="en-GB"/>
        </w:rPr>
        <w:t>, for example)</w:t>
      </w:r>
      <w:r w:rsidRPr="00CB2C31">
        <w:t>.</w:t>
      </w:r>
    </w:p>
    <w:p w14:paraId="67CE0A04" w14:textId="4ED63E6D" w:rsidR="00092738" w:rsidRDefault="00092738" w:rsidP="0092398C">
      <w:pPr>
        <w:pStyle w:val="DoublePara"/>
        <w:rPr>
          <w:lang w:val="en-US" w:eastAsia="en-GB"/>
        </w:rPr>
      </w:pPr>
      <w:r w:rsidRPr="00CB2C31">
        <w:rPr>
          <w:lang w:val="en-US" w:eastAsia="en-GB"/>
        </w:rPr>
        <w:t xml:space="preserve">The European Commission </w:t>
      </w:r>
      <w:r w:rsidR="005909D5">
        <w:rPr>
          <w:lang w:val="en-US" w:eastAsia="en-GB"/>
        </w:rPr>
        <w:t>has included in the draft directive</w:t>
      </w:r>
      <w:r w:rsidR="001D11B8" w:rsidRPr="00CB2C31">
        <w:rPr>
          <w:lang w:val="en-US" w:eastAsia="en-GB"/>
        </w:rPr>
        <w:t xml:space="preserve"> exceptions for executive directors and </w:t>
      </w:r>
      <w:r w:rsidR="00F74063" w:rsidRPr="00CB2C31">
        <w:rPr>
          <w:lang w:val="en-US" w:eastAsia="en-GB"/>
        </w:rPr>
        <w:t xml:space="preserve">for </w:t>
      </w:r>
      <w:r w:rsidR="001D11B8" w:rsidRPr="00CB2C31">
        <w:rPr>
          <w:lang w:val="en-US" w:eastAsia="en-GB"/>
        </w:rPr>
        <w:t>small and medium</w:t>
      </w:r>
      <w:r w:rsidR="00A24BDC">
        <w:rPr>
          <w:lang w:val="en-US" w:eastAsia="en-GB"/>
        </w:rPr>
        <w:t>-</w:t>
      </w:r>
      <w:r w:rsidR="001D11B8" w:rsidRPr="00CB2C31">
        <w:rPr>
          <w:lang w:val="en-US" w:eastAsia="en-GB"/>
        </w:rPr>
        <w:t>sized enterprises</w:t>
      </w:r>
      <w:r w:rsidR="00F74063" w:rsidRPr="00CB2C31">
        <w:rPr>
          <w:rStyle w:val="FootnoteReference"/>
          <w:rFonts w:ascii="Times New Roman" w:eastAsia="Times New Roman" w:hAnsi="Times New Roman" w:cs="Times New Roman"/>
          <w:lang w:val="en-US" w:eastAsia="en-GB"/>
        </w:rPr>
        <w:footnoteReference w:id="73"/>
      </w:r>
      <w:r w:rsidR="00FF0CA7" w:rsidRPr="00CB2C31">
        <w:rPr>
          <w:lang w:val="en-US" w:eastAsia="en-GB"/>
        </w:rPr>
        <w:t xml:space="preserve"> in order to strike</w:t>
      </w:r>
      <w:r w:rsidR="001D11B8" w:rsidRPr="00CB2C31">
        <w:rPr>
          <w:lang w:val="en-US" w:eastAsia="en-GB"/>
        </w:rPr>
        <w:t xml:space="preserve"> </w:t>
      </w:r>
      <w:r w:rsidR="00203E75" w:rsidRPr="00203E75">
        <w:rPr>
          <w:i/>
          <w:lang w:val="en-US" w:eastAsia="en-GB"/>
        </w:rPr>
        <w:t>“</w:t>
      </w:r>
      <w:r w:rsidRPr="00CB2C31">
        <w:rPr>
          <w:i/>
          <w:lang w:val="en-US" w:eastAsia="en-GB"/>
        </w:rPr>
        <w:t>the right balance between the necessity to increase the gender diversity of boards on the one hand and the need to minimise interference with day-to-day management of a company on the other</w:t>
      </w:r>
      <w:r w:rsidR="007276F8">
        <w:rPr>
          <w:lang w:val="en-US" w:eastAsia="en-GB"/>
        </w:rPr>
        <w:t>.</w:t>
      </w:r>
      <w:r w:rsidR="00203E75" w:rsidRPr="00203E75">
        <w:rPr>
          <w:i/>
          <w:lang w:val="en-US" w:eastAsia="en-GB"/>
        </w:rPr>
        <w:t>”</w:t>
      </w:r>
      <w:r w:rsidRPr="00CB2C31">
        <w:rPr>
          <w:rStyle w:val="FootnoteReference"/>
          <w:lang w:val="en-US" w:eastAsia="en-GB"/>
        </w:rPr>
        <w:footnoteReference w:id="74"/>
      </w:r>
      <w:r w:rsidR="00593F1F">
        <w:rPr>
          <w:lang w:val="en-US" w:eastAsia="en-GB"/>
        </w:rPr>
        <w:t xml:space="preserve">  </w:t>
      </w:r>
      <w:r w:rsidR="005909D5" w:rsidRPr="00CB2C31">
        <w:rPr>
          <w:lang w:val="en-US"/>
        </w:rPr>
        <w:t>The Member States are also entitled</w:t>
      </w:r>
      <w:r w:rsidR="000330EC">
        <w:rPr>
          <w:lang w:val="en-US"/>
        </w:rPr>
        <w:t>: (i)</w:t>
      </w:r>
      <w:r w:rsidR="005909D5" w:rsidRPr="00CB2C31">
        <w:rPr>
          <w:lang w:val="en-US"/>
        </w:rPr>
        <w:t xml:space="preserve"> to allow non-compliance where the members of the under-represented gender represent less than 10% of the workforce or at least 33% of all director positions (both executive and non-executive directors)</w:t>
      </w:r>
      <w:r w:rsidR="000330EC">
        <w:rPr>
          <w:lang w:val="en-US"/>
        </w:rPr>
        <w:t xml:space="preserve"> or even (ii) </w:t>
      </w:r>
      <w:r w:rsidR="000330EC" w:rsidRPr="00CB2C31">
        <w:t>to temporarily</w:t>
      </w:r>
      <w:r w:rsidR="000330EC" w:rsidRPr="00CB2C31">
        <w:rPr>
          <w:rStyle w:val="FootnoteReference"/>
        </w:rPr>
        <w:footnoteReference w:id="75"/>
      </w:r>
      <w:r w:rsidR="000330EC" w:rsidRPr="00CB2C31">
        <w:t xml:space="preserve"> suspend the application of the procedural requirements and to treat the targets as being deemed met where either equally effective measures have been taken to address gender imbalance on boards of listed companies, or actual progress has been attained, in each case at levels close to the targets of the directive in such Member State</w:t>
      </w:r>
      <w:r w:rsidR="005909D5" w:rsidRPr="00CB2C31">
        <w:rPr>
          <w:lang w:val="en-US"/>
        </w:rPr>
        <w:t>.</w:t>
      </w:r>
      <w:r w:rsidR="00593F1F">
        <w:rPr>
          <w:lang w:val="en-US" w:eastAsia="en-GB"/>
        </w:rPr>
        <w:t xml:space="preserve">  </w:t>
      </w:r>
      <w:r w:rsidR="00F74063" w:rsidRPr="00CB2C31">
        <w:rPr>
          <w:lang w:val="en-US" w:eastAsia="en-GB"/>
        </w:rPr>
        <w:t>T</w:t>
      </w:r>
      <w:r w:rsidRPr="00CB2C31">
        <w:rPr>
          <w:lang w:val="en-US" w:eastAsia="en-GB"/>
        </w:rPr>
        <w:t xml:space="preserve">he directive requires Member States to ensure that all listed companies undertake individual gender balance commitments </w:t>
      </w:r>
      <w:r w:rsidR="00422BEE">
        <w:rPr>
          <w:lang w:val="en-US" w:eastAsia="en-GB"/>
        </w:rPr>
        <w:t xml:space="preserve">by </w:t>
      </w:r>
      <w:r w:rsidR="00422BEE" w:rsidRPr="00CB2C31">
        <w:t>December 31, 2022</w:t>
      </w:r>
      <w:r w:rsidR="005909D5">
        <w:rPr>
          <w:lang w:val="en-US" w:eastAsia="en-GB"/>
        </w:rPr>
        <w:t>.</w:t>
      </w:r>
      <w:r w:rsidR="0099443C">
        <w:rPr>
          <w:lang w:val="en-US" w:eastAsia="en-GB"/>
        </w:rPr>
        <w:t xml:space="preserve">  </w:t>
      </w:r>
      <w:r w:rsidRPr="00CB2C31">
        <w:rPr>
          <w:lang w:val="en-US" w:eastAsia="en-GB"/>
        </w:rPr>
        <w:t xml:space="preserve">Importantly, the proposed directive contains a sunset provision with the effect of the directive expiring </w:t>
      </w:r>
      <w:r w:rsidR="001D11B8" w:rsidRPr="00CB2C31">
        <w:rPr>
          <w:lang w:val="en-US" w:eastAsia="en-GB"/>
        </w:rPr>
        <w:t>on a certain date (</w:t>
      </w:r>
      <w:r w:rsidR="00422BEE">
        <w:rPr>
          <w:lang w:val="en-US" w:eastAsia="en-GB"/>
        </w:rPr>
        <w:t xml:space="preserve">currently </w:t>
      </w:r>
      <w:r w:rsidR="00422BEE" w:rsidRPr="00CB2C31">
        <w:t>December 31, 2033</w:t>
      </w:r>
      <w:r w:rsidR="001D11B8" w:rsidRPr="00CB2C31">
        <w:rPr>
          <w:lang w:val="en-US" w:eastAsia="en-GB"/>
        </w:rPr>
        <w:t>)</w:t>
      </w:r>
      <w:r w:rsidR="00F42D6A" w:rsidRPr="00CB2C31">
        <w:rPr>
          <w:lang w:val="en-US" w:eastAsia="en-GB"/>
        </w:rPr>
        <w:t xml:space="preserve">.  </w:t>
      </w:r>
      <w:r w:rsidRPr="00CB2C31">
        <w:rPr>
          <w:lang w:val="en-US" w:eastAsia="en-GB"/>
        </w:rPr>
        <w:t>The stated intention is that the directive should bind Member States only until sustainable progress in gender composition of corp</w:t>
      </w:r>
      <w:r w:rsidR="0092398C">
        <w:rPr>
          <w:lang w:val="en-US" w:eastAsia="en-GB"/>
        </w:rPr>
        <w:t>orate boards has been achieved.</w:t>
      </w:r>
    </w:p>
    <w:p w14:paraId="22AA1201" w14:textId="71816B7B" w:rsidR="00042E7C" w:rsidRPr="0092398C" w:rsidRDefault="00042E7C" w:rsidP="009673DB">
      <w:pPr>
        <w:pStyle w:val="LegalCombo4"/>
        <w:rPr>
          <w:lang w:eastAsia="en-GB"/>
        </w:rPr>
      </w:pPr>
      <w:r>
        <w:rPr>
          <w:lang w:eastAsia="en-GB"/>
        </w:rPr>
        <w:t>Success of the proposed directive to date</w:t>
      </w:r>
    </w:p>
    <w:p w14:paraId="6663246D" w14:textId="77777777" w:rsidR="00092738" w:rsidRPr="00CB2C31" w:rsidRDefault="00422BEE" w:rsidP="00623C41">
      <w:pPr>
        <w:pStyle w:val="DoublePara"/>
        <w:rPr>
          <w:lang w:val="en-US" w:eastAsia="en-GB"/>
        </w:rPr>
      </w:pPr>
      <w:r>
        <w:rPr>
          <w:lang w:val="en-US" w:eastAsia="en-GB"/>
        </w:rPr>
        <w:t>D</w:t>
      </w:r>
      <w:r w:rsidR="00092738" w:rsidRPr="00CB2C31">
        <w:rPr>
          <w:lang w:val="en-US" w:eastAsia="en-GB"/>
        </w:rPr>
        <w:t>espite being blocked, this proposed directive has already achieved some success</w:t>
      </w:r>
      <w:r w:rsidR="00F42D6A" w:rsidRPr="00CB2C31">
        <w:rPr>
          <w:lang w:val="en-US" w:eastAsia="en-GB"/>
        </w:rPr>
        <w:t xml:space="preserve">.  </w:t>
      </w:r>
      <w:r w:rsidR="001D11B8" w:rsidRPr="00CB2C31">
        <w:rPr>
          <w:lang w:val="en-US" w:eastAsia="en-GB"/>
        </w:rPr>
        <w:t xml:space="preserve">The </w:t>
      </w:r>
      <w:r w:rsidR="00092738" w:rsidRPr="00CB2C31">
        <w:rPr>
          <w:lang w:val="en-US" w:eastAsia="en-GB"/>
        </w:rPr>
        <w:t>threat of this binding harmonizing directive has already prompted into action a number of Member States that had not yet taken decisive action to promote gender equality on corporate boards</w:t>
      </w:r>
      <w:r w:rsidR="00F42D6A" w:rsidRPr="00CB2C31">
        <w:rPr>
          <w:lang w:val="en-US" w:eastAsia="en-GB"/>
        </w:rPr>
        <w:t xml:space="preserve">.  </w:t>
      </w:r>
      <w:r w:rsidR="00092738" w:rsidRPr="00CB2C31">
        <w:rPr>
          <w:lang w:val="en-US" w:eastAsia="en-GB"/>
        </w:rPr>
        <w:t>For example, Austria passed a law on July 26, 2017 imposing a 30% mandatory quota on supervisory boards of large companies, with effect from January 1, 2018.</w:t>
      </w:r>
      <w:r w:rsidR="001D11B8" w:rsidRPr="00CB2C31">
        <w:rPr>
          <w:rStyle w:val="FootnoteReference"/>
          <w:lang w:val="en-US" w:eastAsia="en-GB"/>
        </w:rPr>
        <w:footnoteReference w:id="76"/>
      </w:r>
      <w:r w:rsidR="00092738" w:rsidRPr="00CB2C31">
        <w:rPr>
          <w:lang w:val="en-US" w:eastAsia="en-GB"/>
        </w:rPr>
        <w:t xml:space="preserve"> </w:t>
      </w:r>
      <w:r w:rsidR="000B507A">
        <w:rPr>
          <w:lang w:val="en-US" w:eastAsia="en-GB"/>
        </w:rPr>
        <w:t xml:space="preserve"> </w:t>
      </w:r>
      <w:r w:rsidR="00092738" w:rsidRPr="00CB2C31">
        <w:rPr>
          <w:lang w:val="en-US" w:eastAsia="en-GB"/>
        </w:rPr>
        <w:t xml:space="preserve">Similarly, </w:t>
      </w:r>
      <w:r w:rsidR="00F74063" w:rsidRPr="00CB2C31">
        <w:rPr>
          <w:lang w:val="en-US" w:eastAsia="en-GB"/>
        </w:rPr>
        <w:t>on August 1, 2017</w:t>
      </w:r>
      <w:r w:rsidR="00FF0CA7" w:rsidRPr="00CB2C31">
        <w:rPr>
          <w:lang w:val="en-US" w:eastAsia="en-GB"/>
        </w:rPr>
        <w:t>,</w:t>
      </w:r>
      <w:r w:rsidR="00F74063" w:rsidRPr="00CB2C31">
        <w:rPr>
          <w:lang w:val="en-US" w:eastAsia="en-GB"/>
        </w:rPr>
        <w:t xml:space="preserve"> </w:t>
      </w:r>
      <w:r w:rsidR="00092738" w:rsidRPr="00CB2C31">
        <w:rPr>
          <w:lang w:val="en-US" w:eastAsia="en-GB"/>
        </w:rPr>
        <w:t>Portugal introduced mandatory 20% gender quotas with effect from 2018, to be increased to one-third from 2020.</w:t>
      </w:r>
      <w:r w:rsidR="001D11B8" w:rsidRPr="00CB2C31">
        <w:rPr>
          <w:rStyle w:val="FootnoteReference"/>
          <w:lang w:val="en-US" w:eastAsia="en-GB"/>
        </w:rPr>
        <w:footnoteReference w:id="77"/>
      </w:r>
    </w:p>
    <w:p w14:paraId="047955CC" w14:textId="77777777" w:rsidR="00092738" w:rsidRPr="00CB2C31" w:rsidRDefault="00CB2C31" w:rsidP="009673DB">
      <w:pPr>
        <w:pStyle w:val="LegalCombo3"/>
      </w:pPr>
      <w:bookmarkStart w:id="136" w:name="_Toc15027197"/>
      <w:bookmarkStart w:id="137" w:name="_Toc15027590"/>
      <w:bookmarkStart w:id="138" w:name="_Toc15027866"/>
      <w:bookmarkStart w:id="139" w:name="_Toc16692477"/>
      <w:bookmarkStart w:id="140" w:name="_Toc22904986"/>
      <w:bookmarkStart w:id="141" w:name="_Toc24114385"/>
      <w:r w:rsidRPr="00CB2C31">
        <w:t>Other Initiatives</w:t>
      </w:r>
      <w:bookmarkEnd w:id="136"/>
      <w:bookmarkEnd w:id="137"/>
      <w:bookmarkEnd w:id="138"/>
      <w:bookmarkEnd w:id="139"/>
      <w:bookmarkEnd w:id="140"/>
      <w:bookmarkEnd w:id="141"/>
    </w:p>
    <w:p w14:paraId="3DDD31AD" w14:textId="77777777" w:rsidR="00092738" w:rsidRPr="00CB2C31" w:rsidRDefault="00092738" w:rsidP="00623C41">
      <w:pPr>
        <w:pStyle w:val="DoublePara"/>
        <w:rPr>
          <w:lang w:val="en-US"/>
        </w:rPr>
      </w:pPr>
      <w:r w:rsidRPr="00CB2C31">
        <w:rPr>
          <w:lang w:val="en-US"/>
        </w:rPr>
        <w:t>On March 5, 2010, the European Commission adopted a Women</w:t>
      </w:r>
      <w:r w:rsidR="00593F1F">
        <w:rPr>
          <w:lang w:val="en-US"/>
        </w:rPr>
        <w:t>’</w:t>
      </w:r>
      <w:r w:rsidRPr="00CB2C31">
        <w:rPr>
          <w:lang w:val="en-US"/>
        </w:rPr>
        <w:t xml:space="preserve">s Charter setting out a number of gender equality objectives </w:t>
      </w:r>
      <w:r w:rsidR="002B1956" w:rsidRPr="00CB2C31">
        <w:rPr>
          <w:lang w:val="en-US"/>
        </w:rPr>
        <w:t>that formed the basis of the European Commission</w:t>
      </w:r>
      <w:r w:rsidR="00593F1F">
        <w:rPr>
          <w:lang w:val="en-US"/>
        </w:rPr>
        <w:t>’</w:t>
      </w:r>
      <w:r w:rsidR="002B1956" w:rsidRPr="00CB2C31">
        <w:rPr>
          <w:lang w:val="en-US"/>
        </w:rPr>
        <w:t xml:space="preserve">s </w:t>
      </w:r>
      <w:r w:rsidRPr="00CB2C31">
        <w:rPr>
          <w:lang w:val="en-US"/>
        </w:rPr>
        <w:t>Strategy for Equality between Women and Men 2010-2015.</w:t>
      </w:r>
      <w:r w:rsidR="002B1956" w:rsidRPr="00CB2C31">
        <w:rPr>
          <w:rStyle w:val="FootnoteReference"/>
          <w:lang w:val="en-US"/>
        </w:rPr>
        <w:footnoteReference w:id="78"/>
      </w:r>
      <w:r w:rsidRPr="00CB2C31">
        <w:rPr>
          <w:lang w:val="en-US"/>
        </w:rPr>
        <w:t xml:space="preserve"> </w:t>
      </w:r>
      <w:r w:rsidR="000B507A">
        <w:rPr>
          <w:lang w:val="en-US"/>
        </w:rPr>
        <w:t xml:space="preserve"> </w:t>
      </w:r>
      <w:r w:rsidRPr="00CB2C31">
        <w:rPr>
          <w:lang w:val="en-US"/>
        </w:rPr>
        <w:t xml:space="preserve">An updated version of that strategy, the Strategic Engagement for Gender Equality 2016-2019, </w:t>
      </w:r>
      <w:r w:rsidR="002B1956" w:rsidRPr="00CB2C31">
        <w:rPr>
          <w:lang w:val="en-US"/>
        </w:rPr>
        <w:t xml:space="preserve">was </w:t>
      </w:r>
      <w:r w:rsidRPr="00CB2C31">
        <w:rPr>
          <w:lang w:val="en-US"/>
        </w:rPr>
        <w:t>adopted and published by the European Commission on December 3, 2015.</w:t>
      </w:r>
      <w:r w:rsidRPr="00CB2C31">
        <w:rPr>
          <w:rStyle w:val="FootnoteReference"/>
          <w:rFonts w:ascii="Times New Roman" w:hAnsi="Times New Roman" w:cs="Times New Roman"/>
          <w:lang w:val="en-US"/>
        </w:rPr>
        <w:footnoteReference w:id="79"/>
      </w:r>
    </w:p>
    <w:p w14:paraId="69C78706" w14:textId="77777777" w:rsidR="00092738" w:rsidRPr="00CB2C31" w:rsidRDefault="00092738" w:rsidP="00623C41">
      <w:pPr>
        <w:pStyle w:val="DoublePara"/>
        <w:rPr>
          <w:lang w:val="en-US"/>
        </w:rPr>
      </w:pPr>
      <w:r w:rsidRPr="00CB2C31">
        <w:rPr>
          <w:lang w:val="en-US"/>
        </w:rPr>
        <w:t>The objectives and actions regarding promoting equality in decision-making include:</w:t>
      </w:r>
    </w:p>
    <w:p w14:paraId="2693CE78" w14:textId="77777777" w:rsidR="00092738" w:rsidRPr="00CB2C31" w:rsidRDefault="002B1956" w:rsidP="00623C41">
      <w:pPr>
        <w:pStyle w:val="BulletPara"/>
        <w:jc w:val="both"/>
      </w:pPr>
      <w:r w:rsidRPr="00CB2C31">
        <w:t>achievement</w:t>
      </w:r>
      <w:r w:rsidR="00092738" w:rsidRPr="00CB2C31">
        <w:t xml:space="preserve"> of the target of at least 40% representation of the under-represented gender among non-executive directors of companies listed on stock exchanges, by continuing to push for the adoption of the pro</w:t>
      </w:r>
      <w:r w:rsidRPr="00CB2C31">
        <w:t>posed gender equality directive and</w:t>
      </w:r>
      <w:r w:rsidR="00092738" w:rsidRPr="00CB2C31">
        <w:t xml:space="preserve"> monitor</w:t>
      </w:r>
      <w:r w:rsidRPr="00CB2C31">
        <w:t>ing</w:t>
      </w:r>
      <w:r w:rsidR="00092738" w:rsidRPr="00CB2C31">
        <w:t xml:space="preserve"> transposition and implementation</w:t>
      </w:r>
      <w:r w:rsidRPr="00CB2C31">
        <w:t xml:space="preserve"> thereof</w:t>
      </w:r>
      <w:r w:rsidR="00092738" w:rsidRPr="00CB2C31">
        <w:t>;</w:t>
      </w:r>
    </w:p>
    <w:p w14:paraId="0F648A8B" w14:textId="77777777" w:rsidR="00092738" w:rsidRPr="00CB2C31" w:rsidRDefault="00092738" w:rsidP="00623C41">
      <w:pPr>
        <w:pStyle w:val="BulletPara"/>
        <w:jc w:val="both"/>
      </w:pPr>
      <w:r w:rsidRPr="00CB2C31">
        <w:t>encouragement of better gender balance among executive directors of major listed companies and in the talent pipeline;</w:t>
      </w:r>
    </w:p>
    <w:p w14:paraId="1F23ABC6" w14:textId="77777777" w:rsidR="00092738" w:rsidRPr="00CB2C31" w:rsidRDefault="00092738" w:rsidP="00623C41">
      <w:pPr>
        <w:pStyle w:val="BulletPara"/>
        <w:jc w:val="both"/>
      </w:pPr>
      <w:r w:rsidRPr="00CB2C31">
        <w:t>data collection and dissemination and promotion of gender balance in political decision-making, research and public life including sport; and</w:t>
      </w:r>
    </w:p>
    <w:p w14:paraId="36818407" w14:textId="77777777" w:rsidR="00092738" w:rsidRPr="00CB2C31" w:rsidRDefault="00092738" w:rsidP="00623C41">
      <w:pPr>
        <w:pStyle w:val="BulletPara"/>
        <w:jc w:val="both"/>
      </w:pPr>
      <w:r w:rsidRPr="00CB2C31">
        <w:t>leading by example, with the European Commission setting itself a target of 40% women in senior and middle management by 2019.</w:t>
      </w:r>
    </w:p>
    <w:p w14:paraId="21B2C3C1" w14:textId="77777777" w:rsidR="00092738" w:rsidRPr="00CB2C31" w:rsidRDefault="00092738" w:rsidP="00623C41">
      <w:pPr>
        <w:pStyle w:val="DoublePara"/>
        <w:rPr>
          <w:lang w:val="en-US"/>
        </w:rPr>
      </w:pPr>
      <w:r w:rsidRPr="00CB2C31">
        <w:rPr>
          <w:lang w:val="en-US"/>
        </w:rPr>
        <w:t xml:space="preserve">The Council of Europe </w:t>
      </w:r>
      <w:r w:rsidR="002B1956" w:rsidRPr="00CB2C31">
        <w:rPr>
          <w:lang w:val="en-US"/>
        </w:rPr>
        <w:t xml:space="preserve">has </w:t>
      </w:r>
      <w:r w:rsidRPr="00CB2C31">
        <w:rPr>
          <w:lang w:val="en-US"/>
        </w:rPr>
        <w:t>also adopted its own strategy paper, the Gender Equality Strategy 2018-2023.</w:t>
      </w:r>
      <w:r w:rsidRPr="00CB2C31">
        <w:rPr>
          <w:rStyle w:val="FootnoteReference"/>
          <w:rFonts w:ascii="Times New Roman" w:hAnsi="Times New Roman" w:cs="Times New Roman"/>
          <w:lang w:val="en-US"/>
        </w:rPr>
        <w:footnoteReference w:id="80"/>
      </w:r>
      <w:r w:rsidR="000B507A">
        <w:rPr>
          <w:lang w:val="en-US"/>
        </w:rPr>
        <w:t xml:space="preserve"> </w:t>
      </w:r>
      <w:r w:rsidRPr="00CB2C31">
        <w:rPr>
          <w:lang w:val="en-US"/>
        </w:rPr>
        <w:t xml:space="preserve"> It provides </w:t>
      </w:r>
      <w:r w:rsidRPr="00CB2C31">
        <w:rPr>
          <w:lang w:val="en-US" w:eastAsia="en-GB"/>
        </w:rPr>
        <w:t>for</w:t>
      </w:r>
      <w:r w:rsidRPr="00CB2C31">
        <w:rPr>
          <w:lang w:val="en-US"/>
        </w:rPr>
        <w:t xml:space="preserve"> a dual-track approach of (i) putting forward specific gender equality policies and actions and (ii) promoting gender mainstreaming of policies by incorporating a gender equality perspective into all policies at all levels and at all stages</w:t>
      </w:r>
      <w:r w:rsidR="00F42D6A" w:rsidRPr="00CB2C31">
        <w:rPr>
          <w:lang w:val="en-US"/>
        </w:rPr>
        <w:t xml:space="preserve">.  </w:t>
      </w:r>
      <w:r w:rsidRPr="00CB2C31">
        <w:rPr>
          <w:lang w:val="en-US"/>
        </w:rPr>
        <w:t>The three stated goals and objectives relevant</w:t>
      </w:r>
      <w:r w:rsidR="00943D96">
        <w:rPr>
          <w:lang w:val="en-US"/>
        </w:rPr>
        <w:t xml:space="preserve"> to gender equality in decision-</w:t>
      </w:r>
      <w:r w:rsidRPr="00CB2C31">
        <w:rPr>
          <w:lang w:val="en-US"/>
        </w:rPr>
        <w:t>making are the following:</w:t>
      </w:r>
    </w:p>
    <w:p w14:paraId="620C9A54" w14:textId="77777777" w:rsidR="00092738" w:rsidRPr="00CB2C31" w:rsidRDefault="00092738" w:rsidP="00623C41">
      <w:pPr>
        <w:pStyle w:val="BulletPara"/>
        <w:jc w:val="both"/>
      </w:pPr>
      <w:r w:rsidRPr="00CB2C31">
        <w:t>prevent and combat gender stereotypes and sexism;</w:t>
      </w:r>
    </w:p>
    <w:p w14:paraId="188972D7" w14:textId="77777777" w:rsidR="00092738" w:rsidRPr="00CB2C31" w:rsidRDefault="00092738" w:rsidP="00623C41">
      <w:pPr>
        <w:pStyle w:val="BulletPara"/>
        <w:jc w:val="both"/>
      </w:pPr>
      <w:r w:rsidRPr="00CB2C31">
        <w:t xml:space="preserve">achieve a balanced participation of women </w:t>
      </w:r>
      <w:r w:rsidR="00943D96">
        <w:t xml:space="preserve">and men in political and public </w:t>
      </w:r>
      <w:r w:rsidRPr="00CB2C31">
        <w:t>decision</w:t>
      </w:r>
      <w:r w:rsidR="00943D96">
        <w:t>-</w:t>
      </w:r>
      <w:r w:rsidRPr="00CB2C31">
        <w:t>making; and</w:t>
      </w:r>
    </w:p>
    <w:p w14:paraId="6C077247" w14:textId="2F8CB883" w:rsidR="00092738" w:rsidRPr="00CB2C31" w:rsidRDefault="00E75B3E" w:rsidP="00623C41">
      <w:pPr>
        <w:pStyle w:val="BulletPara"/>
        <w:jc w:val="both"/>
      </w:pPr>
      <w:r>
        <w:t>encourag</w:t>
      </w:r>
      <w:r w:rsidR="002B1956" w:rsidRPr="00CB2C31">
        <w:t xml:space="preserve">e </w:t>
      </w:r>
      <w:r w:rsidR="00092738" w:rsidRPr="00CB2C31">
        <w:t xml:space="preserve">gender mainstreaming in all policies and measures. </w:t>
      </w:r>
    </w:p>
    <w:p w14:paraId="74B7F544" w14:textId="2ABD30EE" w:rsidR="00092738" w:rsidRPr="00CB2C31" w:rsidRDefault="0011224A" w:rsidP="009673DB">
      <w:pPr>
        <w:pStyle w:val="LegalCombo3"/>
      </w:pPr>
      <w:bookmarkStart w:id="142" w:name="_Toc22904987"/>
      <w:bookmarkStart w:id="143" w:name="_Toc24114386"/>
      <w:r>
        <w:t>C</w:t>
      </w:r>
      <w:r w:rsidR="00E75B3E">
        <w:t>onclusion</w:t>
      </w:r>
      <w:bookmarkEnd w:id="142"/>
      <w:bookmarkEnd w:id="143"/>
    </w:p>
    <w:p w14:paraId="50492C0F" w14:textId="45C0D124" w:rsidR="00092738" w:rsidRPr="00CB2C31" w:rsidRDefault="00092738" w:rsidP="00623C41">
      <w:pPr>
        <w:pStyle w:val="DoublePara"/>
        <w:rPr>
          <w:lang w:val="en-US"/>
        </w:rPr>
      </w:pPr>
      <w:r w:rsidRPr="00CB2C31">
        <w:rPr>
          <w:lang w:val="en-US"/>
        </w:rPr>
        <w:t>The European Commission</w:t>
      </w:r>
      <w:r w:rsidR="00593F1F">
        <w:rPr>
          <w:lang w:val="en-US"/>
        </w:rPr>
        <w:t>’</w:t>
      </w:r>
      <w:r w:rsidRPr="00CB2C31">
        <w:rPr>
          <w:lang w:val="en-US"/>
        </w:rPr>
        <w:t xml:space="preserve">s 2019 Report on Equality Between Women and Men in </w:t>
      </w:r>
      <w:r w:rsidR="009A3C15">
        <w:rPr>
          <w:lang w:val="en-US"/>
        </w:rPr>
        <w:t xml:space="preserve">Europe </w:t>
      </w:r>
      <w:r w:rsidRPr="00CB2C31">
        <w:rPr>
          <w:lang w:val="en-US"/>
        </w:rPr>
        <w:t xml:space="preserve">reports that </w:t>
      </w:r>
      <w:r w:rsidR="00203E75" w:rsidRPr="00203E75">
        <w:rPr>
          <w:i/>
          <w:lang w:val="en-US"/>
        </w:rPr>
        <w:t>“</w:t>
      </w:r>
      <w:r w:rsidRPr="00CB2C31">
        <w:rPr>
          <w:lang w:val="en-US"/>
        </w:rPr>
        <w:t xml:space="preserve">the proportion of women on the boards of the largest publicly listed companies registered in </w:t>
      </w:r>
      <w:r w:rsidR="009A3C15">
        <w:rPr>
          <w:lang w:val="en-US"/>
        </w:rPr>
        <w:t xml:space="preserve">European </w:t>
      </w:r>
      <w:r w:rsidRPr="00CB2C31">
        <w:rPr>
          <w:lang w:val="en-US"/>
        </w:rPr>
        <w:t>Member States reached 26.7% in October 2018</w:t>
      </w:r>
      <w:r w:rsidR="007276F8">
        <w:rPr>
          <w:lang w:val="en-US"/>
        </w:rPr>
        <w:t>,</w:t>
      </w:r>
      <w:r w:rsidR="00203E75" w:rsidRPr="00203E75">
        <w:rPr>
          <w:i/>
          <w:lang w:val="en-US"/>
        </w:rPr>
        <w:t>”</w:t>
      </w:r>
      <w:r w:rsidRPr="00CB2C31">
        <w:rPr>
          <w:lang w:val="en-US"/>
        </w:rPr>
        <w:t xml:space="preserve"> with France (at 44.0</w:t>
      </w:r>
      <w:r w:rsidRPr="00CB2C31">
        <w:rPr>
          <w:rFonts w:eastAsia="Times New Roman"/>
          <w:lang w:val="en-US" w:eastAsia="en-GB"/>
        </w:rPr>
        <w:t>%</w:t>
      </w:r>
      <w:r w:rsidRPr="00CB2C31">
        <w:rPr>
          <w:lang w:val="en-US"/>
        </w:rPr>
        <w:t>) being the only Member State with at least 40% of each gender on corporate boards, closely followed by Italy (36.4%) and Sweden (36.1</w:t>
      </w:r>
      <w:r w:rsidRPr="00CB2C31">
        <w:rPr>
          <w:rFonts w:eastAsia="Times New Roman"/>
          <w:lang w:val="en-US" w:eastAsia="en-GB"/>
        </w:rPr>
        <w:t>%</w:t>
      </w:r>
      <w:r w:rsidRPr="00CB2C31">
        <w:rPr>
          <w:lang w:val="en-US"/>
        </w:rPr>
        <w:t>).</w:t>
      </w:r>
      <w:bookmarkStart w:id="144" w:name="_Ref16194272"/>
      <w:r w:rsidRPr="00CB2C31">
        <w:rPr>
          <w:rStyle w:val="FootnoteReference"/>
          <w:rFonts w:ascii="Times New Roman" w:hAnsi="Times New Roman" w:cs="Times New Roman"/>
          <w:lang w:val="en-US"/>
        </w:rPr>
        <w:footnoteReference w:id="81"/>
      </w:r>
      <w:bookmarkEnd w:id="144"/>
      <w:r w:rsidRPr="00CB2C31">
        <w:rPr>
          <w:lang w:val="en-US"/>
        </w:rPr>
        <w:t xml:space="preserve"> </w:t>
      </w:r>
      <w:r w:rsidR="000B507A">
        <w:rPr>
          <w:lang w:val="en-US"/>
        </w:rPr>
        <w:t xml:space="preserve"> </w:t>
      </w:r>
      <w:r w:rsidRPr="00CB2C31">
        <w:rPr>
          <w:lang w:val="en-US"/>
        </w:rPr>
        <w:t>Unsurprisingly, the Member States with binding gender quotas perform better than the others, with France (44.0</w:t>
      </w:r>
      <w:r w:rsidRPr="00CB2C31">
        <w:rPr>
          <w:rFonts w:eastAsia="Times New Roman"/>
          <w:lang w:val="en-US" w:eastAsia="en-GB"/>
        </w:rPr>
        <w:t>%</w:t>
      </w:r>
      <w:r w:rsidRPr="00CB2C31">
        <w:rPr>
          <w:lang w:val="en-US"/>
        </w:rPr>
        <w:t>), Italy (36.4</w:t>
      </w:r>
      <w:r w:rsidRPr="00CB2C31">
        <w:rPr>
          <w:rFonts w:eastAsia="Times New Roman"/>
          <w:lang w:val="en-US" w:eastAsia="en-GB"/>
        </w:rPr>
        <w:t>%</w:t>
      </w:r>
      <w:r w:rsidRPr="00CB2C31">
        <w:rPr>
          <w:lang w:val="en-US"/>
        </w:rPr>
        <w:t>), Germany (33.8</w:t>
      </w:r>
      <w:r w:rsidRPr="00CB2C31">
        <w:rPr>
          <w:rFonts w:eastAsia="Times New Roman"/>
          <w:lang w:val="en-US" w:eastAsia="en-GB"/>
        </w:rPr>
        <w:t>%</w:t>
      </w:r>
      <w:r w:rsidRPr="00CB2C31">
        <w:rPr>
          <w:lang w:val="en-US"/>
        </w:rPr>
        <w:t>) and Belgium (32.0</w:t>
      </w:r>
      <w:r w:rsidRPr="00CB2C31">
        <w:rPr>
          <w:rFonts w:eastAsia="Times New Roman"/>
          <w:lang w:val="en-US" w:eastAsia="en-GB"/>
        </w:rPr>
        <w:t>%</w:t>
      </w:r>
      <w:r w:rsidRPr="00CB2C31">
        <w:rPr>
          <w:lang w:val="en-US"/>
        </w:rPr>
        <w:t>) ranking first, second, fifth and sixth, respectively.</w:t>
      </w:r>
    </w:p>
    <w:p w14:paraId="222C2D1E" w14:textId="77777777" w:rsidR="00092738" w:rsidRPr="00CB2C31" w:rsidRDefault="00092738" w:rsidP="00623C41">
      <w:pPr>
        <w:pStyle w:val="DoublePara"/>
        <w:rPr>
          <w:lang w:val="en-US"/>
        </w:rPr>
      </w:pPr>
      <w:r w:rsidRPr="00CB2C31">
        <w:rPr>
          <w:lang w:val="en-US"/>
        </w:rPr>
        <w:t>However, the European Commission is said to be leading by example by moving towards the objective of ensuring at least 40% of the European Commission</w:t>
      </w:r>
      <w:r w:rsidR="00593F1F">
        <w:rPr>
          <w:lang w:val="en-US"/>
        </w:rPr>
        <w:t>’</w:t>
      </w:r>
      <w:r w:rsidRPr="00CB2C31">
        <w:rPr>
          <w:lang w:val="en-US"/>
        </w:rPr>
        <w:t>s middle and senior managers are women by the end of 2019</w:t>
      </w:r>
      <w:r w:rsidR="00F42D6A" w:rsidRPr="00CB2C31">
        <w:rPr>
          <w:lang w:val="en-US"/>
        </w:rPr>
        <w:t xml:space="preserve">.  </w:t>
      </w:r>
      <w:r w:rsidRPr="00CB2C31">
        <w:rPr>
          <w:lang w:val="en-US"/>
        </w:rPr>
        <w:t xml:space="preserve">Sustained efforts are said to have paid off as the number of female managers </w:t>
      </w:r>
      <w:r w:rsidRPr="00CB2C31">
        <w:rPr>
          <w:lang w:val="en-US" w:eastAsia="en-GB"/>
        </w:rPr>
        <w:t>reached</w:t>
      </w:r>
      <w:r w:rsidRPr="00CB2C31">
        <w:rPr>
          <w:lang w:val="en-US"/>
        </w:rPr>
        <w:t xml:space="preserve"> 39% at all levels by November 1, 2018 (up from 37% in 2017), breaking down into 37% at senior management level (up from 35% in 2017) and 40% at middle management level (up from 38% in 2017).</w:t>
      </w:r>
      <w:r w:rsidRPr="00CB2C31">
        <w:rPr>
          <w:rStyle w:val="FootnoteReference"/>
          <w:rFonts w:ascii="Times New Roman" w:hAnsi="Times New Roman" w:cs="Times New Roman"/>
          <w:lang w:val="en-US"/>
        </w:rPr>
        <w:footnoteReference w:id="82"/>
      </w:r>
      <w:r w:rsidRPr="00CB2C31">
        <w:rPr>
          <w:lang w:val="en-US"/>
        </w:rPr>
        <w:t xml:space="preserve"> </w:t>
      </w:r>
      <w:r w:rsidR="000B507A">
        <w:rPr>
          <w:lang w:val="en-US"/>
        </w:rPr>
        <w:t xml:space="preserve"> </w:t>
      </w:r>
      <w:r w:rsidRPr="00CB2C31">
        <w:rPr>
          <w:lang w:val="en-US"/>
        </w:rPr>
        <w:t>In addition, in a vote of Members of the European Parliament held on July 16, 2019, Ursula von der Leyen was confirmed as the European Commission</w:t>
      </w:r>
      <w:r w:rsidR="00593F1F">
        <w:rPr>
          <w:lang w:val="en-US"/>
        </w:rPr>
        <w:t>’</w:t>
      </w:r>
      <w:r w:rsidRPr="00CB2C31">
        <w:rPr>
          <w:lang w:val="en-US"/>
        </w:rPr>
        <w:t>s first female president</w:t>
      </w:r>
      <w:r w:rsidR="00F42D6A" w:rsidRPr="00CB2C31">
        <w:rPr>
          <w:lang w:val="en-US"/>
        </w:rPr>
        <w:t xml:space="preserve">.  </w:t>
      </w:r>
      <w:r w:rsidRPr="00CB2C31">
        <w:rPr>
          <w:lang w:val="en-US"/>
        </w:rPr>
        <w:t>She will replace Jean-Claude Juncker on October 31, 2019</w:t>
      </w:r>
      <w:r w:rsidR="00F42D6A" w:rsidRPr="00CB2C31">
        <w:rPr>
          <w:lang w:val="en-US"/>
        </w:rPr>
        <w:t xml:space="preserve">.  </w:t>
      </w:r>
      <w:r w:rsidRPr="00CB2C31">
        <w:rPr>
          <w:lang w:val="en-US"/>
        </w:rPr>
        <w:t xml:space="preserve">In her speech, she committed to ensuring gender equality among the commissioners of the European Commission </w:t>
      </w:r>
      <w:r w:rsidR="002B1956" w:rsidRPr="00CB2C31">
        <w:rPr>
          <w:lang w:val="en-US"/>
        </w:rPr>
        <w:t xml:space="preserve">over which she will </w:t>
      </w:r>
      <w:r w:rsidRPr="00CB2C31">
        <w:rPr>
          <w:lang w:val="en-US"/>
        </w:rPr>
        <w:t>preside.</w:t>
      </w:r>
    </w:p>
    <w:p w14:paraId="13CBA06F" w14:textId="1F7FF212" w:rsidR="00092738" w:rsidRPr="00CB2C31" w:rsidRDefault="00092738" w:rsidP="009404E6">
      <w:pPr>
        <w:pStyle w:val="DoublePara"/>
        <w:keepNext/>
        <w:rPr>
          <w:lang w:val="en-US"/>
        </w:rPr>
      </w:pPr>
      <w:r w:rsidRPr="00CB2C31">
        <w:rPr>
          <w:lang w:val="en-US"/>
        </w:rPr>
        <w:t xml:space="preserve">In a similarly striking development, on July 2, 2019 Christine Lagarde was appointed by the Eurozone Member States to be the first female President of the European Central Bank – the institution responsible for the management of the euro and monetary policy in the Eurozone of </w:t>
      </w:r>
      <w:r w:rsidR="009A3C15">
        <w:rPr>
          <w:lang w:val="en-US"/>
        </w:rPr>
        <w:t>Europe</w:t>
      </w:r>
      <w:r w:rsidR="001A46A2">
        <w:rPr>
          <w:lang w:val="en-US"/>
        </w:rPr>
        <w:t xml:space="preserve"> </w:t>
      </w:r>
      <w:r w:rsidRPr="00CB2C31">
        <w:rPr>
          <w:lang w:val="en-US"/>
        </w:rPr>
        <w:t>– with effect from November 1, 2019</w:t>
      </w:r>
      <w:r w:rsidR="00F42D6A" w:rsidRPr="00CB2C31">
        <w:rPr>
          <w:lang w:val="en-US"/>
        </w:rPr>
        <w:t xml:space="preserve">.  </w:t>
      </w:r>
      <w:r w:rsidRPr="00CB2C31">
        <w:rPr>
          <w:lang w:val="en-US"/>
        </w:rPr>
        <w:t xml:space="preserve">The roles of President of the European Commission and President of the European Central Bank are two of the five most prominent positions </w:t>
      </w:r>
      <w:r w:rsidR="002B1956" w:rsidRPr="00CB2C31">
        <w:rPr>
          <w:lang w:val="en-US"/>
        </w:rPr>
        <w:t xml:space="preserve">among </w:t>
      </w:r>
      <w:r w:rsidR="009A3C15">
        <w:rPr>
          <w:lang w:val="en-US"/>
        </w:rPr>
        <w:t>European</w:t>
      </w:r>
      <w:r w:rsidRPr="00CB2C31">
        <w:rPr>
          <w:lang w:val="en-US"/>
        </w:rPr>
        <w:t xml:space="preserve"> institutions (the others being the President of the European Parliament, the President of the Council of Europ</w:t>
      </w:r>
      <w:r w:rsidR="00223EA8">
        <w:rPr>
          <w:lang w:val="en-US"/>
        </w:rPr>
        <w:t>e and the High Representative of the Union for Foreign Affairs and Security Policy</w:t>
      </w:r>
      <w:r w:rsidRPr="00CB2C31">
        <w:rPr>
          <w:lang w:val="en-US"/>
        </w:rPr>
        <w:t>)</w:t>
      </w:r>
      <w:r w:rsidR="00753785">
        <w:rPr>
          <w:lang w:val="en-US"/>
        </w:rPr>
        <w:t>, resulting in</w:t>
      </w:r>
      <w:r w:rsidRPr="00CB2C31">
        <w:rPr>
          <w:lang w:val="en-US"/>
        </w:rPr>
        <w:t xml:space="preserve"> 40% of </w:t>
      </w:r>
      <w:r w:rsidR="009A3C15">
        <w:rPr>
          <w:lang w:val="en-US"/>
        </w:rPr>
        <w:t xml:space="preserve">European </w:t>
      </w:r>
      <w:r w:rsidRPr="00CB2C31">
        <w:rPr>
          <w:lang w:val="en-US"/>
        </w:rPr>
        <w:t xml:space="preserve">top jobs </w:t>
      </w:r>
      <w:r w:rsidR="00753785">
        <w:rPr>
          <w:lang w:val="en-US"/>
        </w:rPr>
        <w:t xml:space="preserve">being </w:t>
      </w:r>
      <w:r w:rsidRPr="00CB2C31">
        <w:rPr>
          <w:lang w:val="en-US"/>
        </w:rPr>
        <w:t>held by women</w:t>
      </w:r>
      <w:r w:rsidR="00422BEE">
        <w:rPr>
          <w:lang w:val="en-US"/>
        </w:rPr>
        <w:t xml:space="preserve"> in 2019</w:t>
      </w:r>
      <w:r w:rsidRPr="00CB2C31">
        <w:rPr>
          <w:lang w:val="en-US"/>
        </w:rPr>
        <w:t xml:space="preserve">. </w:t>
      </w:r>
    </w:p>
    <w:p w14:paraId="05D66F36" w14:textId="77777777" w:rsidR="00092738" w:rsidRPr="00CB2C31" w:rsidRDefault="00092738" w:rsidP="006D1A2A">
      <w:pPr>
        <w:jc w:val="center"/>
        <w:rPr>
          <w:lang w:val="en-US"/>
        </w:rPr>
      </w:pPr>
      <w:r w:rsidRPr="00CB2C31">
        <w:rPr>
          <w:lang w:val="en-US"/>
        </w:rPr>
        <w:t>*</w:t>
      </w:r>
      <w:r w:rsidRPr="00CB2C31">
        <w:rPr>
          <w:lang w:val="en-US"/>
        </w:rPr>
        <w:tab/>
        <w:t>*</w:t>
      </w:r>
      <w:r w:rsidRPr="00CB2C31">
        <w:rPr>
          <w:lang w:val="en-US"/>
        </w:rPr>
        <w:tab/>
        <w:t>*</w:t>
      </w:r>
    </w:p>
    <w:p w14:paraId="0E751687" w14:textId="77777777" w:rsidR="00092738" w:rsidRPr="00CB2C31" w:rsidRDefault="00092738" w:rsidP="006D1A2A">
      <w:pPr>
        <w:spacing w:after="200" w:line="276" w:lineRule="auto"/>
        <w:jc w:val="center"/>
        <w:rPr>
          <w:lang w:val="en-US"/>
        </w:rPr>
      </w:pPr>
      <w:r w:rsidRPr="00CB2C31">
        <w:rPr>
          <w:lang w:val="en-US"/>
        </w:rPr>
        <w:br w:type="page"/>
      </w:r>
    </w:p>
    <w:p w14:paraId="3CEDFD74" w14:textId="77777777" w:rsidR="00E87C9B" w:rsidRPr="00CB2C31" w:rsidRDefault="00273BD1" w:rsidP="00623C41">
      <w:pPr>
        <w:pStyle w:val="LegalCombo1"/>
      </w:pPr>
      <w:bookmarkStart w:id="145" w:name="_Toc16692478"/>
      <w:bookmarkStart w:id="146" w:name="_Ref16755766"/>
      <w:bookmarkStart w:id="147" w:name="_Ref18942014"/>
      <w:bookmarkStart w:id="148" w:name="_Toc22904988"/>
      <w:bookmarkStart w:id="149" w:name="_Toc24114387"/>
      <w:r w:rsidRPr="00CB2C31">
        <w:t xml:space="preserve">CURRENT &amp; </w:t>
      </w:r>
      <w:r w:rsidR="00E87C9B" w:rsidRPr="00CB2C31">
        <w:t>BEST PRACTICE</w:t>
      </w:r>
      <w:r w:rsidR="003112FA" w:rsidRPr="00CB2C31">
        <w:t>S</w:t>
      </w:r>
      <w:r w:rsidR="00E87C9B" w:rsidRPr="00CB2C31">
        <w:t xml:space="preserve"> </w:t>
      </w:r>
      <w:bookmarkEnd w:id="116"/>
      <w:bookmarkEnd w:id="117"/>
      <w:bookmarkEnd w:id="118"/>
      <w:bookmarkEnd w:id="119"/>
      <w:bookmarkEnd w:id="120"/>
      <w:bookmarkEnd w:id="121"/>
      <w:bookmarkEnd w:id="122"/>
      <w:r w:rsidR="00132D04" w:rsidRPr="00CB2C31">
        <w:t>AROUND THE WORLD</w:t>
      </w:r>
      <w:bookmarkEnd w:id="123"/>
      <w:bookmarkEnd w:id="124"/>
      <w:bookmarkEnd w:id="145"/>
      <w:bookmarkEnd w:id="146"/>
      <w:bookmarkEnd w:id="147"/>
      <w:r w:rsidR="004210F8">
        <w:t xml:space="preserve"> IN THE PRIVATE SECTOR</w:t>
      </w:r>
      <w:bookmarkEnd w:id="148"/>
      <w:bookmarkEnd w:id="149"/>
    </w:p>
    <w:p w14:paraId="11211EC4" w14:textId="0C25C1F4" w:rsidR="00E87C9B" w:rsidRPr="00CB2C31" w:rsidRDefault="0042754A" w:rsidP="00623C41">
      <w:pPr>
        <w:pStyle w:val="DoublePara"/>
        <w:rPr>
          <w:lang w:val="en-US"/>
        </w:rPr>
      </w:pPr>
      <w:r w:rsidRPr="00CB2C31">
        <w:rPr>
          <w:lang w:val="en-US"/>
        </w:rPr>
        <w:t>This s</w:t>
      </w:r>
      <w:r w:rsidR="00E87C9B" w:rsidRPr="00CB2C31">
        <w:rPr>
          <w:lang w:val="en-US"/>
        </w:rPr>
        <w:t xml:space="preserve">ection </w:t>
      </w:r>
      <w:r w:rsidR="004A7B63" w:rsidRPr="00CB2C31">
        <w:rPr>
          <w:lang w:val="en-US"/>
        </w:rPr>
        <w:t>reviews</w:t>
      </w:r>
      <w:r w:rsidR="00696FF5" w:rsidRPr="00CB2C31">
        <w:rPr>
          <w:lang w:val="en-US"/>
        </w:rPr>
        <w:t xml:space="preserve"> the</w:t>
      </w:r>
      <w:r w:rsidR="00E87C9B" w:rsidRPr="00CB2C31">
        <w:rPr>
          <w:lang w:val="en-US"/>
        </w:rPr>
        <w:t xml:space="preserve"> current practices for nominating and </w:t>
      </w:r>
      <w:r w:rsidR="00FB4675" w:rsidRPr="00CB2C31">
        <w:rPr>
          <w:lang w:val="en-US"/>
        </w:rPr>
        <w:t>selecting</w:t>
      </w:r>
      <w:r w:rsidR="00E87C9B" w:rsidRPr="00CB2C31">
        <w:rPr>
          <w:lang w:val="en-US"/>
        </w:rPr>
        <w:t xml:space="preserve"> individuals to </w:t>
      </w:r>
      <w:r w:rsidR="009A1E68" w:rsidRPr="00CB2C31">
        <w:rPr>
          <w:lang w:val="en-US"/>
        </w:rPr>
        <w:t xml:space="preserve">governance </w:t>
      </w:r>
      <w:r w:rsidR="005628A3" w:rsidRPr="00CB2C31">
        <w:rPr>
          <w:lang w:val="en-US"/>
        </w:rPr>
        <w:t xml:space="preserve">positions </w:t>
      </w:r>
      <w:r w:rsidR="00FB4675" w:rsidRPr="00CB2C31">
        <w:rPr>
          <w:lang w:val="en-US"/>
        </w:rPr>
        <w:t xml:space="preserve">in the </w:t>
      </w:r>
      <w:r w:rsidR="00FB4675" w:rsidRPr="00CB2C31">
        <w:rPr>
          <w:lang w:val="en-US" w:eastAsia="en-GB"/>
        </w:rPr>
        <w:t>private</w:t>
      </w:r>
      <w:r w:rsidR="00FB4675" w:rsidRPr="00CB2C31">
        <w:rPr>
          <w:lang w:val="en-US"/>
        </w:rPr>
        <w:t xml:space="preserve"> sector for companies</w:t>
      </w:r>
      <w:r w:rsidR="00E87C9B" w:rsidRPr="00CB2C31">
        <w:rPr>
          <w:lang w:val="en-US"/>
        </w:rPr>
        <w:t xml:space="preserve"> </w:t>
      </w:r>
      <w:r w:rsidR="00E03D01" w:rsidRPr="00CB2C31">
        <w:rPr>
          <w:lang w:val="en-US"/>
        </w:rPr>
        <w:t>around the world</w:t>
      </w:r>
      <w:r w:rsidR="009A1E68" w:rsidRPr="00CB2C31">
        <w:rPr>
          <w:lang w:val="en-US"/>
        </w:rPr>
        <w:t xml:space="preserve">, and identifies best practices </w:t>
      </w:r>
      <w:r w:rsidR="00A24BDC">
        <w:rPr>
          <w:lang w:val="en-US"/>
        </w:rPr>
        <w:t>that</w:t>
      </w:r>
      <w:r w:rsidR="00A24BDC" w:rsidRPr="00CB2C31">
        <w:rPr>
          <w:lang w:val="en-US"/>
        </w:rPr>
        <w:t xml:space="preserve"> </w:t>
      </w:r>
      <w:r w:rsidR="009A1E68" w:rsidRPr="00CB2C31">
        <w:rPr>
          <w:lang w:val="en-US"/>
        </w:rPr>
        <w:t>could be applied to</w:t>
      </w:r>
      <w:r w:rsidR="00E87C9B" w:rsidRPr="00CB2C31">
        <w:rPr>
          <w:lang w:val="en-US"/>
        </w:rPr>
        <w:t xml:space="preserve"> the international treaty body system</w:t>
      </w:r>
      <w:r w:rsidR="00F42D6A" w:rsidRPr="00CB2C31">
        <w:rPr>
          <w:lang w:val="en-US"/>
        </w:rPr>
        <w:t xml:space="preserve">.  </w:t>
      </w:r>
      <w:r w:rsidR="00E03D01" w:rsidRPr="00CB2C31">
        <w:rPr>
          <w:lang w:val="en-US"/>
        </w:rPr>
        <w:t>Where appropriate, we have also highlighted best practices adopted in the public sector.</w:t>
      </w:r>
    </w:p>
    <w:p w14:paraId="3EA5ED97" w14:textId="77777777" w:rsidR="0044606D" w:rsidRPr="00CB2C31" w:rsidRDefault="00184A09" w:rsidP="00623C41">
      <w:pPr>
        <w:pStyle w:val="LegalCombo2"/>
      </w:pPr>
      <w:bookmarkStart w:id="150" w:name="_Toc16692479"/>
      <w:bookmarkStart w:id="151" w:name="_Toc22904989"/>
      <w:bookmarkStart w:id="152" w:name="_Toc24114388"/>
      <w:bookmarkStart w:id="153" w:name="_Toc15027268"/>
      <w:bookmarkStart w:id="154" w:name="_Toc15027659"/>
      <w:bookmarkStart w:id="155" w:name="_Toc15027937"/>
      <w:bookmarkStart w:id="156" w:name="_Toc512156422"/>
      <w:bookmarkStart w:id="157" w:name="_Toc512163755"/>
      <w:bookmarkStart w:id="158" w:name="_Ref512274318"/>
      <w:bookmarkStart w:id="159" w:name="_Toc513199218"/>
      <w:bookmarkStart w:id="160" w:name="_Toc15027216"/>
      <w:bookmarkStart w:id="161" w:name="_Toc15027607"/>
      <w:bookmarkStart w:id="162" w:name="_Toc15027885"/>
      <w:r w:rsidRPr="00CB2C31">
        <w:t>E</w:t>
      </w:r>
      <w:r w:rsidR="00B10BB8" w:rsidRPr="00CB2C31">
        <w:t>urope</w:t>
      </w:r>
      <w:bookmarkEnd w:id="150"/>
      <w:bookmarkEnd w:id="151"/>
      <w:bookmarkEnd w:id="152"/>
      <w:r w:rsidR="00730CB2" w:rsidRPr="00CB2C31">
        <w:t xml:space="preserve"> </w:t>
      </w:r>
    </w:p>
    <w:p w14:paraId="7E989005" w14:textId="04C4FAF5" w:rsidR="007D51CE" w:rsidRPr="00CB2C31" w:rsidRDefault="007D51CE" w:rsidP="00623C41">
      <w:pPr>
        <w:pStyle w:val="DoublePara"/>
        <w:rPr>
          <w:lang w:val="en-US"/>
        </w:rPr>
      </w:pPr>
      <w:r w:rsidRPr="00CB2C31">
        <w:rPr>
          <w:lang w:val="en-US"/>
        </w:rPr>
        <w:t xml:space="preserve">European countries, in particular the Nordic Countries, have been leading the charge on </w:t>
      </w:r>
      <w:r w:rsidR="005D755C" w:rsidRPr="00CB2C31">
        <w:rPr>
          <w:lang w:val="en-US"/>
        </w:rPr>
        <w:t>gender balance</w:t>
      </w:r>
      <w:r w:rsidRPr="00CB2C31">
        <w:rPr>
          <w:lang w:val="en-US"/>
        </w:rPr>
        <w:t>.  This section first explores best practices in the Nordic Countries as a group and then across other European countries</w:t>
      </w:r>
      <w:r w:rsidR="00A24BDC">
        <w:rPr>
          <w:lang w:val="en-US"/>
        </w:rPr>
        <w:t>,</w:t>
      </w:r>
      <w:r w:rsidRPr="00CB2C31">
        <w:rPr>
          <w:lang w:val="en-US"/>
        </w:rPr>
        <w:t xml:space="preserve"> including those in Western Europe and Eastern Europe, assessing current practices for </w:t>
      </w:r>
      <w:r w:rsidR="00E03D01" w:rsidRPr="00CB2C31">
        <w:rPr>
          <w:lang w:val="en-US"/>
        </w:rPr>
        <w:t>nomination and</w:t>
      </w:r>
      <w:r w:rsidRPr="00CB2C31">
        <w:rPr>
          <w:lang w:val="en-US"/>
        </w:rPr>
        <w:t xml:space="preserve"> election procedures in each of these jurisdictions before </w:t>
      </w:r>
      <w:r w:rsidR="00236E78" w:rsidRPr="00CB2C31">
        <w:rPr>
          <w:lang w:val="en-US"/>
        </w:rPr>
        <w:t>summarizing</w:t>
      </w:r>
      <w:r w:rsidRPr="00CB2C31">
        <w:rPr>
          <w:lang w:val="en-US"/>
        </w:rPr>
        <w:t xml:space="preserve"> best practices.</w:t>
      </w:r>
    </w:p>
    <w:p w14:paraId="3DDA0BAC" w14:textId="77777777" w:rsidR="00EF4808" w:rsidRPr="002E5273" w:rsidRDefault="00B10BB8" w:rsidP="00623C41">
      <w:pPr>
        <w:pStyle w:val="LegalCombo3"/>
        <w:rPr>
          <w:b w:val="0"/>
        </w:rPr>
      </w:pPr>
      <w:bookmarkStart w:id="163" w:name="_Toc16692480"/>
      <w:bookmarkStart w:id="164" w:name="_Toc22904990"/>
      <w:bookmarkStart w:id="165" w:name="_Toc24114389"/>
      <w:r w:rsidRPr="002E5273">
        <w:t>T</w:t>
      </w:r>
      <w:bookmarkEnd w:id="153"/>
      <w:bookmarkEnd w:id="154"/>
      <w:bookmarkEnd w:id="155"/>
      <w:bookmarkEnd w:id="163"/>
      <w:r w:rsidR="00EF4808" w:rsidRPr="002E5273">
        <w:t>he Nordic Countries</w:t>
      </w:r>
      <w:bookmarkEnd w:id="164"/>
      <w:bookmarkEnd w:id="165"/>
      <w:r w:rsidR="00EF4808" w:rsidRPr="002E5273">
        <w:t xml:space="preserve"> </w:t>
      </w:r>
    </w:p>
    <w:p w14:paraId="70FEA910" w14:textId="77777777" w:rsidR="00B10BB8" w:rsidRDefault="00B10BB8" w:rsidP="00623C41">
      <w:pPr>
        <w:pStyle w:val="LegalCombo4"/>
        <w:keepNext/>
      </w:pPr>
      <w:bookmarkStart w:id="166" w:name="_Toc16692481"/>
      <w:bookmarkStart w:id="167" w:name="_Toc15027269"/>
      <w:bookmarkStart w:id="168" w:name="_Toc15027660"/>
      <w:bookmarkStart w:id="169" w:name="_Toc15027938"/>
      <w:r w:rsidRPr="00CB2C31">
        <w:t>Introduction</w:t>
      </w:r>
      <w:bookmarkEnd w:id="166"/>
      <w:r w:rsidRPr="00CB2C31">
        <w:t xml:space="preserve"> </w:t>
      </w:r>
      <w:bookmarkEnd w:id="167"/>
      <w:bookmarkEnd w:id="168"/>
      <w:bookmarkEnd w:id="169"/>
    </w:p>
    <w:p w14:paraId="74A8B402" w14:textId="77777777" w:rsidR="00B10BB8" w:rsidRPr="00CB2C31" w:rsidRDefault="00B10BB8" w:rsidP="00623C41">
      <w:pPr>
        <w:pStyle w:val="DoublePara"/>
        <w:rPr>
          <w:lang w:val="en-US"/>
        </w:rPr>
      </w:pPr>
      <w:r w:rsidRPr="00CB2C31">
        <w:rPr>
          <w:lang w:val="en-US"/>
        </w:rPr>
        <w:t>Corporate governance in the Nordic countries is examined here as a group, given their similar procedures.</w:t>
      </w:r>
      <w:r w:rsidRPr="00CB2C31">
        <w:rPr>
          <w:rStyle w:val="FootnoteReference"/>
          <w:lang w:val="en-US"/>
        </w:rPr>
        <w:footnoteReference w:id="83"/>
      </w:r>
      <w:r w:rsidRPr="00CB2C31">
        <w:rPr>
          <w:lang w:val="en-US"/>
        </w:rPr>
        <w:t xml:space="preserve"> </w:t>
      </w:r>
    </w:p>
    <w:p w14:paraId="070EB1D5" w14:textId="77777777" w:rsidR="00B10BB8" w:rsidRPr="00CB2C31" w:rsidRDefault="009B6438" w:rsidP="00623C41">
      <w:pPr>
        <w:pStyle w:val="LegalCombo4"/>
        <w:keepNext/>
      </w:pPr>
      <w:bookmarkStart w:id="170" w:name="_Toc16692482"/>
      <w:r w:rsidRPr="00CB2C31">
        <w:t>Corporate Governance</w:t>
      </w:r>
      <w:bookmarkEnd w:id="170"/>
    </w:p>
    <w:p w14:paraId="59C8EAA8" w14:textId="77777777" w:rsidR="0025016D" w:rsidRPr="00CB2C31" w:rsidRDefault="00BD43FF" w:rsidP="00623C41">
      <w:pPr>
        <w:pStyle w:val="DoublePara"/>
        <w:rPr>
          <w:lang w:val="en-US"/>
        </w:rPr>
      </w:pPr>
      <w:r w:rsidRPr="00CB2C31">
        <w:rPr>
          <w:lang w:val="en-US"/>
        </w:rPr>
        <w:t>Corporate governance rules in Sweden, Norway, Denmark, Iceland and Finland can be found in the Swedish Companies Act, the Norwegian Public Limited Liability Companies Act, the Danish Companies Act, the Icelandic Public and Private Limited Companies Acts and the Finnish Limited Liabilities Companies Act, respectively.</w:t>
      </w:r>
      <w:bookmarkStart w:id="171" w:name="_Ref16195002"/>
      <w:r w:rsidRPr="00CB2C31">
        <w:rPr>
          <w:rStyle w:val="FootnoteReference"/>
          <w:lang w:val="en-US"/>
        </w:rPr>
        <w:footnoteReference w:id="84"/>
      </w:r>
      <w:bookmarkEnd w:id="171"/>
      <w:r w:rsidRPr="00CB2C31">
        <w:rPr>
          <w:lang w:val="en-US"/>
        </w:rPr>
        <w:t xml:space="preserve"> </w:t>
      </w:r>
      <w:r w:rsidR="000B507A">
        <w:rPr>
          <w:lang w:val="en-US"/>
        </w:rPr>
        <w:t xml:space="preserve"> </w:t>
      </w:r>
      <w:r w:rsidRPr="00CB2C31">
        <w:rPr>
          <w:lang w:val="en-US"/>
        </w:rPr>
        <w:t>Best corporate practices can also be found in the Swedish Corporate Governance Code, the Norwegian Code of Practice for Corporate Governance, the Danish Corporate Governance Code, the Icelandic Guidelines on Corporate Governance and the Finnish Corporate Governance Code.</w:t>
      </w:r>
      <w:bookmarkStart w:id="172" w:name="_Ref16195127"/>
      <w:r w:rsidRPr="00CB2C31">
        <w:rPr>
          <w:rStyle w:val="FootnoteReference"/>
          <w:lang w:val="en-US"/>
        </w:rPr>
        <w:footnoteReference w:id="85"/>
      </w:r>
      <w:bookmarkEnd w:id="172"/>
      <w:r w:rsidRPr="00CB2C31">
        <w:rPr>
          <w:lang w:val="en-US"/>
        </w:rPr>
        <w:t xml:space="preserve"> </w:t>
      </w:r>
      <w:r w:rsidR="000B507A">
        <w:rPr>
          <w:lang w:val="en-US"/>
        </w:rPr>
        <w:t xml:space="preserve"> </w:t>
      </w:r>
      <w:r w:rsidRPr="00CB2C31">
        <w:rPr>
          <w:lang w:val="en-US"/>
        </w:rPr>
        <w:t xml:space="preserve">The provisions in these codes are not mandatory, but rely instead on a </w:t>
      </w:r>
      <w:r w:rsidR="00593F1F">
        <w:rPr>
          <w:lang w:val="en-US"/>
        </w:rPr>
        <w:t>‘</w:t>
      </w:r>
      <w:r w:rsidRPr="00CB2C31">
        <w:rPr>
          <w:lang w:val="en-US"/>
        </w:rPr>
        <w:t>comply or explain</w:t>
      </w:r>
      <w:r w:rsidR="00593F1F">
        <w:rPr>
          <w:lang w:val="en-US"/>
        </w:rPr>
        <w:t>’</w:t>
      </w:r>
      <w:r w:rsidRPr="00CB2C31">
        <w:rPr>
          <w:lang w:val="en-US"/>
        </w:rPr>
        <w:t xml:space="preserve"> principle.</w:t>
      </w:r>
      <w:r w:rsidR="0025016D" w:rsidRPr="00CB2C31">
        <w:rPr>
          <w:lang w:val="en-US"/>
        </w:rPr>
        <w:t xml:space="preserve"> </w:t>
      </w:r>
    </w:p>
    <w:p w14:paraId="0BDF044E" w14:textId="34E2C58E" w:rsidR="00B10BB8" w:rsidRDefault="00B10BB8" w:rsidP="00623C41">
      <w:pPr>
        <w:pStyle w:val="DoublePara"/>
        <w:rPr>
          <w:lang w:val="en-US"/>
        </w:rPr>
      </w:pPr>
      <w:r w:rsidRPr="00CB2C31">
        <w:rPr>
          <w:lang w:val="en-US"/>
        </w:rPr>
        <w:t>In Norway and Sweden, there is a prescribed minimum of three directors on boards, and no prescribed maximum.</w:t>
      </w:r>
      <w:r w:rsidRPr="00CB2C31">
        <w:rPr>
          <w:rStyle w:val="FootnoteReference"/>
          <w:lang w:val="en-US"/>
        </w:rPr>
        <w:footnoteReference w:id="86"/>
      </w:r>
      <w:r w:rsidRPr="00CB2C31">
        <w:rPr>
          <w:lang w:val="en-US"/>
        </w:rPr>
        <w:t xml:space="preserve"> </w:t>
      </w:r>
      <w:r w:rsidR="000B507A">
        <w:rPr>
          <w:lang w:val="en-US"/>
        </w:rPr>
        <w:t xml:space="preserve"> </w:t>
      </w:r>
      <w:r w:rsidRPr="00CB2C31">
        <w:rPr>
          <w:lang w:val="en-US"/>
        </w:rPr>
        <w:t>In Iceland, there is a prescribed minimum of three directors on boards of public companies</w:t>
      </w:r>
      <w:r w:rsidR="00F74063" w:rsidRPr="00CB2C31">
        <w:rPr>
          <w:lang w:val="en-US"/>
        </w:rPr>
        <w:t xml:space="preserve"> while</w:t>
      </w:r>
      <w:r w:rsidRPr="00CB2C31">
        <w:rPr>
          <w:lang w:val="en-US"/>
        </w:rPr>
        <w:t xml:space="preserve"> for private companies with four or fewer shareholder</w:t>
      </w:r>
      <w:r w:rsidR="00AD33BD">
        <w:rPr>
          <w:lang w:val="en-US"/>
        </w:rPr>
        <w:t>s</w:t>
      </w:r>
      <w:r w:rsidRPr="00CB2C31">
        <w:rPr>
          <w:lang w:val="en-US"/>
        </w:rPr>
        <w:t xml:space="preserve"> the prescribed minimum is one.</w:t>
      </w:r>
      <w:r w:rsidRPr="00CB2C31">
        <w:rPr>
          <w:rStyle w:val="FootnoteReference"/>
          <w:lang w:val="en-US"/>
        </w:rPr>
        <w:footnoteReference w:id="87"/>
      </w:r>
      <w:r w:rsidRPr="00CB2C31">
        <w:rPr>
          <w:lang w:val="en-US"/>
        </w:rPr>
        <w:t xml:space="preserve"> </w:t>
      </w:r>
      <w:r w:rsidR="000B507A">
        <w:rPr>
          <w:lang w:val="en-US"/>
        </w:rPr>
        <w:t xml:space="preserve"> </w:t>
      </w:r>
      <w:r w:rsidRPr="00CB2C31">
        <w:rPr>
          <w:lang w:val="en-US"/>
        </w:rPr>
        <w:t>There is no prescribed maximum</w:t>
      </w:r>
      <w:r w:rsidR="00F42D6A" w:rsidRPr="00CB2C31">
        <w:rPr>
          <w:lang w:val="en-US"/>
        </w:rPr>
        <w:t xml:space="preserve">.  </w:t>
      </w:r>
      <w:r w:rsidRPr="00CB2C31">
        <w:rPr>
          <w:lang w:val="en-US"/>
        </w:rPr>
        <w:t xml:space="preserve">In Finland, there is a prescribed minimum of one director and a </w:t>
      </w:r>
      <w:r w:rsidRPr="00CB2C31">
        <w:rPr>
          <w:lang w:val="en-US" w:eastAsia="en-GB"/>
        </w:rPr>
        <w:t>prescribed</w:t>
      </w:r>
      <w:r w:rsidRPr="00CB2C31">
        <w:rPr>
          <w:lang w:val="en-US"/>
        </w:rPr>
        <w:t xml:space="preserve"> maximum of five directors on boards.</w:t>
      </w:r>
      <w:r w:rsidRPr="00CB2C31">
        <w:rPr>
          <w:rStyle w:val="FootnoteReference"/>
          <w:lang w:val="en-US"/>
        </w:rPr>
        <w:footnoteReference w:id="88"/>
      </w:r>
      <w:r w:rsidRPr="00CB2C31">
        <w:rPr>
          <w:lang w:val="en-US"/>
        </w:rPr>
        <w:t xml:space="preserve"> </w:t>
      </w:r>
      <w:r w:rsidR="000B507A">
        <w:rPr>
          <w:lang w:val="en-US"/>
        </w:rPr>
        <w:t xml:space="preserve"> </w:t>
      </w:r>
      <w:r w:rsidRPr="00CB2C31">
        <w:rPr>
          <w:lang w:val="en-US"/>
        </w:rPr>
        <w:t>Regarding nationality of members, in Norway and Iceland, the general manager and at least half of the board members must be Norwegian and Icelandic residents respectively or EEA citizens residing within the EEA.</w:t>
      </w:r>
      <w:r w:rsidRPr="00CB2C31">
        <w:rPr>
          <w:rStyle w:val="FootnoteReference"/>
          <w:lang w:val="en-US"/>
        </w:rPr>
        <w:footnoteReference w:id="89"/>
      </w:r>
      <w:r w:rsidR="0009628A">
        <w:rPr>
          <w:lang w:val="en-US"/>
        </w:rPr>
        <w:t xml:space="preserve"> </w:t>
      </w:r>
      <w:r w:rsidRPr="00CB2C31">
        <w:rPr>
          <w:lang w:val="en-US"/>
        </w:rPr>
        <w:t xml:space="preserve"> In Sweden, </w:t>
      </w:r>
      <w:r w:rsidR="000561B4">
        <w:rPr>
          <w:lang w:val="en-US"/>
        </w:rPr>
        <w:t>at least</w:t>
      </w:r>
      <w:r w:rsidRPr="00CB2C31">
        <w:rPr>
          <w:lang w:val="en-US"/>
        </w:rPr>
        <w:t xml:space="preserve"> half of the directors must be resident within the EEA.</w:t>
      </w:r>
      <w:r w:rsidRPr="00CB2C31">
        <w:rPr>
          <w:rStyle w:val="FootnoteReference"/>
          <w:lang w:val="en-US"/>
        </w:rPr>
        <w:footnoteReference w:id="90"/>
      </w:r>
      <w:r w:rsidRPr="00CB2C31">
        <w:rPr>
          <w:lang w:val="en-US"/>
        </w:rPr>
        <w:t xml:space="preserve"> </w:t>
      </w:r>
      <w:r w:rsidR="0009628A">
        <w:rPr>
          <w:lang w:val="en-US"/>
        </w:rPr>
        <w:t xml:space="preserve"> </w:t>
      </w:r>
      <w:r w:rsidRPr="00CB2C31">
        <w:rPr>
          <w:lang w:val="en-US"/>
        </w:rPr>
        <w:t>In Finland, at least one of the members of the board of directors must be resident within the EEA.</w:t>
      </w:r>
      <w:r w:rsidRPr="00CB2C31">
        <w:rPr>
          <w:rStyle w:val="FootnoteReference"/>
          <w:lang w:val="en-US"/>
        </w:rPr>
        <w:footnoteReference w:id="91"/>
      </w:r>
      <w:r w:rsidRPr="00CB2C31">
        <w:rPr>
          <w:lang w:val="en-US"/>
        </w:rPr>
        <w:t xml:space="preserve"> </w:t>
      </w:r>
      <w:r w:rsidR="0009628A">
        <w:rPr>
          <w:lang w:val="en-US"/>
        </w:rPr>
        <w:t xml:space="preserve"> </w:t>
      </w:r>
      <w:r w:rsidRPr="00CB2C31">
        <w:rPr>
          <w:lang w:val="en-US"/>
        </w:rPr>
        <w:t>There are no legal requirements on the nationality of members for Denmark.</w:t>
      </w:r>
    </w:p>
    <w:p w14:paraId="05B4CC94" w14:textId="2CD5120C" w:rsidR="005909D5" w:rsidRPr="00CB2C31" w:rsidRDefault="005909D5" w:rsidP="005909D5">
      <w:pPr>
        <w:pStyle w:val="DoublePara"/>
        <w:rPr>
          <w:i/>
          <w:u w:val="single"/>
          <w:lang w:val="en-US"/>
        </w:rPr>
      </w:pPr>
      <w:r w:rsidRPr="00CB2C31">
        <w:rPr>
          <w:lang w:val="en-US"/>
        </w:rPr>
        <w:t xml:space="preserve">In all of these Nordic countries, board </w:t>
      </w:r>
      <w:r w:rsidRPr="00CB2C31">
        <w:rPr>
          <w:lang w:val="en-US" w:eastAsia="en-GB"/>
        </w:rPr>
        <w:t>members</w:t>
      </w:r>
      <w:r w:rsidRPr="00CB2C31">
        <w:rPr>
          <w:lang w:val="en-US"/>
        </w:rPr>
        <w:t xml:space="preserve"> are appointed by the shareholders at the general meeting by a simple majority vote (51%).  In Sweden, directors are elected for one-year terms.</w:t>
      </w:r>
      <w:r w:rsidRPr="00CB2C31">
        <w:rPr>
          <w:rStyle w:val="FootnoteReference"/>
          <w:lang w:val="en-US"/>
        </w:rPr>
        <w:footnoteReference w:id="92"/>
      </w:r>
      <w:r w:rsidRPr="00CB2C31">
        <w:rPr>
          <w:lang w:val="en-US"/>
        </w:rPr>
        <w:t xml:space="preserve"> </w:t>
      </w:r>
      <w:r>
        <w:rPr>
          <w:lang w:val="en-US"/>
        </w:rPr>
        <w:t xml:space="preserve"> </w:t>
      </w:r>
      <w:r w:rsidRPr="00CB2C31">
        <w:rPr>
          <w:lang w:val="en-US"/>
        </w:rPr>
        <w:t>In Norway, despite the Norwegian Public Limited Liability Companies Act allowing directors to serve for up to four years if prescribed in the articles of association, the Norwegian Corporate Governance Code recommends that directors are elected for terms of no more than two years.</w:t>
      </w:r>
      <w:r w:rsidRPr="00CB2C31">
        <w:rPr>
          <w:rStyle w:val="FootnoteReference"/>
          <w:lang w:val="en-US"/>
        </w:rPr>
        <w:footnoteReference w:id="93"/>
      </w:r>
      <w:r w:rsidRPr="00CB2C31">
        <w:rPr>
          <w:lang w:val="en-US"/>
        </w:rPr>
        <w:t xml:space="preserve"> </w:t>
      </w:r>
      <w:r>
        <w:rPr>
          <w:lang w:val="en-US"/>
        </w:rPr>
        <w:t xml:space="preserve"> </w:t>
      </w:r>
      <w:r w:rsidRPr="00CB2C31">
        <w:rPr>
          <w:lang w:val="en-US"/>
        </w:rPr>
        <w:t xml:space="preserve">Similarly, in Iceland, the Public and Private Limited Liability Companies Acts allow directors to serve for up to four years if </w:t>
      </w:r>
      <w:r w:rsidR="000C112B">
        <w:rPr>
          <w:lang w:val="en-US"/>
        </w:rPr>
        <w:t>such term</w:t>
      </w:r>
      <w:r w:rsidRPr="00CB2C31">
        <w:rPr>
          <w:lang w:val="en-US"/>
        </w:rPr>
        <w:t xml:space="preserve"> is allowed by the company</w:t>
      </w:r>
      <w:r w:rsidR="00593F1F">
        <w:rPr>
          <w:lang w:val="en-US"/>
        </w:rPr>
        <w:t>’</w:t>
      </w:r>
      <w:r w:rsidRPr="00CB2C31">
        <w:rPr>
          <w:lang w:val="en-US"/>
        </w:rPr>
        <w:t>s articles of association.</w:t>
      </w:r>
      <w:r w:rsidRPr="00CB2C31">
        <w:rPr>
          <w:rStyle w:val="FootnoteReference"/>
          <w:lang w:val="en-US"/>
        </w:rPr>
        <w:footnoteReference w:id="94"/>
      </w:r>
      <w:r w:rsidRPr="00CB2C31">
        <w:rPr>
          <w:lang w:val="en-US"/>
        </w:rPr>
        <w:t xml:space="preserve"> </w:t>
      </w:r>
      <w:r>
        <w:rPr>
          <w:lang w:val="en-US"/>
        </w:rPr>
        <w:t xml:space="preserve"> </w:t>
      </w:r>
      <w:r w:rsidRPr="00CB2C31">
        <w:rPr>
          <w:lang w:val="en-US"/>
        </w:rPr>
        <w:t>In Denmark, a director can be re-elected an unlimited number of times, with each term not exceeding four years.  It is recommended, however, that directors be up for re-election each year, unless the articles of association provide for a different term, which may not exceed four financial years.</w:t>
      </w:r>
      <w:r w:rsidRPr="00CB2C31">
        <w:rPr>
          <w:rStyle w:val="FootnoteReference"/>
          <w:lang w:val="en-US"/>
        </w:rPr>
        <w:footnoteReference w:id="95"/>
      </w:r>
      <w:r w:rsidRPr="00CB2C31">
        <w:rPr>
          <w:lang w:val="en-US"/>
        </w:rPr>
        <w:t xml:space="preserve"> </w:t>
      </w:r>
      <w:r>
        <w:rPr>
          <w:lang w:val="en-US"/>
        </w:rPr>
        <w:t xml:space="preserve"> </w:t>
      </w:r>
      <w:r w:rsidRPr="00CB2C31">
        <w:rPr>
          <w:lang w:val="en-US"/>
        </w:rPr>
        <w:t>In Finland, directors of public companies are elected for one-year terms, unless a different term is provided by the company</w:t>
      </w:r>
      <w:r w:rsidR="00593F1F">
        <w:rPr>
          <w:lang w:val="en-US"/>
        </w:rPr>
        <w:t>’</w:t>
      </w:r>
      <w:r w:rsidRPr="00CB2C31">
        <w:rPr>
          <w:lang w:val="en-US"/>
        </w:rPr>
        <w:t>s articles of association, with no restrictions on the number of successive terms of office.</w:t>
      </w:r>
      <w:r w:rsidRPr="00CB2C31">
        <w:rPr>
          <w:rStyle w:val="FootnoteReference"/>
          <w:lang w:val="en-US"/>
        </w:rPr>
        <w:footnoteReference w:id="96"/>
      </w:r>
      <w:r w:rsidRPr="00CB2C31">
        <w:rPr>
          <w:lang w:val="en-US"/>
        </w:rPr>
        <w:t xml:space="preserve"> </w:t>
      </w:r>
    </w:p>
    <w:p w14:paraId="0418EBA3" w14:textId="77777777" w:rsidR="005909D5" w:rsidRPr="005909D5" w:rsidRDefault="005909D5" w:rsidP="00623C41">
      <w:pPr>
        <w:pStyle w:val="DoublePara"/>
        <w:rPr>
          <w:i/>
          <w:lang w:val="en-US"/>
        </w:rPr>
      </w:pPr>
      <w:r w:rsidRPr="00CB2C31">
        <w:rPr>
          <w:lang w:val="en-US"/>
        </w:rPr>
        <w:t xml:space="preserve">In all of these Nordic countries, </w:t>
      </w:r>
      <w:r w:rsidRPr="00CB2C31">
        <w:rPr>
          <w:lang w:val="en-US" w:eastAsia="en-GB"/>
        </w:rPr>
        <w:t>boards</w:t>
      </w:r>
      <w:r w:rsidRPr="00CB2C31">
        <w:rPr>
          <w:lang w:val="en-US"/>
        </w:rPr>
        <w:t xml:space="preserve"> may be dismissed by the shareholders at any time within its mandate period.  Executive management may be appointed and dismissed at the sole discretion of the board. </w:t>
      </w:r>
    </w:p>
    <w:p w14:paraId="4B148396" w14:textId="50D7B3E6" w:rsidR="00B10BB8" w:rsidRPr="00CB2C31" w:rsidRDefault="00B10BB8" w:rsidP="00623C41">
      <w:pPr>
        <w:pStyle w:val="DoublePara"/>
        <w:rPr>
          <w:u w:val="single"/>
          <w:lang w:val="en-US"/>
        </w:rPr>
      </w:pPr>
      <w:r w:rsidRPr="00CB2C31">
        <w:rPr>
          <w:lang w:val="en-US"/>
        </w:rPr>
        <w:t>With regards to gender, the position is split amongst the Nordic countries</w:t>
      </w:r>
      <w:r w:rsidR="00F42D6A" w:rsidRPr="00CB2C31">
        <w:rPr>
          <w:lang w:val="en-US"/>
        </w:rPr>
        <w:t xml:space="preserve">.  </w:t>
      </w:r>
      <w:r w:rsidRPr="00CB2C31">
        <w:rPr>
          <w:lang w:val="en-US"/>
        </w:rPr>
        <w:t>Norway and Iceland impose legal gender quotas</w:t>
      </w:r>
      <w:r w:rsidR="00F42D6A" w:rsidRPr="00CB2C31">
        <w:rPr>
          <w:lang w:val="en-US"/>
        </w:rPr>
        <w:t xml:space="preserve">.  </w:t>
      </w:r>
      <w:r w:rsidRPr="00CB2C31">
        <w:rPr>
          <w:lang w:val="en-US"/>
        </w:rPr>
        <w:t>Norway was the first country to pass a gender quota law</w:t>
      </w:r>
      <w:r w:rsidR="000561B4">
        <w:rPr>
          <w:lang w:val="en-US"/>
        </w:rPr>
        <w:t>,</w:t>
      </w:r>
      <w:r w:rsidRPr="00CB2C31">
        <w:rPr>
          <w:lang w:val="en-US"/>
        </w:rPr>
        <w:t xml:space="preserve"> which was enacted in 2003 and has been in force since 2006, reflecting a more progressive attitude towards </w:t>
      </w:r>
      <w:r w:rsidR="005D755C" w:rsidRPr="00CB2C31">
        <w:rPr>
          <w:lang w:val="en-US"/>
        </w:rPr>
        <w:t>gender balance</w:t>
      </w:r>
      <w:r w:rsidR="000561B4">
        <w:rPr>
          <w:lang w:val="en-US"/>
        </w:rPr>
        <w:t>d</w:t>
      </w:r>
      <w:r w:rsidRPr="00CB2C31">
        <w:rPr>
          <w:lang w:val="en-US"/>
        </w:rPr>
        <w:t xml:space="preserve"> board representation.</w:t>
      </w:r>
      <w:r w:rsidRPr="00CB2C31">
        <w:rPr>
          <w:rStyle w:val="FootnoteReference"/>
          <w:lang w:val="en-US"/>
        </w:rPr>
        <w:footnoteReference w:id="97"/>
      </w:r>
      <w:r w:rsidRPr="00CB2C31">
        <w:rPr>
          <w:lang w:val="en-US"/>
        </w:rPr>
        <w:t xml:space="preserve"> </w:t>
      </w:r>
      <w:r w:rsidR="0009628A">
        <w:rPr>
          <w:lang w:val="en-US"/>
        </w:rPr>
        <w:t xml:space="preserve"> </w:t>
      </w:r>
      <w:r w:rsidRPr="00CB2C31">
        <w:rPr>
          <w:lang w:val="en-US"/>
        </w:rPr>
        <w:t>Iceland followed in 2010 when it</w:t>
      </w:r>
      <w:r w:rsidR="00F74063" w:rsidRPr="00CB2C31">
        <w:rPr>
          <w:lang w:val="en-US"/>
        </w:rPr>
        <w:t xml:space="preserve"> enacted its gender quota law, which </w:t>
      </w:r>
      <w:r w:rsidRPr="00CB2C31">
        <w:rPr>
          <w:lang w:val="en-US"/>
        </w:rPr>
        <w:t>came into force in 2013.</w:t>
      </w:r>
      <w:r w:rsidRPr="00CB2C31">
        <w:rPr>
          <w:rStyle w:val="FootnoteReference"/>
          <w:lang w:val="en-US"/>
        </w:rPr>
        <w:footnoteReference w:id="98"/>
      </w:r>
      <w:r w:rsidRPr="00CB2C31">
        <w:rPr>
          <w:lang w:val="en-US"/>
        </w:rPr>
        <w:t xml:space="preserve"> </w:t>
      </w:r>
      <w:r w:rsidR="0009628A">
        <w:rPr>
          <w:lang w:val="en-US"/>
        </w:rPr>
        <w:t xml:space="preserve"> </w:t>
      </w:r>
      <w:r w:rsidR="005909D5">
        <w:rPr>
          <w:lang w:val="en-US"/>
        </w:rPr>
        <w:t>Other Nordic countries have opted for non-mandatory initiatives.</w:t>
      </w:r>
      <w:r w:rsidR="00593F1F">
        <w:rPr>
          <w:lang w:val="en-US"/>
        </w:rPr>
        <w:t xml:space="preserve">  </w:t>
      </w:r>
      <w:r w:rsidRPr="00CB2C31">
        <w:rPr>
          <w:lang w:val="en-US"/>
        </w:rPr>
        <w:t>Under the Swedish Corporate Governance Code, boards are to exhibit diversity, breadth of qualification, experience and background, and listed companies should strive for equal gender distribution on their boards.</w:t>
      </w:r>
      <w:bookmarkStart w:id="173" w:name="_Ref16195285"/>
      <w:r w:rsidRPr="00CB2C31">
        <w:rPr>
          <w:rStyle w:val="FootnoteReference"/>
          <w:lang w:val="en-US"/>
        </w:rPr>
        <w:footnoteReference w:id="99"/>
      </w:r>
      <w:bookmarkEnd w:id="173"/>
      <w:r w:rsidRPr="00CB2C31">
        <w:rPr>
          <w:lang w:val="en-US"/>
        </w:rPr>
        <w:t xml:space="preserve"> </w:t>
      </w:r>
      <w:r w:rsidR="0009628A">
        <w:rPr>
          <w:lang w:val="en-US"/>
        </w:rPr>
        <w:t xml:space="preserve"> </w:t>
      </w:r>
      <w:r w:rsidRPr="00CB2C31">
        <w:rPr>
          <w:lang w:val="en-US"/>
        </w:rPr>
        <w:t>In Denmark, larger companies must establish board diversity targets to increase the under</w:t>
      </w:r>
      <w:r w:rsidR="000561B4">
        <w:rPr>
          <w:lang w:val="en-US"/>
        </w:rPr>
        <w:t>-</w:t>
      </w:r>
      <w:r w:rsidRPr="00CB2C31">
        <w:rPr>
          <w:lang w:val="en-US"/>
        </w:rPr>
        <w:t xml:space="preserve">represented gender and </w:t>
      </w:r>
      <w:r w:rsidRPr="00CB2C31">
        <w:rPr>
          <w:lang w:val="en-US" w:eastAsia="en-GB"/>
        </w:rPr>
        <w:t>adopt</w:t>
      </w:r>
      <w:r w:rsidRPr="00CB2C31">
        <w:rPr>
          <w:lang w:val="en-US"/>
        </w:rPr>
        <w:t xml:space="preserve"> diversity policies for every management level of the company</w:t>
      </w:r>
      <w:r w:rsidR="00F42D6A" w:rsidRPr="00CB2C31">
        <w:rPr>
          <w:lang w:val="en-US"/>
        </w:rPr>
        <w:t xml:space="preserve">.  </w:t>
      </w:r>
      <w:r w:rsidRPr="00CB2C31">
        <w:rPr>
          <w:lang w:val="en-US"/>
        </w:rPr>
        <w:t>Danish companies are also required to report on progress towards fulfilling targets, which must incorporate diversity in relation to age, international experience and gender.</w:t>
      </w:r>
      <w:bookmarkStart w:id="174" w:name="_Ref16195321"/>
      <w:r w:rsidRPr="00CB2C31">
        <w:rPr>
          <w:rStyle w:val="FootnoteReference"/>
          <w:lang w:val="en-US"/>
        </w:rPr>
        <w:footnoteReference w:id="100"/>
      </w:r>
      <w:bookmarkEnd w:id="174"/>
      <w:r w:rsidRPr="00CB2C31">
        <w:rPr>
          <w:lang w:val="en-US"/>
        </w:rPr>
        <w:t xml:space="preserve"> </w:t>
      </w:r>
      <w:r w:rsidR="0009628A">
        <w:rPr>
          <w:lang w:val="en-US"/>
        </w:rPr>
        <w:t xml:space="preserve"> </w:t>
      </w:r>
      <w:r w:rsidRPr="00CB2C31">
        <w:rPr>
          <w:lang w:val="en-US"/>
        </w:rPr>
        <w:t>Under the Finnish Corporate Governance Code, companies must specify objectives for ensuring that both genders are represented on the board, the means to achieve the objectives, and provide an account of the progress</w:t>
      </w:r>
      <w:r w:rsidR="00F42D6A" w:rsidRPr="00CB2C31">
        <w:rPr>
          <w:lang w:val="en-US"/>
        </w:rPr>
        <w:t xml:space="preserve">.  </w:t>
      </w:r>
      <w:r w:rsidRPr="00CB2C31">
        <w:rPr>
          <w:lang w:val="en-US"/>
        </w:rPr>
        <w:t>The Finnish Corporate Governance Code also requires companies to have both genders represented on their board of directors.</w:t>
      </w:r>
      <w:bookmarkStart w:id="175" w:name="_Ref16195334"/>
      <w:r w:rsidRPr="00CB2C31">
        <w:rPr>
          <w:rStyle w:val="FootnoteReference"/>
          <w:lang w:val="en-US"/>
        </w:rPr>
        <w:footnoteReference w:id="101"/>
      </w:r>
      <w:bookmarkEnd w:id="175"/>
      <w:r w:rsidRPr="00CB2C31">
        <w:rPr>
          <w:lang w:val="en-US"/>
        </w:rPr>
        <w:t xml:space="preserve"> </w:t>
      </w:r>
    </w:p>
    <w:p w14:paraId="6D08F43F" w14:textId="77777777" w:rsidR="00B10BB8" w:rsidRPr="00CB2C31" w:rsidRDefault="00B10BB8" w:rsidP="00623C41">
      <w:pPr>
        <w:pStyle w:val="DoublePara"/>
        <w:rPr>
          <w:lang w:val="en-US"/>
        </w:rPr>
      </w:pPr>
      <w:r w:rsidRPr="00CB2C31">
        <w:rPr>
          <w:lang w:val="en-US"/>
        </w:rPr>
        <w:t xml:space="preserve">The Norwegian Public Limited Liability Companies Act stipulates that the board, and deputy members of the board, must represent both </w:t>
      </w:r>
      <w:r w:rsidRPr="00CB2C31">
        <w:rPr>
          <w:lang w:val="en-US" w:eastAsia="en-GB"/>
        </w:rPr>
        <w:t>genders</w:t>
      </w:r>
      <w:r w:rsidRPr="00CB2C31">
        <w:rPr>
          <w:lang w:val="en-US"/>
        </w:rPr>
        <w:t xml:space="preserve"> as follows: (i) if the board has two or three members, both genders must be represented; (ii) if the board has four or five members, each gender must be represented by at least two; (iii) if the board has six to eight members, each gender must be represented by at least three; (iv) if the board has nine members, each gender must be represented by at least four; and (v) if the board has more than nine members, each gender must be represented by at least 40%.</w:t>
      </w:r>
      <w:bookmarkStart w:id="176" w:name="_Ref16195190"/>
      <w:r w:rsidRPr="00CB2C31">
        <w:rPr>
          <w:rStyle w:val="FootnoteReference"/>
          <w:rFonts w:cstheme="minorHAnsi"/>
          <w:lang w:val="en-US"/>
        </w:rPr>
        <w:footnoteReference w:id="102"/>
      </w:r>
      <w:bookmarkEnd w:id="176"/>
    </w:p>
    <w:p w14:paraId="0B8EFE2A" w14:textId="77777777" w:rsidR="00B10BB8" w:rsidRPr="00CB2C31" w:rsidRDefault="00B10BB8" w:rsidP="00623C41">
      <w:pPr>
        <w:pStyle w:val="DoublePara"/>
        <w:rPr>
          <w:i/>
          <w:u w:val="single"/>
          <w:lang w:val="en-US"/>
        </w:rPr>
      </w:pPr>
      <w:r w:rsidRPr="00CB2C31">
        <w:rPr>
          <w:lang w:val="en-US"/>
        </w:rPr>
        <w:t xml:space="preserve">The Icelandic Public and Private Limited Liability Companies Acts state that </w:t>
      </w:r>
      <w:r w:rsidR="007A30F8">
        <w:rPr>
          <w:lang w:val="en-US"/>
        </w:rPr>
        <w:t xml:space="preserve">for </w:t>
      </w:r>
      <w:r w:rsidRPr="00CB2C31">
        <w:rPr>
          <w:lang w:val="en-US"/>
        </w:rPr>
        <w:t xml:space="preserve">companies with more than 50 employees, when the board of </w:t>
      </w:r>
      <w:r w:rsidRPr="00CB2C31">
        <w:rPr>
          <w:lang w:val="en-US" w:eastAsia="en-GB"/>
        </w:rPr>
        <w:t>directors</w:t>
      </w:r>
      <w:r w:rsidRPr="00CB2C31">
        <w:rPr>
          <w:lang w:val="en-US"/>
        </w:rPr>
        <w:t xml:space="preserve"> consists of three persons (or at least two for private limited companies) both genders shall be represented.</w:t>
      </w:r>
      <w:r w:rsidRPr="00CB2C31">
        <w:rPr>
          <w:rStyle w:val="FootnoteReference"/>
          <w:lang w:val="en-US"/>
        </w:rPr>
        <w:footnoteReference w:id="103"/>
      </w:r>
      <w:r w:rsidRPr="00CB2C31">
        <w:rPr>
          <w:lang w:val="en-US"/>
        </w:rPr>
        <w:t xml:space="preserve"> </w:t>
      </w:r>
      <w:r w:rsidR="0009628A">
        <w:rPr>
          <w:lang w:val="en-US"/>
        </w:rPr>
        <w:t xml:space="preserve"> </w:t>
      </w:r>
      <w:r w:rsidRPr="00CB2C31">
        <w:rPr>
          <w:lang w:val="en-US"/>
        </w:rPr>
        <w:t>When members of the board of directors are more than three, gender ratio shall not be lower than 40%.</w:t>
      </w:r>
      <w:r w:rsidRPr="00CB2C31">
        <w:rPr>
          <w:rStyle w:val="FootnoteReference"/>
          <w:lang w:val="en-US"/>
        </w:rPr>
        <w:footnoteReference w:id="104"/>
      </w:r>
    </w:p>
    <w:p w14:paraId="07B94CAE" w14:textId="77777777" w:rsidR="00B10BB8" w:rsidRPr="00C326AC" w:rsidRDefault="00B10BB8" w:rsidP="00623C41">
      <w:pPr>
        <w:pStyle w:val="LegalCombo4"/>
        <w:keepNext/>
        <w:rPr>
          <w:b/>
        </w:rPr>
      </w:pPr>
      <w:bookmarkStart w:id="177" w:name="_Toc512156425"/>
      <w:bookmarkStart w:id="178" w:name="_Toc512163758"/>
      <w:bookmarkStart w:id="179" w:name="_Toc513199226"/>
      <w:bookmarkStart w:id="180" w:name="_Toc525910512"/>
      <w:bookmarkStart w:id="181" w:name="_Toc15027272"/>
      <w:bookmarkStart w:id="182" w:name="_Toc15027663"/>
      <w:bookmarkStart w:id="183" w:name="_Toc15027941"/>
      <w:bookmarkStart w:id="184" w:name="_Toc16692483"/>
      <w:r w:rsidRPr="00C326AC">
        <w:rPr>
          <w:b/>
        </w:rPr>
        <w:t>Conclusion and Best Practice Analysis</w:t>
      </w:r>
      <w:bookmarkEnd w:id="177"/>
      <w:bookmarkEnd w:id="178"/>
      <w:bookmarkEnd w:id="179"/>
      <w:bookmarkEnd w:id="180"/>
      <w:bookmarkEnd w:id="181"/>
      <w:bookmarkEnd w:id="182"/>
      <w:bookmarkEnd w:id="183"/>
      <w:bookmarkEnd w:id="184"/>
      <w:r w:rsidR="007A4AC7" w:rsidRPr="00C326AC">
        <w:rPr>
          <w:b/>
        </w:rPr>
        <w:t>:</w:t>
      </w:r>
      <w:r w:rsidR="00593F1F" w:rsidRPr="00C326AC">
        <w:rPr>
          <w:b/>
        </w:rPr>
        <w:t xml:space="preserve"> </w:t>
      </w:r>
      <w:r w:rsidR="007A4AC7" w:rsidRPr="00C326AC">
        <w:rPr>
          <w:b/>
        </w:rPr>
        <w:t>Nordic Countries</w:t>
      </w:r>
    </w:p>
    <w:p w14:paraId="6ABF6442" w14:textId="77777777" w:rsidR="00B10BB8" w:rsidRPr="00CB2C31" w:rsidRDefault="00B10BB8" w:rsidP="00623C41">
      <w:pPr>
        <w:pStyle w:val="DoublePara"/>
        <w:rPr>
          <w:lang w:val="en-US"/>
        </w:rPr>
      </w:pPr>
      <w:r w:rsidRPr="00CB2C31">
        <w:rPr>
          <w:lang w:val="en-US"/>
        </w:rPr>
        <w:t xml:space="preserve">Examination of the Nordic approach to corporate governance and gender diversity specifically raises questions about the different approaches and </w:t>
      </w:r>
      <w:r w:rsidR="00E03D01" w:rsidRPr="00CB2C31">
        <w:rPr>
          <w:lang w:val="en-US"/>
        </w:rPr>
        <w:t xml:space="preserve">the </w:t>
      </w:r>
      <w:r w:rsidRPr="00CB2C31">
        <w:rPr>
          <w:lang w:val="en-US"/>
        </w:rPr>
        <w:t xml:space="preserve">success of gender </w:t>
      </w:r>
      <w:r w:rsidR="00E03D01" w:rsidRPr="00CB2C31">
        <w:rPr>
          <w:lang w:val="en-US"/>
        </w:rPr>
        <w:t xml:space="preserve">targets and </w:t>
      </w:r>
      <w:r w:rsidRPr="00CB2C31">
        <w:rPr>
          <w:lang w:val="en-US"/>
        </w:rPr>
        <w:t>quotas</w:t>
      </w:r>
      <w:r w:rsidR="00F42D6A" w:rsidRPr="00CB2C31">
        <w:rPr>
          <w:lang w:val="en-US"/>
        </w:rPr>
        <w:t xml:space="preserve">.  </w:t>
      </w:r>
      <w:r w:rsidRPr="00CB2C31">
        <w:rPr>
          <w:lang w:val="en-US"/>
        </w:rPr>
        <w:t>All of the Nordic countries have much higher levels of female board representation than their global counterparts</w:t>
      </w:r>
      <w:r w:rsidR="00F42D6A" w:rsidRPr="00CB2C31">
        <w:rPr>
          <w:lang w:val="en-US"/>
        </w:rPr>
        <w:t xml:space="preserve">.  </w:t>
      </w:r>
      <w:r w:rsidR="00BD43FF" w:rsidRPr="00CB2C31">
        <w:rPr>
          <w:lang w:val="en-US"/>
        </w:rPr>
        <w:t xml:space="preserve">Iceland and Norway are the market leaders with their </w:t>
      </w:r>
      <w:r w:rsidR="001C52BA" w:rsidRPr="00C326AC">
        <w:rPr>
          <w:b/>
          <w:lang w:val="en-US"/>
        </w:rPr>
        <w:t>mandatory</w:t>
      </w:r>
      <w:r w:rsidR="00BD43FF" w:rsidRPr="00C326AC">
        <w:rPr>
          <w:b/>
          <w:lang w:val="en-US"/>
        </w:rPr>
        <w:t xml:space="preserve"> gender quotas</w:t>
      </w:r>
      <w:r w:rsidR="00BD43FF" w:rsidRPr="00CB2C31">
        <w:rPr>
          <w:lang w:val="en-US"/>
        </w:rPr>
        <w:t>, resulting in an average of 44% diversity on Icelandic boards and 41% on Norwegian boards of publicly listed companies in 2018.</w:t>
      </w:r>
      <w:bookmarkStart w:id="185" w:name="_Ref17105537"/>
      <w:r w:rsidR="00BD43FF" w:rsidRPr="00CB2C31">
        <w:rPr>
          <w:rStyle w:val="FootnoteReference"/>
          <w:lang w:val="en-US"/>
        </w:rPr>
        <w:footnoteReference w:id="105"/>
      </w:r>
      <w:bookmarkEnd w:id="185"/>
      <w:r w:rsidR="00BD43FF" w:rsidRPr="00CB2C31">
        <w:rPr>
          <w:lang w:val="en-US"/>
        </w:rPr>
        <w:t xml:space="preserve"> </w:t>
      </w:r>
      <w:r w:rsidR="0009628A">
        <w:rPr>
          <w:lang w:val="en-US"/>
        </w:rPr>
        <w:t xml:space="preserve"> </w:t>
      </w:r>
      <w:r w:rsidRPr="00CB2C31">
        <w:rPr>
          <w:lang w:val="en-US"/>
        </w:rPr>
        <w:t xml:space="preserve">Finland, Sweden and Denmark do not have </w:t>
      </w:r>
      <w:r w:rsidR="00AD33BD">
        <w:rPr>
          <w:lang w:val="en-US"/>
        </w:rPr>
        <w:t>mandatory quota laws</w:t>
      </w:r>
      <w:r w:rsidR="001C52BA">
        <w:rPr>
          <w:lang w:val="en-US"/>
        </w:rPr>
        <w:t xml:space="preserve">, which suggests that </w:t>
      </w:r>
      <w:r w:rsidRPr="00CB2C31">
        <w:rPr>
          <w:lang w:val="en-US"/>
        </w:rPr>
        <w:t>the relatively high number of woman directors</w:t>
      </w:r>
      <w:r w:rsidR="001C52BA">
        <w:rPr>
          <w:lang w:val="en-US"/>
        </w:rPr>
        <w:t xml:space="preserve"> is driven instead by a</w:t>
      </w:r>
      <w:r w:rsidR="001C52BA" w:rsidRPr="00CB2C31">
        <w:rPr>
          <w:lang w:val="en-US"/>
        </w:rPr>
        <w:t xml:space="preserve"> willingness to comply with </w:t>
      </w:r>
      <w:r w:rsidR="001C52BA" w:rsidRPr="00C326AC">
        <w:rPr>
          <w:b/>
        </w:rPr>
        <w:t>non-mandatory</w:t>
      </w:r>
      <w:r w:rsidR="001C52BA" w:rsidRPr="00C326AC">
        <w:rPr>
          <w:b/>
          <w:lang w:val="en-US"/>
        </w:rPr>
        <w:t xml:space="preserve"> targets</w:t>
      </w:r>
      <w:r w:rsidR="001C52BA">
        <w:rPr>
          <w:lang w:val="en-US"/>
        </w:rPr>
        <w:t xml:space="preserve"> and to </w:t>
      </w:r>
      <w:r w:rsidR="001C52BA" w:rsidRPr="00CB2C31">
        <w:rPr>
          <w:lang w:val="en-US"/>
        </w:rPr>
        <w:t>enhance gender balance on boards</w:t>
      </w:r>
      <w:r w:rsidR="00F42D6A" w:rsidRPr="00CB2C31">
        <w:rPr>
          <w:lang w:val="en-US"/>
        </w:rPr>
        <w:t xml:space="preserve">.  </w:t>
      </w:r>
      <w:r w:rsidRPr="00CB2C31">
        <w:rPr>
          <w:lang w:val="en-US"/>
        </w:rPr>
        <w:t xml:space="preserve">In 2018, Sweden, Finland and Denmark were among the countries with the highest number of women on boards of publicly listed companies, at 36%, 30% and 27% respectively, despite having no </w:t>
      </w:r>
      <w:r w:rsidR="00AD33BD">
        <w:rPr>
          <w:lang w:val="en-US"/>
        </w:rPr>
        <w:t xml:space="preserve">mandatory </w:t>
      </w:r>
      <w:r w:rsidRPr="00CB2C31">
        <w:rPr>
          <w:lang w:val="en-US"/>
        </w:rPr>
        <w:t>targets regarding gender diversity.</w:t>
      </w:r>
      <w:r w:rsidRPr="00CB2C31">
        <w:rPr>
          <w:rStyle w:val="FootnoteReference"/>
          <w:lang w:val="en-US"/>
        </w:rPr>
        <w:footnoteReference w:id="106"/>
      </w:r>
    </w:p>
    <w:p w14:paraId="4B7628E5" w14:textId="77777777" w:rsidR="00B10BB8" w:rsidRPr="00CB2C31" w:rsidRDefault="00B10BB8" w:rsidP="00623C41">
      <w:pPr>
        <w:pStyle w:val="DoublePara"/>
        <w:rPr>
          <w:lang w:val="en-US"/>
        </w:rPr>
      </w:pPr>
      <w:r w:rsidRPr="00CB2C31">
        <w:rPr>
          <w:lang w:val="en-US"/>
        </w:rPr>
        <w:t xml:space="preserve">In summation, best corporate </w:t>
      </w:r>
      <w:r w:rsidRPr="00CB2C31">
        <w:rPr>
          <w:lang w:val="en-US" w:eastAsia="en-GB"/>
        </w:rPr>
        <w:t>practice</w:t>
      </w:r>
      <w:r w:rsidRPr="00CB2C31">
        <w:rPr>
          <w:lang w:val="en-US"/>
        </w:rPr>
        <w:t xml:space="preserve"> can be described as follows:</w:t>
      </w:r>
    </w:p>
    <w:p w14:paraId="0F0BA8C5" w14:textId="77777777" w:rsidR="00BB3CFE" w:rsidRPr="00CB2C31" w:rsidRDefault="00BB3CFE" w:rsidP="00BB3CFE">
      <w:pPr>
        <w:pStyle w:val="LegalCombo5"/>
      </w:pPr>
      <w:r w:rsidRPr="00CB2C31">
        <w:t xml:space="preserve">treaty bodies should </w:t>
      </w:r>
      <w:r w:rsidRPr="008024C3">
        <w:t>be as</w:t>
      </w:r>
      <w:r w:rsidRPr="00C326AC">
        <w:rPr>
          <w:b/>
        </w:rPr>
        <w:t xml:space="preserve"> transparent </w:t>
      </w:r>
      <w:r w:rsidRPr="008024C3">
        <w:t>as possible</w:t>
      </w:r>
      <w:r w:rsidRPr="00C326AC">
        <w:rPr>
          <w:b/>
        </w:rPr>
        <w:t xml:space="preserve"> </w:t>
      </w:r>
      <w:r w:rsidRPr="00CB2C31">
        <w:t xml:space="preserve">regarding their approach to </w:t>
      </w:r>
      <w:r w:rsidR="00B53B4B">
        <w:t xml:space="preserve">gender </w:t>
      </w:r>
      <w:r w:rsidRPr="00CB2C31">
        <w:t xml:space="preserve">diversity, and should be required to </w:t>
      </w:r>
      <w:r w:rsidRPr="00C326AC">
        <w:rPr>
          <w:b/>
        </w:rPr>
        <w:t>publish an annual statement</w:t>
      </w:r>
      <w:r w:rsidRPr="00CB2C31">
        <w:t xml:space="preserve"> setting out their </w:t>
      </w:r>
      <w:r w:rsidR="00B53B4B">
        <w:t xml:space="preserve">gender </w:t>
      </w:r>
      <w:r w:rsidRPr="00CB2C31">
        <w:t xml:space="preserve">diversity statistics, </w:t>
      </w:r>
      <w:r w:rsidR="00B53B4B">
        <w:t xml:space="preserve">gender </w:t>
      </w:r>
      <w:r w:rsidRPr="00CB2C31">
        <w:t>diversity aims for the future and actions taken;</w:t>
      </w:r>
    </w:p>
    <w:p w14:paraId="4D563D4C" w14:textId="77777777" w:rsidR="00B10BB8" w:rsidRPr="00CB2C31" w:rsidRDefault="00BD43FF" w:rsidP="00623C41">
      <w:pPr>
        <w:pStyle w:val="LegalCombo5"/>
      </w:pPr>
      <w:r w:rsidRPr="00CB2C31">
        <w:t xml:space="preserve">where </w:t>
      </w:r>
      <w:r w:rsidR="00B10BB8" w:rsidRPr="00CB2C31">
        <w:t xml:space="preserve">not already suggested by regulations and policies, </w:t>
      </w:r>
      <w:r w:rsidR="00AD33BD" w:rsidRPr="00C326AC">
        <w:rPr>
          <w:b/>
        </w:rPr>
        <w:t>non-mandatory</w:t>
      </w:r>
      <w:r w:rsidR="00B10BB8" w:rsidRPr="00C326AC">
        <w:rPr>
          <w:b/>
        </w:rPr>
        <w:t xml:space="preserve"> targets</w:t>
      </w:r>
      <w:r w:rsidR="00B10BB8" w:rsidRPr="00CB2C31">
        <w:t xml:space="preserve"> should be adopted to achieve a</w:t>
      </w:r>
      <w:r w:rsidR="00B53B4B">
        <w:t xml:space="preserve"> </w:t>
      </w:r>
      <w:r w:rsidR="001C52BA">
        <w:t xml:space="preserve">gender balanced </w:t>
      </w:r>
      <w:r w:rsidR="00B10BB8" w:rsidRPr="00CB2C31">
        <w:t>group for the governing body;</w:t>
      </w:r>
    </w:p>
    <w:p w14:paraId="007A5B23" w14:textId="7E1D6594" w:rsidR="00B10BB8" w:rsidRPr="00CB2C31" w:rsidRDefault="001C52BA" w:rsidP="00623C41">
      <w:pPr>
        <w:pStyle w:val="LegalCombo5"/>
      </w:pPr>
      <w:r w:rsidRPr="00C326AC">
        <w:rPr>
          <w:b/>
        </w:rPr>
        <w:t>gender balance</w:t>
      </w:r>
      <w:r w:rsidR="00BD43FF" w:rsidRPr="00C326AC">
        <w:rPr>
          <w:b/>
        </w:rPr>
        <w:t xml:space="preserve"> </w:t>
      </w:r>
      <w:r w:rsidR="00B10BB8" w:rsidRPr="00C326AC">
        <w:rPr>
          <w:b/>
        </w:rPr>
        <w:t>policies should be extensive and mandatory</w:t>
      </w:r>
      <w:r w:rsidR="00B10BB8" w:rsidRPr="00CB2C31">
        <w:t>, covering all possible forms of discrimination (</w:t>
      </w:r>
      <w:r w:rsidR="00B10BB8" w:rsidRPr="00F90097">
        <w:t>e.g.</w:t>
      </w:r>
      <w:r w:rsidR="000561B4">
        <w:t>,</w:t>
      </w:r>
      <w:r w:rsidR="00B10BB8" w:rsidRPr="00CB2C31">
        <w:t xml:space="preserve"> age, gender, sexual orientation</w:t>
      </w:r>
      <w:r w:rsidR="006D620A">
        <w:t>,</w:t>
      </w:r>
      <w:r w:rsidR="00B10BB8" w:rsidRPr="00CB2C31">
        <w:t xml:space="preserve"> etc.);</w:t>
      </w:r>
      <w:r w:rsidR="00BB3CFE">
        <w:t xml:space="preserve"> and</w:t>
      </w:r>
    </w:p>
    <w:p w14:paraId="71070EFA" w14:textId="0F39F6EC" w:rsidR="00B10BB8" w:rsidRDefault="00BD43FF" w:rsidP="00623C41">
      <w:pPr>
        <w:pStyle w:val="LegalCombo5"/>
      </w:pPr>
      <w:r w:rsidRPr="00C326AC">
        <w:rPr>
          <w:b/>
        </w:rPr>
        <w:t>terms</w:t>
      </w:r>
      <w:r w:rsidR="00864A7E">
        <w:rPr>
          <w:b/>
        </w:rPr>
        <w:t xml:space="preserve"> of service on boards</w:t>
      </w:r>
      <w:r w:rsidRPr="00C326AC">
        <w:rPr>
          <w:b/>
        </w:rPr>
        <w:t xml:space="preserve"> </w:t>
      </w:r>
      <w:r w:rsidR="00B10BB8" w:rsidRPr="00C326AC">
        <w:rPr>
          <w:b/>
        </w:rPr>
        <w:t>should not be unlimited</w:t>
      </w:r>
      <w:r w:rsidR="00B10BB8" w:rsidRPr="00CB2C31">
        <w:t>, but instead restricted to a maximum of four years to enable turnover, which should foster</w:t>
      </w:r>
      <w:r w:rsidR="00B53B4B">
        <w:t xml:space="preserve"> gender</w:t>
      </w:r>
      <w:r w:rsidR="00B10BB8" w:rsidRPr="00CB2C31">
        <w:t xml:space="preserve"> diversity.</w:t>
      </w:r>
    </w:p>
    <w:p w14:paraId="36D66EAE" w14:textId="77777777" w:rsidR="00EA330D" w:rsidRPr="00CB2C31" w:rsidRDefault="00B10BB8" w:rsidP="00623C41">
      <w:pPr>
        <w:pStyle w:val="DoublePara"/>
        <w:rPr>
          <w:lang w:val="en-US"/>
        </w:rPr>
      </w:pPr>
      <w:r w:rsidRPr="00CB2C31">
        <w:rPr>
          <w:lang w:val="en-US"/>
        </w:rPr>
        <w:t>The success of Nordic countries in achieving gender</w:t>
      </w:r>
      <w:r w:rsidR="0092398C">
        <w:rPr>
          <w:lang w:val="en-US"/>
        </w:rPr>
        <w:t xml:space="preserve"> balance may in part be due to </w:t>
      </w:r>
      <w:r w:rsidR="001C52BA" w:rsidRPr="00CB2C31">
        <w:rPr>
          <w:lang w:val="en-US"/>
        </w:rPr>
        <w:t xml:space="preserve">the </w:t>
      </w:r>
      <w:r w:rsidR="001C52BA" w:rsidRPr="003E2332">
        <w:rPr>
          <w:b/>
          <w:lang w:val="en-US"/>
        </w:rPr>
        <w:t>policies and educational programs</w:t>
      </w:r>
      <w:r w:rsidR="001C52BA" w:rsidRPr="00CB2C31">
        <w:rPr>
          <w:lang w:val="en-US"/>
        </w:rPr>
        <w:t xml:space="preserve"> that are in place to facilitate participation by women in the workplace</w:t>
      </w:r>
      <w:r w:rsidR="00F916AB">
        <w:rPr>
          <w:lang w:val="en-US"/>
        </w:rPr>
        <w:t xml:space="preserve">, </w:t>
      </w:r>
      <w:r w:rsidR="0092398C">
        <w:rPr>
          <w:lang w:val="en-US"/>
        </w:rPr>
        <w:t>which work in concert with legislative</w:t>
      </w:r>
      <w:r w:rsidR="00BB3CFE">
        <w:rPr>
          <w:lang w:val="en-US"/>
        </w:rPr>
        <w:t xml:space="preserve"> gender quotas</w:t>
      </w:r>
      <w:r w:rsidR="00F42D6A" w:rsidRPr="00CB2C31">
        <w:rPr>
          <w:lang w:val="en-US"/>
        </w:rPr>
        <w:t xml:space="preserve">.  </w:t>
      </w:r>
      <w:r w:rsidRPr="00CB2C31">
        <w:rPr>
          <w:lang w:val="en-US"/>
        </w:rPr>
        <w:t xml:space="preserve">This is evidenced by the fact that </w:t>
      </w:r>
      <w:r w:rsidRPr="00CB2C31">
        <w:rPr>
          <w:lang w:val="en-US" w:eastAsia="en-GB"/>
        </w:rPr>
        <w:t>the</w:t>
      </w:r>
      <w:r w:rsidRPr="00CB2C31">
        <w:rPr>
          <w:lang w:val="en-US"/>
        </w:rPr>
        <w:t xml:space="preserve"> best in class, Iceland, has quotas that are devoid of any sanctions</w:t>
      </w:r>
      <w:r w:rsidR="00F42D6A" w:rsidRPr="00CB2C31">
        <w:rPr>
          <w:lang w:val="en-US"/>
        </w:rPr>
        <w:t xml:space="preserve">.  </w:t>
      </w:r>
      <w:r w:rsidRPr="00CB2C31">
        <w:rPr>
          <w:lang w:val="en-US"/>
        </w:rPr>
        <w:t xml:space="preserve">Nordic countries have </w:t>
      </w:r>
      <w:r w:rsidR="00F916AB">
        <w:rPr>
          <w:lang w:val="en-US"/>
        </w:rPr>
        <w:t xml:space="preserve">made a series of </w:t>
      </w:r>
      <w:r w:rsidR="00F916AB" w:rsidRPr="003E2332">
        <w:rPr>
          <w:b/>
          <w:lang w:val="en-US"/>
        </w:rPr>
        <w:t>structural changes</w:t>
      </w:r>
      <w:r w:rsidR="00F916AB">
        <w:rPr>
          <w:lang w:val="en-US"/>
        </w:rPr>
        <w:t>, including but not limited to the implementation of legislation,</w:t>
      </w:r>
      <w:r w:rsidRPr="00CB2C31">
        <w:rPr>
          <w:lang w:val="en-US"/>
        </w:rPr>
        <w:t xml:space="preserve"> which facilitate women in combining careers and family life, indicating the strong supportive culture for women.</w:t>
      </w:r>
      <w:r w:rsidRPr="00CB2C31">
        <w:rPr>
          <w:rStyle w:val="FootnoteReference"/>
          <w:lang w:val="en-US"/>
        </w:rPr>
        <w:footnoteReference w:id="107"/>
      </w:r>
      <w:r w:rsidRPr="00CB2C31">
        <w:rPr>
          <w:lang w:val="en-US"/>
        </w:rPr>
        <w:t xml:space="preserve"> </w:t>
      </w:r>
      <w:r w:rsidR="0009628A">
        <w:rPr>
          <w:lang w:val="en-US"/>
        </w:rPr>
        <w:t xml:space="preserve"> </w:t>
      </w:r>
      <w:r w:rsidRPr="00CB2C31">
        <w:rPr>
          <w:lang w:val="en-US"/>
        </w:rPr>
        <w:t xml:space="preserve">The policies of Nordic countries demonstrate that there is no right or wrong position regarding </w:t>
      </w:r>
      <w:r w:rsidR="00BD43FF" w:rsidRPr="00CB2C31">
        <w:rPr>
          <w:lang w:val="en-US"/>
        </w:rPr>
        <w:t xml:space="preserve">targets or </w:t>
      </w:r>
      <w:r w:rsidRPr="00CB2C31">
        <w:rPr>
          <w:lang w:val="en-US"/>
        </w:rPr>
        <w:t>gender quotas, and that the approach taken needs to be looked at alongside societal norms within each country</w:t>
      </w:r>
      <w:r w:rsidR="00F42D6A" w:rsidRPr="00CB2C31">
        <w:rPr>
          <w:lang w:val="en-US"/>
        </w:rPr>
        <w:t xml:space="preserve">.  </w:t>
      </w:r>
      <w:r w:rsidRPr="00CB2C31">
        <w:rPr>
          <w:lang w:val="en-US"/>
        </w:rPr>
        <w:t xml:space="preserve">In other countries that have a high degree of success in increasing representation of men and women to near equal levels without regulation, simple </w:t>
      </w:r>
      <w:r w:rsidR="00593F1F">
        <w:rPr>
          <w:lang w:val="en-US"/>
        </w:rPr>
        <w:t>‘</w:t>
      </w:r>
      <w:r w:rsidRPr="00CB2C31">
        <w:rPr>
          <w:lang w:val="en-US"/>
        </w:rPr>
        <w:t>guidance</w:t>
      </w:r>
      <w:r w:rsidR="00593F1F">
        <w:rPr>
          <w:lang w:val="en-US"/>
        </w:rPr>
        <w:t>’</w:t>
      </w:r>
      <w:r w:rsidRPr="00CB2C31">
        <w:rPr>
          <w:lang w:val="en-US"/>
        </w:rPr>
        <w:t xml:space="preserve"> for </w:t>
      </w:r>
      <w:r w:rsidR="00B53B4B">
        <w:rPr>
          <w:lang w:val="en-US"/>
        </w:rPr>
        <w:t xml:space="preserve">gender </w:t>
      </w:r>
      <w:r w:rsidRPr="00CB2C31">
        <w:rPr>
          <w:lang w:val="en-US"/>
        </w:rPr>
        <w:t xml:space="preserve">diversity can be enough instead of </w:t>
      </w:r>
      <w:r w:rsidR="00BD43FF" w:rsidRPr="00CB2C31">
        <w:rPr>
          <w:lang w:val="en-US"/>
        </w:rPr>
        <w:t xml:space="preserve">targets or </w:t>
      </w:r>
      <w:r w:rsidRPr="00CB2C31">
        <w:rPr>
          <w:lang w:val="en-US"/>
        </w:rPr>
        <w:t>quotas, but in other countries, a quota may be required.</w:t>
      </w:r>
      <w:bookmarkEnd w:id="156"/>
      <w:bookmarkEnd w:id="157"/>
      <w:bookmarkEnd w:id="158"/>
      <w:bookmarkEnd w:id="159"/>
      <w:bookmarkEnd w:id="160"/>
      <w:bookmarkEnd w:id="161"/>
      <w:bookmarkEnd w:id="162"/>
    </w:p>
    <w:p w14:paraId="5B60D0C4" w14:textId="77777777" w:rsidR="00B10BB8" w:rsidRPr="002E5273" w:rsidRDefault="00707BD2" w:rsidP="00623C41">
      <w:pPr>
        <w:pStyle w:val="LegalCombo3"/>
        <w:rPr>
          <w:b w:val="0"/>
        </w:rPr>
      </w:pPr>
      <w:bookmarkStart w:id="186" w:name="_Toc22904991"/>
      <w:bookmarkStart w:id="187" w:name="_Toc24114390"/>
      <w:bookmarkStart w:id="188" w:name="_Toc513199223"/>
      <w:r w:rsidRPr="002E5273">
        <w:t>The United Kingdom</w:t>
      </w:r>
      <w:bookmarkEnd w:id="186"/>
      <w:bookmarkEnd w:id="187"/>
    </w:p>
    <w:p w14:paraId="2C35DAF4" w14:textId="77777777" w:rsidR="00895FBB" w:rsidRPr="00CB2C31" w:rsidRDefault="00484E42" w:rsidP="00623C41">
      <w:pPr>
        <w:pStyle w:val="LegalCombo4"/>
        <w:keepNext/>
      </w:pPr>
      <w:bookmarkStart w:id="189" w:name="_Toc15027239"/>
      <w:bookmarkStart w:id="190" w:name="_Toc15027630"/>
      <w:bookmarkStart w:id="191" w:name="_Toc15027908"/>
      <w:r w:rsidRPr="00CB2C31">
        <w:t>Introduction</w:t>
      </w:r>
      <w:bookmarkEnd w:id="189"/>
      <w:bookmarkEnd w:id="190"/>
      <w:bookmarkEnd w:id="191"/>
    </w:p>
    <w:p w14:paraId="291D7DC3" w14:textId="77777777" w:rsidR="00895FBB" w:rsidRPr="00CB2C31" w:rsidRDefault="00895FBB" w:rsidP="00623C41">
      <w:pPr>
        <w:pStyle w:val="DoublePara"/>
        <w:rPr>
          <w:lang w:val="en-US"/>
        </w:rPr>
      </w:pPr>
      <w:r w:rsidRPr="00CB2C31">
        <w:rPr>
          <w:lang w:val="en-US"/>
        </w:rPr>
        <w:t xml:space="preserve">The UK </w:t>
      </w:r>
      <w:r w:rsidR="002009F2">
        <w:rPr>
          <w:lang w:val="en-US"/>
        </w:rPr>
        <w:t>has opted</w:t>
      </w:r>
      <w:r w:rsidRPr="00CB2C31">
        <w:rPr>
          <w:lang w:val="en-US"/>
        </w:rPr>
        <w:t xml:space="preserve"> for targets</w:t>
      </w:r>
      <w:r w:rsidR="000466C1">
        <w:rPr>
          <w:lang w:val="en-US"/>
        </w:rPr>
        <w:t xml:space="preserve"> and other initiatives to encourage gender balance on boards</w:t>
      </w:r>
      <w:r w:rsidR="00C44CE1">
        <w:rPr>
          <w:lang w:val="en-US"/>
        </w:rPr>
        <w:t>, rather than gender quotas</w:t>
      </w:r>
      <w:r w:rsidRPr="00CB2C31">
        <w:rPr>
          <w:lang w:val="en-US"/>
        </w:rPr>
        <w:t>.</w:t>
      </w:r>
      <w:bookmarkStart w:id="192" w:name="_Ref16193971"/>
      <w:r w:rsidRPr="00CB2C31">
        <w:rPr>
          <w:vertAlign w:val="superscript"/>
          <w:lang w:val="en-US"/>
        </w:rPr>
        <w:footnoteReference w:id="108"/>
      </w:r>
      <w:bookmarkEnd w:id="192"/>
      <w:r w:rsidRPr="00CB2C31">
        <w:rPr>
          <w:lang w:val="en-US"/>
        </w:rPr>
        <w:t xml:space="preserve"> </w:t>
      </w:r>
    </w:p>
    <w:p w14:paraId="6B6E6160" w14:textId="77777777" w:rsidR="00895FBB" w:rsidRPr="00CB2C31" w:rsidRDefault="009B6438" w:rsidP="00623C41">
      <w:pPr>
        <w:pStyle w:val="LegalCombo4"/>
      </w:pPr>
      <w:r w:rsidRPr="00CB2C31">
        <w:t>Corporate Governance</w:t>
      </w:r>
    </w:p>
    <w:p w14:paraId="049AA148" w14:textId="77777777" w:rsidR="00BD43FF" w:rsidRPr="00CB2C31" w:rsidRDefault="00BD43FF" w:rsidP="00623C41">
      <w:pPr>
        <w:pStyle w:val="DoublePara"/>
        <w:rPr>
          <w:lang w:val="en-US"/>
        </w:rPr>
      </w:pPr>
      <w:r w:rsidRPr="00CB2C31">
        <w:rPr>
          <w:lang w:val="en-US"/>
        </w:rPr>
        <w:t xml:space="preserve">Corporate governance rules in the UK are found in the Companies Act 2006, the UK Corporate Governance </w:t>
      </w:r>
      <w:r w:rsidRPr="00CB2C31">
        <w:rPr>
          <w:lang w:val="en-US" w:eastAsia="en-GB"/>
        </w:rPr>
        <w:t>Code</w:t>
      </w:r>
      <w:r w:rsidRPr="00CB2C31">
        <w:rPr>
          <w:lang w:val="en-US"/>
        </w:rPr>
        <w:t>, and the non-mandatory Guidance on Board Effectiveness.</w:t>
      </w:r>
      <w:bookmarkStart w:id="193" w:name="_Ref16193939"/>
      <w:r w:rsidRPr="00CB2C31">
        <w:rPr>
          <w:vertAlign w:val="superscript"/>
          <w:lang w:val="en-US"/>
        </w:rPr>
        <w:footnoteReference w:id="109"/>
      </w:r>
      <w:bookmarkEnd w:id="193"/>
      <w:r w:rsidR="00593F1F">
        <w:rPr>
          <w:lang w:val="en-US"/>
        </w:rPr>
        <w:t xml:space="preserve">  </w:t>
      </w:r>
      <w:r w:rsidRPr="00CB2C31">
        <w:rPr>
          <w:lang w:val="en-US"/>
        </w:rPr>
        <w:t xml:space="preserve">The UK Corporate Governance Code (formerly known as the Combined Code) sets out standards of good practice for listed companies on, among other things, board composition, but companies are required to follow it only on a </w:t>
      </w:r>
      <w:r w:rsidR="00593F1F">
        <w:rPr>
          <w:lang w:val="en-US"/>
        </w:rPr>
        <w:t>‘</w:t>
      </w:r>
      <w:r w:rsidRPr="00CB2C31">
        <w:rPr>
          <w:lang w:val="en-US"/>
        </w:rPr>
        <w:t>comply or explain</w:t>
      </w:r>
      <w:r w:rsidR="00593F1F">
        <w:rPr>
          <w:lang w:val="en-US"/>
        </w:rPr>
        <w:t>’</w:t>
      </w:r>
      <w:r w:rsidRPr="00CB2C31">
        <w:rPr>
          <w:lang w:val="en-US"/>
        </w:rPr>
        <w:t xml:space="preserve"> basis rather than on a strict compliance basis</w:t>
      </w:r>
      <w:r w:rsidR="00F42D6A" w:rsidRPr="00CB2C31">
        <w:rPr>
          <w:lang w:val="en-US"/>
        </w:rPr>
        <w:t xml:space="preserve">.  </w:t>
      </w:r>
      <w:r w:rsidRPr="00CB2C31">
        <w:rPr>
          <w:lang w:val="en-US"/>
        </w:rPr>
        <w:t xml:space="preserve">Companies with premium listings are required to explain in their annual reports how they have applied the UK Corporate Governance Code. </w:t>
      </w:r>
    </w:p>
    <w:p w14:paraId="3B29EEF2" w14:textId="77777777" w:rsidR="00367437" w:rsidRPr="00CB2C31" w:rsidRDefault="00895FBB" w:rsidP="00623C41">
      <w:pPr>
        <w:pStyle w:val="DoublePara"/>
        <w:rPr>
          <w:lang w:val="en-US"/>
        </w:rPr>
      </w:pPr>
      <w:r w:rsidRPr="00CB2C31">
        <w:rPr>
          <w:lang w:val="en-US"/>
        </w:rPr>
        <w:t>There are no restrictions in the legislation on the number of directors a UK company may have.</w:t>
      </w:r>
      <w:r w:rsidRPr="00CB2C31">
        <w:rPr>
          <w:vertAlign w:val="superscript"/>
          <w:lang w:val="en-US"/>
        </w:rPr>
        <w:footnoteReference w:id="110"/>
      </w:r>
      <w:r w:rsidR="00593F1F">
        <w:rPr>
          <w:lang w:val="en-US"/>
        </w:rPr>
        <w:t xml:space="preserve">  </w:t>
      </w:r>
      <w:r w:rsidR="00367437" w:rsidRPr="00CB2C31">
        <w:rPr>
          <w:lang w:val="en-US"/>
        </w:rPr>
        <w:t xml:space="preserve">For listed companies, the UK Corporate Governance Code recommends that a nomination committee, made up predominantly of independent non-executive directors, should lead the </w:t>
      </w:r>
      <w:r w:rsidR="00367437" w:rsidRPr="00CB2C31">
        <w:rPr>
          <w:lang w:val="en-US" w:eastAsia="en-GB"/>
        </w:rPr>
        <w:t>process</w:t>
      </w:r>
      <w:r w:rsidR="00367437" w:rsidRPr="00CB2C31">
        <w:rPr>
          <w:lang w:val="en-US"/>
        </w:rPr>
        <w:t xml:space="preserve"> for board appointments.</w:t>
      </w:r>
      <w:r w:rsidR="00367437" w:rsidRPr="00CB2C31">
        <w:rPr>
          <w:vertAlign w:val="superscript"/>
          <w:lang w:val="en-US"/>
        </w:rPr>
        <w:footnoteReference w:id="111"/>
      </w:r>
      <w:r w:rsidR="00593F1F">
        <w:rPr>
          <w:lang w:val="en-US"/>
        </w:rPr>
        <w:t xml:space="preserve">  </w:t>
      </w:r>
      <w:r w:rsidR="00367437" w:rsidRPr="00CB2C31">
        <w:rPr>
          <w:lang w:val="en-US"/>
        </w:rPr>
        <w:t xml:space="preserve">The Code recommends that this process be transparent. </w:t>
      </w:r>
    </w:p>
    <w:p w14:paraId="52C07EB3" w14:textId="77777777" w:rsidR="00895FBB" w:rsidRPr="00C90DB6" w:rsidRDefault="00367437" w:rsidP="00C90DB6">
      <w:pPr>
        <w:pStyle w:val="DoublePara"/>
        <w:rPr>
          <w:lang w:val="en-US"/>
        </w:rPr>
      </w:pPr>
      <w:r w:rsidRPr="00CB2C31">
        <w:rPr>
          <w:lang w:val="en-US"/>
        </w:rPr>
        <w:t>There are no restrictions under the UK Companies Act 2006 on the term of appointment of directors.</w:t>
      </w:r>
      <w:r w:rsidRPr="00CB2C31">
        <w:rPr>
          <w:vertAlign w:val="superscript"/>
          <w:lang w:val="en-US"/>
        </w:rPr>
        <w:footnoteReference w:id="112"/>
      </w:r>
      <w:r w:rsidR="00593F1F">
        <w:rPr>
          <w:lang w:val="en-US"/>
        </w:rPr>
        <w:t xml:space="preserve">  </w:t>
      </w:r>
      <w:r w:rsidRPr="00CB2C31">
        <w:rPr>
          <w:lang w:val="en-US"/>
        </w:rPr>
        <w:t>However, for listed companies, the UK Corporate Governance Code states that all directors should stand for re-election by shareholders annually.</w:t>
      </w:r>
      <w:r w:rsidRPr="00CB2C31">
        <w:rPr>
          <w:vertAlign w:val="superscript"/>
          <w:lang w:val="en-US"/>
        </w:rPr>
        <w:footnoteReference w:id="113"/>
      </w:r>
      <w:r w:rsidR="00593F1F">
        <w:rPr>
          <w:lang w:val="en-US"/>
        </w:rPr>
        <w:t xml:space="preserve">  </w:t>
      </w:r>
      <w:r w:rsidRPr="00CB2C31">
        <w:rPr>
          <w:lang w:val="en-US"/>
        </w:rPr>
        <w:t xml:space="preserve">Finally, </w:t>
      </w:r>
      <w:r w:rsidRPr="00CB2C31">
        <w:rPr>
          <w:lang w:val="en-US" w:eastAsia="en-GB"/>
        </w:rPr>
        <w:t>removal</w:t>
      </w:r>
      <w:r w:rsidRPr="00CB2C31">
        <w:rPr>
          <w:lang w:val="en-US"/>
        </w:rPr>
        <w:t xml:space="preserve"> of a director can be carried out by ordinary resolution at a general meeting.</w:t>
      </w:r>
      <w:r w:rsidRPr="00CB2C31">
        <w:rPr>
          <w:vertAlign w:val="superscript"/>
          <w:lang w:val="en-US"/>
        </w:rPr>
        <w:footnoteReference w:id="114"/>
      </w:r>
      <w:r w:rsidR="00593F1F">
        <w:rPr>
          <w:lang w:val="en-US"/>
        </w:rPr>
        <w:t xml:space="preserve">  </w:t>
      </w:r>
      <w:r w:rsidR="00895FBB" w:rsidRPr="00CB2C31">
        <w:rPr>
          <w:lang w:val="en-US"/>
        </w:rPr>
        <w:t>There are also no legal requirements on the nationality of members of the board or on gender diversity on a board.</w:t>
      </w:r>
      <w:r w:rsidR="00895FBB" w:rsidRPr="00CB2C31">
        <w:rPr>
          <w:vertAlign w:val="superscript"/>
          <w:lang w:val="en-US"/>
        </w:rPr>
        <w:footnoteReference w:id="115"/>
      </w:r>
      <w:r w:rsidR="00C90DB6">
        <w:rPr>
          <w:lang w:val="en-US"/>
        </w:rPr>
        <w:t xml:space="preserve"> </w:t>
      </w:r>
    </w:p>
    <w:p w14:paraId="3DC96920" w14:textId="77777777" w:rsidR="00895FBB" w:rsidRPr="00CB2C31" w:rsidRDefault="00895FBB" w:rsidP="00623C41">
      <w:pPr>
        <w:pStyle w:val="DoublePara"/>
        <w:rPr>
          <w:lang w:val="en-US"/>
        </w:rPr>
      </w:pPr>
      <w:r w:rsidRPr="00CB2C31">
        <w:rPr>
          <w:lang w:val="en-US"/>
        </w:rPr>
        <w:t>The UK has thus far adopted a voluntary approach towards gender equality on company boards, in contrast to other European countries</w:t>
      </w:r>
      <w:r w:rsidR="00F42D6A" w:rsidRPr="00CB2C31">
        <w:rPr>
          <w:lang w:val="en-US"/>
        </w:rPr>
        <w:t xml:space="preserve">.  </w:t>
      </w:r>
      <w:r w:rsidRPr="00CB2C31">
        <w:rPr>
          <w:lang w:val="en-US"/>
        </w:rPr>
        <w:t xml:space="preserve">Although this approach is constantly being monitored </w:t>
      </w:r>
      <w:r w:rsidRPr="00CB2C31">
        <w:rPr>
          <w:lang w:val="en-US" w:eastAsia="en-GB"/>
        </w:rPr>
        <w:t>through</w:t>
      </w:r>
      <w:r w:rsidRPr="00CB2C31">
        <w:rPr>
          <w:lang w:val="en-US"/>
        </w:rPr>
        <w:t xml:space="preserve"> various government-led reviews,</w:t>
      </w:r>
      <w:bookmarkStart w:id="194" w:name="_Ref16194203"/>
      <w:r w:rsidRPr="00CB2C31">
        <w:rPr>
          <w:vertAlign w:val="superscript"/>
          <w:lang w:val="en-US"/>
        </w:rPr>
        <w:footnoteReference w:id="116"/>
      </w:r>
      <w:bookmarkEnd w:id="194"/>
      <w:r w:rsidRPr="00CB2C31">
        <w:rPr>
          <w:lang w:val="en-US"/>
        </w:rPr>
        <w:t xml:space="preserve"> statistics indicate that it has not been as successful as initially anticipated,</w:t>
      </w:r>
      <w:r w:rsidR="00BE7683" w:rsidRPr="00CB2C31">
        <w:rPr>
          <w:vertAlign w:val="superscript"/>
          <w:lang w:val="en-US"/>
        </w:rPr>
        <w:footnoteReference w:id="117"/>
      </w:r>
      <w:r w:rsidR="00BE7683" w:rsidRPr="00CB2C31">
        <w:rPr>
          <w:lang w:val="en-US"/>
        </w:rPr>
        <w:t xml:space="preserve"> </w:t>
      </w:r>
      <w:r w:rsidRPr="00CB2C31">
        <w:rPr>
          <w:lang w:val="en-US"/>
        </w:rPr>
        <w:t>and several changes to the UK Corporate Governance Code relating to diversity and gender have been proposed.</w:t>
      </w:r>
    </w:p>
    <w:p w14:paraId="72D2D121" w14:textId="7AC198A5" w:rsidR="00367437" w:rsidRPr="00CB2C31" w:rsidRDefault="00367437" w:rsidP="00623C41">
      <w:pPr>
        <w:pStyle w:val="DoublePara"/>
        <w:rPr>
          <w:i/>
          <w:lang w:val="en-US"/>
        </w:rPr>
      </w:pPr>
      <w:r w:rsidRPr="00CB2C31">
        <w:rPr>
          <w:lang w:val="en-US"/>
        </w:rPr>
        <w:t xml:space="preserve">A report prepared by Lord </w:t>
      </w:r>
      <w:r w:rsidRPr="00CB2C31">
        <w:rPr>
          <w:lang w:val="en-US" w:eastAsia="en-GB"/>
        </w:rPr>
        <w:t>Davies</w:t>
      </w:r>
      <w:r w:rsidRPr="00CB2C31">
        <w:rPr>
          <w:lang w:val="en-US"/>
        </w:rPr>
        <w:t xml:space="preserve"> of Abersoch in 2011, with the support of a steering board made up of experts drawn from the business sector and academia, titled </w:t>
      </w:r>
      <w:r w:rsidRPr="00101870">
        <w:rPr>
          <w:i/>
          <w:lang w:val="en-US"/>
        </w:rPr>
        <w:t>Women on Boards</w:t>
      </w:r>
      <w:r w:rsidR="000561B4">
        <w:rPr>
          <w:lang w:val="en-US"/>
        </w:rPr>
        <w:t>,</w:t>
      </w:r>
      <w:r w:rsidRPr="00CB2C31">
        <w:rPr>
          <w:lang w:val="en-US"/>
        </w:rPr>
        <w:t xml:space="preserve"> </w:t>
      </w:r>
      <w:r w:rsidR="001F419C" w:rsidRPr="00CB2C31">
        <w:rPr>
          <w:lang w:val="en-US"/>
        </w:rPr>
        <w:t>endeavo</w:t>
      </w:r>
      <w:r w:rsidR="001F419C">
        <w:rPr>
          <w:lang w:val="en-US"/>
        </w:rPr>
        <w:t>r</w:t>
      </w:r>
      <w:r w:rsidR="001F419C" w:rsidRPr="00CB2C31">
        <w:rPr>
          <w:lang w:val="en-US"/>
        </w:rPr>
        <w:t>ed</w:t>
      </w:r>
      <w:r w:rsidRPr="00CB2C31">
        <w:rPr>
          <w:lang w:val="en-US"/>
        </w:rPr>
        <w:t xml:space="preserve"> to address the issue by setting out the following recommendations for increasing gender diversity on boards of publicly listed companies:</w:t>
      </w:r>
      <w:r w:rsidRPr="00CB2C31">
        <w:rPr>
          <w:vertAlign w:val="superscript"/>
          <w:lang w:val="en-US"/>
        </w:rPr>
        <w:footnoteReference w:id="118"/>
      </w:r>
    </w:p>
    <w:p w14:paraId="1CADDD65" w14:textId="77777777" w:rsidR="00367437" w:rsidRPr="00CB2C31" w:rsidRDefault="00367437" w:rsidP="00623C41">
      <w:pPr>
        <w:pStyle w:val="LegalCombo5"/>
      </w:pPr>
      <w:r w:rsidRPr="00CB2C31">
        <w:t>all chairpersons of FTSE 350 companies should set out the percentage of women they aim to have on their boards in the short term</w:t>
      </w:r>
      <w:r w:rsidR="00F42D6A" w:rsidRPr="00CB2C31">
        <w:t xml:space="preserve">.  </w:t>
      </w:r>
      <w:r w:rsidRPr="00CB2C31">
        <w:t>FTSE 100 boards should initially aim for a minimum of 25% female representation</w:t>
      </w:r>
      <w:r w:rsidR="00F42D6A" w:rsidRPr="00CB2C31">
        <w:t xml:space="preserve">.  </w:t>
      </w:r>
      <w:r w:rsidRPr="00CB2C31">
        <w:t xml:space="preserve">Chairpersons should announce their aspirational goals within the next six months and review such goals; </w:t>
      </w:r>
    </w:p>
    <w:p w14:paraId="55132FA7" w14:textId="7009FDC1" w:rsidR="00367437" w:rsidRPr="00CB2C31" w:rsidRDefault="00367437" w:rsidP="00623C41">
      <w:pPr>
        <w:pStyle w:val="LegalCombo5"/>
      </w:pPr>
      <w:r w:rsidRPr="00CB2C31">
        <w:t xml:space="preserve">quoted companies should be required to disclose </w:t>
      </w:r>
      <w:r w:rsidR="000561B4">
        <w:t>annually</w:t>
      </w:r>
      <w:r w:rsidRPr="00CB2C31">
        <w:t xml:space="preserve"> the proportion of women on the board, women in Senior Executive positions and female employees in the whole organization;</w:t>
      </w:r>
    </w:p>
    <w:p w14:paraId="5C17E9D7" w14:textId="6E11CB8E" w:rsidR="00367437" w:rsidRPr="00CB2C31" w:rsidRDefault="00367437" w:rsidP="00623C41">
      <w:pPr>
        <w:pStyle w:val="LegalCombo5"/>
      </w:pPr>
      <w:r w:rsidRPr="00CB2C31">
        <w:t xml:space="preserve">the Financial Reporting Council (the </w:t>
      </w:r>
      <w:r w:rsidR="00203E75" w:rsidRPr="00203E75">
        <w:rPr>
          <w:i/>
        </w:rPr>
        <w:t>“</w:t>
      </w:r>
      <w:r w:rsidRPr="00CB2C31">
        <w:rPr>
          <w:b/>
        </w:rPr>
        <w:t>FRC</w:t>
      </w:r>
      <w:r w:rsidR="00203E75" w:rsidRPr="00203E75">
        <w:rPr>
          <w:i/>
        </w:rPr>
        <w:t>”</w:t>
      </w:r>
      <w:r w:rsidRPr="00CB2C31">
        <w:t xml:space="preserve">) should amend the UK Corporate Governance Code to require listed companies to establish a policy concerning boardroom diversity, including measurable objectives for implementing the policy, and disclose annually a summary of the policy and the progress made in achieving </w:t>
      </w:r>
      <w:r w:rsidR="00E97FF3" w:rsidRPr="00CB2C31">
        <w:t>these</w:t>
      </w:r>
      <w:r w:rsidRPr="00CB2C31">
        <w:t xml:space="preserve"> objectives;</w:t>
      </w:r>
    </w:p>
    <w:p w14:paraId="1C72C495" w14:textId="449367F0" w:rsidR="00367437" w:rsidRPr="00CB2C31" w:rsidRDefault="00367437" w:rsidP="00623C41">
      <w:pPr>
        <w:pStyle w:val="LegalCombo5"/>
      </w:pPr>
      <w:r w:rsidRPr="00CB2C31">
        <w:t>companies should report on the recommendations above in their next Corporate Governance Statement</w:t>
      </w:r>
      <w:r w:rsidR="000561B4">
        <w:t>,</w:t>
      </w:r>
      <w:r w:rsidRPr="00CB2C31">
        <w:t xml:space="preserve"> whether or not the underlying regulatory changes are in place</w:t>
      </w:r>
      <w:r w:rsidR="00F42D6A" w:rsidRPr="00CB2C31">
        <w:t xml:space="preserve">.  </w:t>
      </w:r>
      <w:r w:rsidRPr="00CB2C31">
        <w:t>In addition, chairpersons will be encouraged to sign a charter supporting the recommendations;</w:t>
      </w:r>
    </w:p>
    <w:p w14:paraId="79EC5C0C" w14:textId="4A58D338" w:rsidR="00367437" w:rsidRPr="00CB2C31" w:rsidRDefault="00367437" w:rsidP="00623C41">
      <w:pPr>
        <w:pStyle w:val="LegalCombo5"/>
      </w:pPr>
      <w:r w:rsidRPr="00CB2C31">
        <w:t>chairpersons should disclose meaningful information about the company</w:t>
      </w:r>
      <w:r w:rsidR="00593F1F">
        <w:t>’</w:t>
      </w:r>
      <w:r w:rsidRPr="00CB2C31">
        <w:t>s appointment process and how it addresses diversity in the company</w:t>
      </w:r>
      <w:r w:rsidR="00593F1F">
        <w:t>’</w:t>
      </w:r>
      <w:r w:rsidRPr="00CB2C31">
        <w:t>s annual report, including a description of the search and nomination process;</w:t>
      </w:r>
    </w:p>
    <w:p w14:paraId="7B9422FB" w14:textId="77777777" w:rsidR="00367437" w:rsidRPr="00CB2C31" w:rsidRDefault="00367437" w:rsidP="00623C41">
      <w:pPr>
        <w:pStyle w:val="LegalCombo5"/>
      </w:pPr>
      <w:r w:rsidRPr="00CB2C31">
        <w:t>investors should pay close attention to the recommendations above when considering company reporting and appointments to the board;</w:t>
      </w:r>
    </w:p>
    <w:p w14:paraId="7D0EE34D" w14:textId="77777777" w:rsidR="00367437" w:rsidRPr="00CB2C31" w:rsidRDefault="00367437" w:rsidP="00623C41">
      <w:pPr>
        <w:pStyle w:val="LegalCombo5"/>
      </w:pPr>
      <w:r w:rsidRPr="00CB2C31">
        <w:t>companies should be encouraged to periodically advertise non-executive board positions to encourage greater diversity in applications;</w:t>
      </w:r>
    </w:p>
    <w:p w14:paraId="3F33055F" w14:textId="77777777" w:rsidR="00367437" w:rsidRPr="00CB2C31" w:rsidRDefault="00367437" w:rsidP="00623C41">
      <w:pPr>
        <w:pStyle w:val="LegalCombo5"/>
      </w:pPr>
      <w:r w:rsidRPr="00CB2C31">
        <w:t xml:space="preserve">executive search firms should draw up a Voluntary Code of Conduct addressing gender diversity and best practices, which covers the relevant search criteria and processes relating to FTSE 350 board level appointments; </w:t>
      </w:r>
    </w:p>
    <w:p w14:paraId="2361E5DB" w14:textId="77777777" w:rsidR="00367437" w:rsidRPr="00CB2C31" w:rsidRDefault="00367437" w:rsidP="00623C41">
      <w:pPr>
        <w:pStyle w:val="LegalCombo5"/>
      </w:pPr>
      <w:r w:rsidRPr="00CB2C31">
        <w:t>recognition and development of two different populations of women who are well-qualified to be appointed to UK boards should be considered:</w:t>
      </w:r>
    </w:p>
    <w:p w14:paraId="7DBBBBF3" w14:textId="77777777" w:rsidR="00367437" w:rsidRPr="00CB2C31" w:rsidRDefault="00367437" w:rsidP="00623C41">
      <w:pPr>
        <w:pStyle w:val="BulletParaAlt"/>
        <w:jc w:val="both"/>
      </w:pPr>
      <w:r w:rsidRPr="00CB2C31">
        <w:t xml:space="preserve">executives from within the corporate sector, for whom there are many different training and mentoring opportunities; and </w:t>
      </w:r>
    </w:p>
    <w:p w14:paraId="26265EBA" w14:textId="77777777" w:rsidR="00367437" w:rsidRPr="00CB2C31" w:rsidRDefault="00367437" w:rsidP="00623C41">
      <w:pPr>
        <w:pStyle w:val="BulletParaAlt"/>
        <w:jc w:val="both"/>
        <w:rPr>
          <w:color w:val="000000"/>
        </w:rPr>
      </w:pPr>
      <w:r w:rsidRPr="00CB2C31">
        <w:t>women from outside the corporate mainstream, including entrepreneurs, academics, civil servants and senior women with professional service backgrounds, for whom there are many fewer opportunities</w:t>
      </w:r>
      <w:r w:rsidRPr="00CB2C31">
        <w:rPr>
          <w:color w:val="000000"/>
        </w:rPr>
        <w:t xml:space="preserve"> to take up corporate board positions;</w:t>
      </w:r>
    </w:p>
    <w:p w14:paraId="290CCC61" w14:textId="77777777" w:rsidR="00367437" w:rsidRPr="00CB2C31" w:rsidRDefault="00367437" w:rsidP="00623C41">
      <w:pPr>
        <w:pStyle w:val="LegalCombo5"/>
      </w:pPr>
      <w:r w:rsidRPr="00CB2C31">
        <w:t>a combination of entrepreneurs, existing providers and individuals needs to come together to consolidate and improve the provision of training and development for potential board members; and</w:t>
      </w:r>
    </w:p>
    <w:p w14:paraId="6B0971AA" w14:textId="77777777" w:rsidR="00367437" w:rsidRPr="00CB2C31" w:rsidRDefault="00367437" w:rsidP="00623C41">
      <w:pPr>
        <w:pStyle w:val="LegalCombo5"/>
      </w:pPr>
      <w:r w:rsidRPr="00CB2C31">
        <w:t xml:space="preserve">the steering board that drafted the </w:t>
      </w:r>
      <w:r w:rsidR="00593F1F">
        <w:t>‘</w:t>
      </w:r>
      <w:r w:rsidRPr="00CB2C31">
        <w:t>Women on Boards</w:t>
      </w:r>
      <w:r w:rsidR="00593F1F">
        <w:t>’</w:t>
      </w:r>
      <w:r w:rsidRPr="00CB2C31">
        <w:t xml:space="preserve"> report should meet every six months to consider progress against these above measures and report annually with an assessment of whether sufficient progress is being made.</w:t>
      </w:r>
    </w:p>
    <w:p w14:paraId="645A6B16" w14:textId="0C383F59" w:rsidR="00367437" w:rsidRPr="00CB2C31" w:rsidRDefault="00367437" w:rsidP="00623C41">
      <w:pPr>
        <w:pStyle w:val="DoublePara"/>
        <w:rPr>
          <w:vertAlign w:val="superscript"/>
          <w:lang w:val="en-US"/>
        </w:rPr>
      </w:pPr>
      <w:r w:rsidRPr="00CB2C31">
        <w:rPr>
          <w:lang w:val="en-US"/>
        </w:rPr>
        <w:t>Some of these recommendations got more traction than others</w:t>
      </w:r>
      <w:r w:rsidR="00F42D6A" w:rsidRPr="00CB2C31">
        <w:rPr>
          <w:lang w:val="en-US"/>
        </w:rPr>
        <w:t xml:space="preserve">.  </w:t>
      </w:r>
      <w:r w:rsidRPr="00CB2C31">
        <w:rPr>
          <w:lang w:val="en-US"/>
        </w:rPr>
        <w:t xml:space="preserve">Following a series of reviews, the UK has not </w:t>
      </w:r>
      <w:r w:rsidRPr="00CB2C31">
        <w:rPr>
          <w:lang w:val="en-US" w:eastAsia="en-GB"/>
        </w:rPr>
        <w:t>imposed</w:t>
      </w:r>
      <w:r w:rsidRPr="00CB2C31">
        <w:rPr>
          <w:lang w:val="en-US"/>
        </w:rPr>
        <w:t xml:space="preserve"> any mandatory gender quotas</w:t>
      </w:r>
      <w:r w:rsidR="00F42D6A" w:rsidRPr="00CB2C31">
        <w:rPr>
          <w:lang w:val="en-US"/>
        </w:rPr>
        <w:t xml:space="preserve">.  </w:t>
      </w:r>
      <w:r w:rsidRPr="00CB2C31">
        <w:rPr>
          <w:lang w:val="en-US"/>
        </w:rPr>
        <w:t xml:space="preserve">However, the UK Corporate Governance Code (amended in 2018) does require companies with a premium listing of equity shares to report on their </w:t>
      </w:r>
      <w:r w:rsidR="00B53B4B">
        <w:rPr>
          <w:lang w:val="en-US"/>
        </w:rPr>
        <w:t>gender diversity policy.</w:t>
      </w:r>
      <w:r w:rsidRPr="00CB2C31">
        <w:rPr>
          <w:vertAlign w:val="superscript"/>
          <w:lang w:val="en-US"/>
        </w:rPr>
        <w:footnoteReference w:id="119"/>
      </w:r>
      <w:r w:rsidR="00593F1F">
        <w:rPr>
          <w:lang w:val="en-US"/>
        </w:rPr>
        <w:t xml:space="preserve">  </w:t>
      </w:r>
      <w:r w:rsidRPr="00CB2C31">
        <w:rPr>
          <w:lang w:val="en-US"/>
        </w:rPr>
        <w:t>This should include any measurable objectives that have been set for implementing the policy, and progress on achieving the objectives</w:t>
      </w:r>
      <w:r w:rsidR="00F42D6A" w:rsidRPr="00CB2C31">
        <w:rPr>
          <w:lang w:val="en-US"/>
        </w:rPr>
        <w:t xml:space="preserve">.  </w:t>
      </w:r>
      <w:r w:rsidRPr="00CB2C31">
        <w:rPr>
          <w:lang w:val="en-US"/>
        </w:rPr>
        <w:t>For example, voluntary targets for women on boards and in executive positions have been confirmed in the Hampton-Alexander Review on improving gender balance in FTSE leadership (Nov. 2016)</w:t>
      </w:r>
      <w:r w:rsidR="007276F8">
        <w:rPr>
          <w:lang w:val="en-US"/>
        </w:rPr>
        <w:t xml:space="preserve"> </w:t>
      </w:r>
      <w:r w:rsidR="0099443C">
        <w:rPr>
          <w:lang w:val="en-US"/>
        </w:rPr>
        <w:t>–</w:t>
      </w:r>
      <w:r w:rsidR="007276F8">
        <w:rPr>
          <w:lang w:val="en-US"/>
        </w:rPr>
        <w:t xml:space="preserve"> </w:t>
      </w:r>
      <w:r w:rsidRPr="00CB2C31">
        <w:rPr>
          <w:lang w:val="en-US"/>
        </w:rPr>
        <w:t>these include a minimum target of 33% of board members being women by 2020.</w:t>
      </w:r>
      <w:r w:rsidRPr="00CB2C31">
        <w:rPr>
          <w:vertAlign w:val="superscript"/>
          <w:lang w:val="en-US"/>
        </w:rPr>
        <w:footnoteReference w:id="120"/>
      </w:r>
      <w:r w:rsidR="00593F1F">
        <w:rPr>
          <w:lang w:val="en-US"/>
        </w:rPr>
        <w:t xml:space="preserve">  </w:t>
      </w:r>
      <w:r w:rsidRPr="00CB2C31">
        <w:rPr>
          <w:lang w:val="en-US"/>
        </w:rPr>
        <w:t>There are also recommendations from the 2017 Parker Report for FTSE 350 companies to increase the ethnic diversity of UK boards and develop candidates for the pipeline.</w:t>
      </w:r>
      <w:r w:rsidRPr="00CB2C31">
        <w:rPr>
          <w:vertAlign w:val="superscript"/>
          <w:lang w:val="en-US"/>
        </w:rPr>
        <w:footnoteReference w:id="121"/>
      </w:r>
    </w:p>
    <w:p w14:paraId="7BCB0D38" w14:textId="77CF2167" w:rsidR="00367437" w:rsidRPr="00CB2C31" w:rsidRDefault="00367437" w:rsidP="00623C41">
      <w:pPr>
        <w:pStyle w:val="DoublePara"/>
        <w:rPr>
          <w:color w:val="000000"/>
          <w:lang w:val="en-US"/>
        </w:rPr>
      </w:pPr>
      <w:r w:rsidRPr="00CB2C31">
        <w:rPr>
          <w:color w:val="000000"/>
          <w:lang w:val="en-US"/>
        </w:rPr>
        <w:t xml:space="preserve">On March 15, 2019, the Investment Association and the Hampton-Alexander Review issued a </w:t>
      </w:r>
      <w:hyperlink r:id="rId19" w:history="1">
        <w:r w:rsidR="000561B4">
          <w:rPr>
            <w:color w:val="000000"/>
            <w:lang w:val="en-US"/>
          </w:rPr>
          <w:t>press</w:t>
        </w:r>
      </w:hyperlink>
      <w:r w:rsidR="000561B4">
        <w:rPr>
          <w:color w:val="000000"/>
          <w:lang w:val="en-US"/>
        </w:rPr>
        <w:t xml:space="preserve"> release</w:t>
      </w:r>
      <w:r w:rsidRPr="00CB2C31">
        <w:rPr>
          <w:color w:val="000000"/>
          <w:lang w:val="en-US"/>
        </w:rPr>
        <w:t xml:space="preserve"> </w:t>
      </w:r>
      <w:r w:rsidRPr="00CB2C31">
        <w:rPr>
          <w:lang w:val="en-US" w:eastAsia="en-GB"/>
        </w:rPr>
        <w:t>announcing</w:t>
      </w:r>
      <w:r w:rsidRPr="00CB2C31">
        <w:rPr>
          <w:color w:val="000000"/>
          <w:lang w:val="en-US"/>
        </w:rPr>
        <w:t xml:space="preserve"> that they have written to 69 of the FTSE 350 companies, outlining concerns about the lack of gender diversity on their board</w:t>
      </w:r>
      <w:r w:rsidR="00BC673C" w:rsidRPr="00CB2C31">
        <w:rPr>
          <w:color w:val="000000"/>
          <w:lang w:val="en-US"/>
        </w:rPr>
        <w:t>s</w:t>
      </w:r>
      <w:r w:rsidRPr="00CB2C31">
        <w:rPr>
          <w:color w:val="000000"/>
          <w:lang w:val="en-US"/>
        </w:rPr>
        <w:t>.</w:t>
      </w:r>
      <w:r w:rsidRPr="00CB2C31">
        <w:rPr>
          <w:vertAlign w:val="superscript"/>
          <w:lang w:val="en-US"/>
        </w:rPr>
        <w:footnoteReference w:id="122"/>
      </w:r>
      <w:r w:rsidR="00593F1F">
        <w:rPr>
          <w:lang w:val="en-US"/>
        </w:rPr>
        <w:t xml:space="preserve">  </w:t>
      </w:r>
      <w:r w:rsidRPr="00CB2C31">
        <w:rPr>
          <w:color w:val="000000"/>
          <w:lang w:val="en-US"/>
        </w:rPr>
        <w:t xml:space="preserve">The letter, which has been sent to companies who have no </w:t>
      </w:r>
      <w:r w:rsidR="00BC673C" w:rsidRPr="00CB2C31">
        <w:rPr>
          <w:color w:val="000000"/>
          <w:lang w:val="en-US"/>
        </w:rPr>
        <w:t>women or just one woman on the</w:t>
      </w:r>
      <w:r w:rsidRPr="00CB2C31">
        <w:rPr>
          <w:color w:val="000000"/>
          <w:lang w:val="en-US"/>
        </w:rPr>
        <w:t xml:space="preserve"> board, asks companies to outline what action they are taking to make progress and ensure they are meeti</w:t>
      </w:r>
      <w:r w:rsidR="00BC673C" w:rsidRPr="00CB2C31">
        <w:rPr>
          <w:color w:val="000000"/>
          <w:lang w:val="en-US"/>
        </w:rPr>
        <w:t>ng the Hampton-Alexander target</w:t>
      </w:r>
      <w:r w:rsidRPr="00CB2C31">
        <w:rPr>
          <w:color w:val="000000"/>
          <w:lang w:val="en-US"/>
        </w:rPr>
        <w:t xml:space="preserve"> of </w:t>
      </w:r>
      <w:r w:rsidR="00BC673C" w:rsidRPr="00CB2C31">
        <w:rPr>
          <w:color w:val="000000"/>
          <w:lang w:val="en-US"/>
        </w:rPr>
        <w:t xml:space="preserve">hiring </w:t>
      </w:r>
      <w:r w:rsidRPr="00CB2C31">
        <w:rPr>
          <w:color w:val="000000"/>
          <w:lang w:val="en-US"/>
        </w:rPr>
        <w:t>33% women on their board and leadership team by 2020</w:t>
      </w:r>
      <w:r w:rsidR="00F42D6A" w:rsidRPr="00CB2C31">
        <w:rPr>
          <w:color w:val="000000"/>
          <w:lang w:val="en-US"/>
        </w:rPr>
        <w:t xml:space="preserve">.  </w:t>
      </w:r>
      <w:r w:rsidRPr="00CB2C31">
        <w:rPr>
          <w:color w:val="000000"/>
          <w:lang w:val="en-US"/>
        </w:rPr>
        <w:t>The letter follows the announcement on February 21, 2019 that IVIS, the Investment Association</w:t>
      </w:r>
      <w:r w:rsidR="00593F1F">
        <w:rPr>
          <w:color w:val="000000"/>
          <w:lang w:val="en-US"/>
        </w:rPr>
        <w:t>’</w:t>
      </w:r>
      <w:r w:rsidRPr="00CB2C31">
        <w:rPr>
          <w:color w:val="000000"/>
          <w:lang w:val="en-US"/>
        </w:rPr>
        <w:t xml:space="preserve">s voter information service, will give a </w:t>
      </w:r>
      <w:r w:rsidR="00593F1F">
        <w:rPr>
          <w:color w:val="000000"/>
          <w:lang w:val="en-US"/>
        </w:rPr>
        <w:t>‘</w:t>
      </w:r>
      <w:r w:rsidRPr="00CB2C31">
        <w:rPr>
          <w:color w:val="000000"/>
          <w:lang w:val="en-US"/>
        </w:rPr>
        <w:t>red-top</w:t>
      </w:r>
      <w:r w:rsidR="000561B4">
        <w:rPr>
          <w:color w:val="000000"/>
          <w:lang w:val="en-US"/>
        </w:rPr>
        <w:t>,</w:t>
      </w:r>
      <w:r w:rsidR="00593F1F">
        <w:rPr>
          <w:color w:val="000000"/>
          <w:lang w:val="en-US"/>
        </w:rPr>
        <w:t>’</w:t>
      </w:r>
      <w:r w:rsidRPr="00CB2C31">
        <w:rPr>
          <w:color w:val="000000"/>
          <w:lang w:val="en-US"/>
        </w:rPr>
        <w:t xml:space="preserve"> its highest warning level, to companies who have </w:t>
      </w:r>
      <w:r w:rsidR="00BC673C" w:rsidRPr="00CB2C31">
        <w:rPr>
          <w:color w:val="000000"/>
          <w:lang w:val="en-US"/>
        </w:rPr>
        <w:t xml:space="preserve">only one </w:t>
      </w:r>
      <w:r w:rsidRPr="00CB2C31">
        <w:rPr>
          <w:color w:val="000000"/>
          <w:lang w:val="en-US"/>
        </w:rPr>
        <w:t>woman on their board.</w:t>
      </w:r>
      <w:r w:rsidRPr="00CB2C31">
        <w:rPr>
          <w:color w:val="000000"/>
          <w:vertAlign w:val="superscript"/>
          <w:lang w:val="en-US"/>
        </w:rPr>
        <w:footnoteReference w:id="123"/>
      </w:r>
      <w:r w:rsidRPr="00CB2C31">
        <w:rPr>
          <w:color w:val="000000"/>
          <w:lang w:val="en-US"/>
        </w:rPr>
        <w:t xml:space="preserve"> </w:t>
      </w:r>
    </w:p>
    <w:p w14:paraId="37C72291" w14:textId="66B180FE" w:rsidR="00367437" w:rsidRPr="00CB2C31" w:rsidRDefault="00367437" w:rsidP="00623C41">
      <w:pPr>
        <w:pStyle w:val="DoublePara"/>
        <w:rPr>
          <w:lang w:val="en-US"/>
        </w:rPr>
      </w:pPr>
      <w:r w:rsidRPr="00CB2C31">
        <w:rPr>
          <w:lang w:val="en-US"/>
        </w:rPr>
        <w:t xml:space="preserve">These actions </w:t>
      </w:r>
      <w:r w:rsidR="00D01180">
        <w:rPr>
          <w:lang w:val="en-US"/>
        </w:rPr>
        <w:t xml:space="preserve">attempt </w:t>
      </w:r>
      <w:r w:rsidRPr="00CB2C31">
        <w:rPr>
          <w:lang w:val="en-US"/>
        </w:rPr>
        <w:t>to address the increasing frustration in the general public that UK companies are only paying lip service to gender diversity</w:t>
      </w:r>
      <w:r w:rsidR="00F42D6A" w:rsidRPr="00CB2C31">
        <w:rPr>
          <w:lang w:val="en-US"/>
        </w:rPr>
        <w:t xml:space="preserve">.  </w:t>
      </w:r>
      <w:r w:rsidRPr="00CB2C31">
        <w:rPr>
          <w:lang w:val="en-US"/>
        </w:rPr>
        <w:t xml:space="preserve">This was most eloquently expressed by Sir Philip Hampton, who commented: </w:t>
      </w:r>
      <w:r w:rsidR="00203E75" w:rsidRPr="00203E75">
        <w:rPr>
          <w:i/>
          <w:lang w:val="en-US"/>
        </w:rPr>
        <w:t>“</w:t>
      </w:r>
      <w:r w:rsidRPr="00CB2C31">
        <w:rPr>
          <w:i/>
          <w:lang w:val="en-US"/>
        </w:rPr>
        <w:t>Most companies have made great progress in gender diversity in their boardrooms and senior executive leadership</w:t>
      </w:r>
      <w:r w:rsidR="00F42D6A" w:rsidRPr="00CB2C31">
        <w:rPr>
          <w:i/>
          <w:lang w:val="en-US"/>
        </w:rPr>
        <w:t xml:space="preserve">.  </w:t>
      </w:r>
      <w:r w:rsidRPr="00CB2C31">
        <w:rPr>
          <w:i/>
          <w:lang w:val="en-US"/>
        </w:rPr>
        <w:t>But there</w:t>
      </w:r>
      <w:r w:rsidR="00593F1F">
        <w:rPr>
          <w:i/>
          <w:lang w:val="en-US"/>
        </w:rPr>
        <w:t>’</w:t>
      </w:r>
      <w:r w:rsidRPr="00CB2C31">
        <w:rPr>
          <w:i/>
          <w:lang w:val="en-US"/>
        </w:rPr>
        <w:t xml:space="preserve">s a </w:t>
      </w:r>
      <w:r w:rsidRPr="00CB2C31">
        <w:rPr>
          <w:i/>
          <w:lang w:val="en-US" w:eastAsia="en-GB"/>
        </w:rPr>
        <w:t>surprising</w:t>
      </w:r>
      <w:r w:rsidRPr="00CB2C31">
        <w:rPr>
          <w:i/>
          <w:lang w:val="en-US"/>
        </w:rPr>
        <w:t xml:space="preserve"> number of boards with just one woman, which looks more like tokenism than diversity</w:t>
      </w:r>
      <w:r w:rsidR="00F42D6A" w:rsidRPr="00CB2C31">
        <w:rPr>
          <w:i/>
          <w:lang w:val="en-US"/>
        </w:rPr>
        <w:t xml:space="preserve">.  </w:t>
      </w:r>
      <w:r w:rsidRPr="00CB2C31">
        <w:rPr>
          <w:i/>
          <w:lang w:val="en-US"/>
        </w:rPr>
        <w:t>It also does not reflect the population of very talented women capable of making great contributions in boardrooms</w:t>
      </w:r>
      <w:r w:rsidR="007276F8">
        <w:rPr>
          <w:lang w:val="en-US"/>
        </w:rPr>
        <w:t>.</w:t>
      </w:r>
      <w:r w:rsidR="00203E75" w:rsidRPr="00203E75">
        <w:rPr>
          <w:i/>
          <w:lang w:val="en-US"/>
        </w:rPr>
        <w:t>”</w:t>
      </w:r>
      <w:r w:rsidRPr="00CB2C31">
        <w:rPr>
          <w:rStyle w:val="FootnoteReference"/>
          <w:lang w:val="en-US"/>
        </w:rPr>
        <w:footnoteReference w:id="124"/>
      </w:r>
    </w:p>
    <w:p w14:paraId="6D85ED04" w14:textId="77777777" w:rsidR="00C90DB6" w:rsidRPr="00042E7C" w:rsidRDefault="00C90DB6" w:rsidP="00C90DB6">
      <w:pPr>
        <w:pStyle w:val="LegalCombo4"/>
        <w:rPr>
          <w:b/>
        </w:rPr>
      </w:pPr>
      <w:bookmarkStart w:id="195" w:name="_Toc15027242"/>
      <w:bookmarkStart w:id="196" w:name="_Toc15027633"/>
      <w:bookmarkStart w:id="197" w:name="_Toc15027911"/>
      <w:r w:rsidRPr="00042E7C">
        <w:rPr>
          <w:b/>
        </w:rPr>
        <w:t>Conclusion and Best Practice Analysis</w:t>
      </w:r>
      <w:bookmarkEnd w:id="195"/>
      <w:bookmarkEnd w:id="196"/>
      <w:bookmarkEnd w:id="197"/>
      <w:r w:rsidRPr="00042E7C">
        <w:rPr>
          <w:b/>
        </w:rPr>
        <w:t>:</w:t>
      </w:r>
      <w:r w:rsidR="00593F1F" w:rsidRPr="00042E7C">
        <w:rPr>
          <w:b/>
        </w:rPr>
        <w:t xml:space="preserve"> </w:t>
      </w:r>
      <w:r w:rsidRPr="00042E7C">
        <w:rPr>
          <w:b/>
        </w:rPr>
        <w:t>United Kingdom</w:t>
      </w:r>
    </w:p>
    <w:p w14:paraId="45E29236" w14:textId="331F78EF" w:rsidR="00707BD2" w:rsidRPr="00CB2C31" w:rsidRDefault="00895FBB" w:rsidP="00623C41">
      <w:pPr>
        <w:pStyle w:val="DoublePara"/>
        <w:rPr>
          <w:lang w:val="en-US"/>
        </w:rPr>
      </w:pPr>
      <w:r w:rsidRPr="00CB2C31">
        <w:rPr>
          <w:lang w:val="en-US"/>
        </w:rPr>
        <w:t xml:space="preserve">Recent spotlights on the #MeToo movement, </w:t>
      </w:r>
      <w:r w:rsidR="00101870">
        <w:rPr>
          <w:i/>
          <w:lang w:val="en-US"/>
        </w:rPr>
        <w:t>‘</w:t>
      </w:r>
      <w:r w:rsidRPr="00CB2C31">
        <w:rPr>
          <w:i/>
          <w:lang w:val="en-US"/>
        </w:rPr>
        <w:t>Everyday Sexism</w:t>
      </w:r>
      <w:r w:rsidR="00101870">
        <w:rPr>
          <w:i/>
          <w:lang w:val="en-US"/>
        </w:rPr>
        <w:t>’,</w:t>
      </w:r>
      <w:r w:rsidRPr="00CB2C31">
        <w:rPr>
          <w:lang w:val="en-US"/>
        </w:rPr>
        <w:t xml:space="preserve"> and the centenary of women</w:t>
      </w:r>
      <w:r w:rsidR="00593F1F">
        <w:rPr>
          <w:lang w:val="en-US"/>
        </w:rPr>
        <w:t>’</w:t>
      </w:r>
      <w:r w:rsidRPr="00CB2C31">
        <w:rPr>
          <w:lang w:val="en-US"/>
        </w:rPr>
        <w:t xml:space="preserve">s suffrage have raised public awareness of gender as a defining social influence, but the UK regime of </w:t>
      </w:r>
      <w:r w:rsidR="00593F1F">
        <w:rPr>
          <w:lang w:val="en-US"/>
        </w:rPr>
        <w:t>‘</w:t>
      </w:r>
      <w:r w:rsidRPr="00042E7C">
        <w:rPr>
          <w:b/>
          <w:lang w:val="en-US" w:eastAsia="en-GB"/>
        </w:rPr>
        <w:t>comply</w:t>
      </w:r>
      <w:r w:rsidRPr="00042E7C">
        <w:rPr>
          <w:b/>
          <w:lang w:val="en-US"/>
        </w:rPr>
        <w:t xml:space="preserve"> or explain</w:t>
      </w:r>
      <w:r w:rsidR="00593F1F">
        <w:rPr>
          <w:lang w:val="en-US"/>
        </w:rPr>
        <w:t>’</w:t>
      </w:r>
      <w:r w:rsidRPr="00CB2C31">
        <w:rPr>
          <w:lang w:val="en-US"/>
        </w:rPr>
        <w:t xml:space="preserve"> remains unchanged</w:t>
      </w:r>
      <w:r w:rsidR="00AD33BD">
        <w:rPr>
          <w:lang w:val="en-US"/>
        </w:rPr>
        <w:t>,</w:t>
      </w:r>
      <w:r w:rsidR="00F42D6A" w:rsidRPr="00CB2C31">
        <w:rPr>
          <w:lang w:val="en-US"/>
        </w:rPr>
        <w:t xml:space="preserve"> </w:t>
      </w:r>
      <w:r w:rsidR="00AD33BD" w:rsidRPr="00CB2C31">
        <w:rPr>
          <w:lang w:val="en-US"/>
        </w:rPr>
        <w:t xml:space="preserve">as </w:t>
      </w:r>
      <w:r w:rsidRPr="00CB2C31">
        <w:rPr>
          <w:lang w:val="en-US"/>
        </w:rPr>
        <w:t>noted by the FRC in September 2018</w:t>
      </w:r>
      <w:r w:rsidR="00AD33BD">
        <w:rPr>
          <w:lang w:val="en-US"/>
        </w:rPr>
        <w:t>.</w:t>
      </w:r>
      <w:r w:rsidRPr="00CB2C31">
        <w:rPr>
          <w:rStyle w:val="FootnoteReference"/>
          <w:color w:val="000000"/>
          <w:lang w:val="en-US"/>
        </w:rPr>
        <w:footnoteReference w:id="125"/>
      </w:r>
    </w:p>
    <w:p w14:paraId="201000DA" w14:textId="60415265" w:rsidR="0035130E" w:rsidRPr="00CB2C31" w:rsidRDefault="000A6C18">
      <w:pPr>
        <w:pStyle w:val="DoublePara"/>
        <w:rPr>
          <w:lang w:val="en-US"/>
        </w:rPr>
      </w:pPr>
      <w:r w:rsidRPr="00CB2C31">
        <w:rPr>
          <w:lang w:val="en-US"/>
        </w:rPr>
        <w:t>C</w:t>
      </w:r>
      <w:r w:rsidR="00895FBB" w:rsidRPr="00CB2C31">
        <w:rPr>
          <w:lang w:val="en-US"/>
        </w:rPr>
        <w:t xml:space="preserve">onsiderable progress has been made in increasing the diversity of UK boards since Lord Davies published his report </w:t>
      </w:r>
      <w:r w:rsidR="00EC0852">
        <w:rPr>
          <w:lang w:val="en-US"/>
        </w:rPr>
        <w:t>on</w:t>
      </w:r>
      <w:r w:rsidR="00EC0852" w:rsidRPr="00CB2C31">
        <w:rPr>
          <w:lang w:val="en-US"/>
        </w:rPr>
        <w:t xml:space="preserve"> </w:t>
      </w:r>
      <w:r w:rsidR="00895FBB" w:rsidRPr="00CB2C31">
        <w:rPr>
          <w:lang w:val="en-US"/>
        </w:rPr>
        <w:t>the gender balance of FTSE 100 boards in 2011.</w:t>
      </w:r>
      <w:r w:rsidR="00895FBB" w:rsidRPr="00CB2C31">
        <w:rPr>
          <w:rStyle w:val="FootnoteReference"/>
          <w:lang w:val="en-US"/>
        </w:rPr>
        <w:footnoteReference w:id="126"/>
      </w:r>
      <w:r w:rsidR="009A19EF" w:rsidRPr="00CB2C31">
        <w:rPr>
          <w:lang w:val="en-US"/>
        </w:rPr>
        <w:t xml:space="preserve"> </w:t>
      </w:r>
      <w:r w:rsidR="0009628A">
        <w:rPr>
          <w:lang w:val="en-US"/>
        </w:rPr>
        <w:t xml:space="preserve"> </w:t>
      </w:r>
      <w:r w:rsidR="00895FBB" w:rsidRPr="00CB2C31">
        <w:rPr>
          <w:lang w:val="en-US"/>
        </w:rPr>
        <w:t>In 2017</w:t>
      </w:r>
      <w:r w:rsidR="00EC0852">
        <w:rPr>
          <w:lang w:val="en-US"/>
        </w:rPr>
        <w:t>,</w:t>
      </w:r>
      <w:r w:rsidR="00895FBB" w:rsidRPr="00CB2C31">
        <w:rPr>
          <w:lang w:val="en-US"/>
        </w:rPr>
        <w:t xml:space="preserve"> women made up 27.7%</w:t>
      </w:r>
      <w:r w:rsidR="00EC0852">
        <w:rPr>
          <w:lang w:val="en-US"/>
        </w:rPr>
        <w:t>,</w:t>
      </w:r>
      <w:r w:rsidR="00895FBB" w:rsidRPr="00CB2C31">
        <w:rPr>
          <w:lang w:val="en-US"/>
        </w:rPr>
        <w:t xml:space="preserve"> on average</w:t>
      </w:r>
      <w:r w:rsidR="00EC0852">
        <w:rPr>
          <w:lang w:val="en-US"/>
        </w:rPr>
        <w:t>,</w:t>
      </w:r>
      <w:r w:rsidR="00895FBB" w:rsidRPr="00CB2C31">
        <w:rPr>
          <w:lang w:val="en-US"/>
        </w:rPr>
        <w:t xml:space="preserve"> of FTSE 100 boards, up from 12.5% in 2010, demonstrating continued progress towards the target of</w:t>
      </w:r>
      <w:r w:rsidR="00425E87" w:rsidRPr="00CB2C31">
        <w:rPr>
          <w:lang w:val="en-US"/>
        </w:rPr>
        <w:t xml:space="preserve"> 33% by 2020, set by the follow-</w:t>
      </w:r>
      <w:r w:rsidR="00895FBB" w:rsidRPr="00CB2C31">
        <w:rPr>
          <w:lang w:val="en-US"/>
        </w:rPr>
        <w:t>up Hampton-Alexander Review published in November 2016</w:t>
      </w:r>
      <w:r w:rsidR="0097685E" w:rsidRPr="00CB2C31">
        <w:rPr>
          <w:lang w:val="en-US"/>
        </w:rPr>
        <w:t>.</w:t>
      </w:r>
      <w:r w:rsidRPr="00CB2C31">
        <w:rPr>
          <w:rStyle w:val="FootnoteReference"/>
          <w:lang w:val="en-US"/>
        </w:rPr>
        <w:footnoteReference w:id="127"/>
      </w:r>
      <w:r w:rsidR="0097685E" w:rsidRPr="00CB2C31">
        <w:rPr>
          <w:lang w:val="en-US"/>
        </w:rPr>
        <w:t xml:space="preserve"> </w:t>
      </w:r>
      <w:r w:rsidR="0009628A">
        <w:rPr>
          <w:lang w:val="en-US"/>
        </w:rPr>
        <w:t xml:space="preserve"> </w:t>
      </w:r>
      <w:r w:rsidR="00895FBB" w:rsidRPr="00CB2C31">
        <w:rPr>
          <w:lang w:val="en-US"/>
        </w:rPr>
        <w:t>This had reached 29.0% by July 2018.</w:t>
      </w:r>
      <w:r w:rsidR="00895FBB" w:rsidRPr="00CB2C31">
        <w:rPr>
          <w:rStyle w:val="FootnoteReference"/>
          <w:lang w:val="en-US"/>
        </w:rPr>
        <w:footnoteReference w:id="128"/>
      </w:r>
      <w:r w:rsidR="00895FBB" w:rsidRPr="00CB2C31">
        <w:rPr>
          <w:lang w:val="en-US"/>
        </w:rPr>
        <w:t xml:space="preserve"> </w:t>
      </w:r>
      <w:r w:rsidR="0009628A">
        <w:rPr>
          <w:lang w:val="en-US"/>
        </w:rPr>
        <w:t xml:space="preserve"> </w:t>
      </w:r>
      <w:r w:rsidR="00895FBB" w:rsidRPr="00042E7C">
        <w:rPr>
          <w:b/>
          <w:lang w:val="en-US"/>
        </w:rPr>
        <w:t>Transparency</w:t>
      </w:r>
      <w:r w:rsidR="00895FBB" w:rsidRPr="00CB2C31">
        <w:rPr>
          <w:lang w:val="en-US"/>
        </w:rPr>
        <w:t xml:space="preserve"> has been an important driver of this change</w:t>
      </w:r>
      <w:r w:rsidR="00F42D6A" w:rsidRPr="00CB2C31">
        <w:rPr>
          <w:lang w:val="en-US"/>
        </w:rPr>
        <w:t xml:space="preserve">.  </w:t>
      </w:r>
      <w:r w:rsidR="00F916AB" w:rsidRPr="00335D26">
        <w:rPr>
          <w:b/>
          <w:lang w:val="en-US"/>
        </w:rPr>
        <w:t>G</w:t>
      </w:r>
      <w:r w:rsidR="00660D98" w:rsidRPr="00335D26">
        <w:rPr>
          <w:b/>
          <w:lang w:val="en-US"/>
        </w:rPr>
        <w:t>roups such as the 30% Club</w:t>
      </w:r>
      <w:r w:rsidR="00660D98">
        <w:rPr>
          <w:lang w:val="en-US"/>
        </w:rPr>
        <w:t>, which</w:t>
      </w:r>
      <w:r w:rsidR="00660D98" w:rsidRPr="00660D98">
        <w:rPr>
          <w:lang w:val="en-US"/>
        </w:rPr>
        <w:t xml:space="preserve"> launched as a campaign in the UK in 2010 and has since expanded to </w:t>
      </w:r>
      <w:r w:rsidR="00660D98">
        <w:rPr>
          <w:lang w:val="en-US"/>
        </w:rPr>
        <w:t>14</w:t>
      </w:r>
      <w:r w:rsidR="00F916AB">
        <w:rPr>
          <w:lang w:val="en-US"/>
        </w:rPr>
        <w:t xml:space="preserve"> other countries/</w:t>
      </w:r>
      <w:r w:rsidR="00660D98" w:rsidRPr="00660D98">
        <w:rPr>
          <w:lang w:val="en-US"/>
        </w:rPr>
        <w:t>regions</w:t>
      </w:r>
      <w:r w:rsidR="00660D98">
        <w:rPr>
          <w:lang w:val="en-US"/>
        </w:rPr>
        <w:t>, maintain the pressure through concerted actions and programs e</w:t>
      </w:r>
      <w:r w:rsidR="00660D98" w:rsidRPr="00660D98">
        <w:rPr>
          <w:lang w:val="en-US"/>
        </w:rPr>
        <w:t>ncouraging chairmen to appoint more women to their boards</w:t>
      </w:r>
      <w:r w:rsidR="00660D98">
        <w:rPr>
          <w:lang w:val="en-US"/>
        </w:rPr>
        <w:t>, raising awareness and keeping gender imbalance in the spotlight</w:t>
      </w:r>
      <w:r w:rsidR="003612FF">
        <w:rPr>
          <w:lang w:val="en-US"/>
        </w:rPr>
        <w:t>, all the while tracking progress of women</w:t>
      </w:r>
      <w:r w:rsidR="00593F1F">
        <w:rPr>
          <w:lang w:val="en-US"/>
        </w:rPr>
        <w:t>’</w:t>
      </w:r>
      <w:r w:rsidR="003612FF">
        <w:rPr>
          <w:lang w:val="en-US"/>
        </w:rPr>
        <w:t>s representation on corporate boards</w:t>
      </w:r>
      <w:r w:rsidR="00660D98">
        <w:rPr>
          <w:lang w:val="en-US"/>
        </w:rPr>
        <w:t>.</w:t>
      </w:r>
      <w:r w:rsidR="00660D98">
        <w:rPr>
          <w:rStyle w:val="FootnoteReference"/>
          <w:lang w:val="en-US"/>
        </w:rPr>
        <w:footnoteReference w:id="129"/>
      </w:r>
      <w:r w:rsidR="00660D98">
        <w:rPr>
          <w:lang w:val="en-US"/>
        </w:rPr>
        <w:t xml:space="preserve">  </w:t>
      </w:r>
      <w:r w:rsidR="00895FBB" w:rsidRPr="00CB2C31">
        <w:rPr>
          <w:lang w:val="en-US"/>
        </w:rPr>
        <w:t>However, there is evidence that momentum has tailed off and progress on increasing female representation at the top of companies has stalled.</w:t>
      </w:r>
      <w:r w:rsidR="00895FBB" w:rsidRPr="00CB2C31">
        <w:rPr>
          <w:rStyle w:val="FootnoteReference"/>
          <w:lang w:val="en-US"/>
        </w:rPr>
        <w:footnoteReference w:id="130"/>
      </w:r>
      <w:r w:rsidR="00895FBB" w:rsidRPr="00CB2C31">
        <w:rPr>
          <w:lang w:val="en-US"/>
        </w:rPr>
        <w:t xml:space="preserve"> </w:t>
      </w:r>
      <w:bookmarkStart w:id="198" w:name="_Toc15027243"/>
      <w:bookmarkStart w:id="199" w:name="_Toc15027634"/>
      <w:bookmarkStart w:id="200" w:name="_Toc15027912"/>
    </w:p>
    <w:p w14:paraId="20FD7FDE" w14:textId="77777777" w:rsidR="00BC673C" w:rsidRPr="00CB2C31" w:rsidRDefault="00766603" w:rsidP="00623C41">
      <w:pPr>
        <w:pStyle w:val="DoublePara"/>
        <w:rPr>
          <w:lang w:val="en-US"/>
        </w:rPr>
      </w:pPr>
      <w:bookmarkStart w:id="201" w:name="_Toc16692485"/>
      <w:r w:rsidRPr="00CB2C31">
        <w:rPr>
          <w:lang w:val="en-US"/>
        </w:rPr>
        <w:t xml:space="preserve">Therefore, while a </w:t>
      </w:r>
      <w:r w:rsidR="00593F1F">
        <w:rPr>
          <w:lang w:val="en-US"/>
        </w:rPr>
        <w:t>‘</w:t>
      </w:r>
      <w:r w:rsidRPr="00CB2C31">
        <w:rPr>
          <w:lang w:val="en-US"/>
        </w:rPr>
        <w:t>comply or explain</w:t>
      </w:r>
      <w:r w:rsidR="00593F1F">
        <w:rPr>
          <w:lang w:val="en-US"/>
        </w:rPr>
        <w:t>’</w:t>
      </w:r>
      <w:r w:rsidRPr="00CB2C31">
        <w:rPr>
          <w:lang w:val="en-US"/>
        </w:rPr>
        <w:t xml:space="preserve"> regime </w:t>
      </w:r>
      <w:r w:rsidR="00E20214" w:rsidRPr="00CB2C31">
        <w:rPr>
          <w:lang w:val="en-US"/>
        </w:rPr>
        <w:t xml:space="preserve">has been shown to slowly </w:t>
      </w:r>
      <w:r w:rsidRPr="00CB2C31">
        <w:rPr>
          <w:lang w:val="en-US"/>
        </w:rPr>
        <w:t>increase women</w:t>
      </w:r>
      <w:r w:rsidR="00593F1F">
        <w:rPr>
          <w:lang w:val="en-US"/>
        </w:rPr>
        <w:t>’</w:t>
      </w:r>
      <w:r w:rsidRPr="00CB2C31">
        <w:rPr>
          <w:lang w:val="en-US"/>
        </w:rPr>
        <w:t>s participation on boards, it</w:t>
      </w:r>
      <w:r w:rsidR="00593F1F">
        <w:rPr>
          <w:lang w:val="en-US"/>
        </w:rPr>
        <w:t>’</w:t>
      </w:r>
      <w:r w:rsidRPr="00CB2C31">
        <w:rPr>
          <w:lang w:val="en-US"/>
        </w:rPr>
        <w:t>s unclear whether that</w:t>
      </w:r>
      <w:r w:rsidR="00E20214" w:rsidRPr="00CB2C31">
        <w:rPr>
          <w:lang w:val="en-US"/>
        </w:rPr>
        <w:t xml:space="preserve"> practice alone c</w:t>
      </w:r>
      <w:r w:rsidRPr="00CB2C31">
        <w:rPr>
          <w:lang w:val="en-US"/>
        </w:rPr>
        <w:t>ould be successful in achieving gender balance.</w:t>
      </w:r>
    </w:p>
    <w:p w14:paraId="381F24DE" w14:textId="77777777" w:rsidR="00506182" w:rsidRPr="002E5273" w:rsidRDefault="00506182" w:rsidP="00623C41">
      <w:pPr>
        <w:pStyle w:val="LegalCombo3"/>
        <w:rPr>
          <w:b w:val="0"/>
        </w:rPr>
      </w:pPr>
      <w:bookmarkStart w:id="202" w:name="_Toc22904992"/>
      <w:bookmarkStart w:id="203" w:name="_Toc24114391"/>
      <w:r w:rsidRPr="002E5273">
        <w:t>Belgium</w:t>
      </w:r>
      <w:bookmarkEnd w:id="198"/>
      <w:bookmarkEnd w:id="199"/>
      <w:bookmarkEnd w:id="200"/>
      <w:bookmarkEnd w:id="201"/>
      <w:bookmarkEnd w:id="202"/>
      <w:bookmarkEnd w:id="203"/>
    </w:p>
    <w:p w14:paraId="1DD61B7D" w14:textId="77777777" w:rsidR="00506182" w:rsidRPr="00CB2C31" w:rsidRDefault="00506182" w:rsidP="00623C41">
      <w:pPr>
        <w:pStyle w:val="LegalCombo4"/>
        <w:keepNext/>
      </w:pPr>
      <w:bookmarkStart w:id="204" w:name="_Toc9264262"/>
      <w:bookmarkStart w:id="205" w:name="_Toc9325679"/>
      <w:bookmarkStart w:id="206" w:name="_Toc15027244"/>
      <w:bookmarkStart w:id="207" w:name="_Toc15027635"/>
      <w:bookmarkStart w:id="208" w:name="_Toc15027913"/>
      <w:r w:rsidRPr="00CB2C31">
        <w:t xml:space="preserve">Introduction </w:t>
      </w:r>
      <w:bookmarkEnd w:id="204"/>
      <w:bookmarkEnd w:id="205"/>
      <w:bookmarkEnd w:id="206"/>
      <w:bookmarkEnd w:id="207"/>
      <w:bookmarkEnd w:id="208"/>
    </w:p>
    <w:p w14:paraId="39E93EC9" w14:textId="531D78FE" w:rsidR="00FA4B87" w:rsidRPr="00CB2C31" w:rsidRDefault="00FA4B87" w:rsidP="00623C41">
      <w:pPr>
        <w:pStyle w:val="DoublePara"/>
        <w:rPr>
          <w:lang w:val="en-US"/>
        </w:rPr>
      </w:pPr>
      <w:r w:rsidRPr="00CB2C31">
        <w:rPr>
          <w:lang w:val="en-US"/>
        </w:rPr>
        <w:t>Belgian corporate governance rules have been entirely reformed with the objective of modernizing and simplifying corporate forms and formalities and improving companies</w:t>
      </w:r>
      <w:r w:rsidR="00593F1F">
        <w:rPr>
          <w:lang w:val="en-US"/>
        </w:rPr>
        <w:t>’</w:t>
      </w:r>
      <w:r w:rsidRPr="00CB2C31">
        <w:rPr>
          <w:lang w:val="en-US"/>
        </w:rPr>
        <w:t xml:space="preserve"> competitiveness, while raising the bar in terms of divers</w:t>
      </w:r>
      <w:r w:rsidR="00101870">
        <w:rPr>
          <w:lang w:val="en-US"/>
        </w:rPr>
        <w:t>ity and non-financial reporting.</w:t>
      </w:r>
      <w:r w:rsidR="001877C9" w:rsidRPr="00CB2C31">
        <w:rPr>
          <w:lang w:val="en-US"/>
        </w:rPr>
        <w:t xml:space="preserve">  </w:t>
      </w:r>
      <w:r w:rsidRPr="00CB2C31">
        <w:rPr>
          <w:lang w:val="en-US"/>
        </w:rPr>
        <w:t xml:space="preserve">Belgium has </w:t>
      </w:r>
      <w:r w:rsidRPr="00CB2C31">
        <w:rPr>
          <w:lang w:val="en-US" w:eastAsia="en-GB"/>
        </w:rPr>
        <w:t>adopted</w:t>
      </w:r>
      <w:r w:rsidRPr="00CB2C31">
        <w:rPr>
          <w:lang w:val="en-US"/>
        </w:rPr>
        <w:t xml:space="preserve"> a proactive approach to gender equality with a </w:t>
      </w:r>
      <w:r w:rsidR="00C90DB6">
        <w:rPr>
          <w:lang w:val="en-US"/>
        </w:rPr>
        <w:t xml:space="preserve">legally </w:t>
      </w:r>
      <w:r w:rsidRPr="00CB2C31">
        <w:rPr>
          <w:lang w:val="en-US"/>
        </w:rPr>
        <w:t>binding quota for women on corporate boards</w:t>
      </w:r>
      <w:r w:rsidR="00E03F3D" w:rsidRPr="00CB2C31">
        <w:rPr>
          <w:lang w:val="en-US"/>
        </w:rPr>
        <w:t xml:space="preserve"> and a </w:t>
      </w:r>
      <w:r w:rsidR="00593F1F">
        <w:rPr>
          <w:lang w:val="en-US"/>
        </w:rPr>
        <w:t>‘</w:t>
      </w:r>
      <w:r w:rsidR="00E76E4C" w:rsidRPr="00CB2C31">
        <w:rPr>
          <w:lang w:val="en-US"/>
        </w:rPr>
        <w:t>comply or explain</w:t>
      </w:r>
      <w:r w:rsidR="00593F1F">
        <w:rPr>
          <w:lang w:val="en-US"/>
        </w:rPr>
        <w:t>’</w:t>
      </w:r>
      <w:r w:rsidR="00E76E4C" w:rsidRPr="00CB2C31">
        <w:rPr>
          <w:lang w:val="en-US"/>
        </w:rPr>
        <w:t xml:space="preserve"> approach</w:t>
      </w:r>
      <w:r w:rsidRPr="00CB2C31">
        <w:rPr>
          <w:lang w:val="en-US"/>
        </w:rPr>
        <w:t>, as further detailed in this section</w:t>
      </w:r>
      <w:r w:rsidR="00F42D6A" w:rsidRPr="00CB2C31">
        <w:rPr>
          <w:lang w:val="en-US"/>
        </w:rPr>
        <w:t xml:space="preserve">.  </w:t>
      </w:r>
      <w:r w:rsidRPr="00CB2C31">
        <w:rPr>
          <w:lang w:val="en-US"/>
        </w:rPr>
        <w:t xml:space="preserve">The below relates only to limited liability companies </w:t>
      </w:r>
      <w:r w:rsidR="00CD16A9">
        <w:rPr>
          <w:lang w:val="en-US"/>
        </w:rPr>
        <w:t xml:space="preserve">which are </w:t>
      </w:r>
      <w:r w:rsidRPr="00CB2C31">
        <w:rPr>
          <w:lang w:val="en-US"/>
        </w:rPr>
        <w:t xml:space="preserve">organized as </w:t>
      </w:r>
      <w:r w:rsidRPr="00907C35">
        <w:rPr>
          <w:i/>
        </w:rPr>
        <w:t>sociétés anonymes</w:t>
      </w:r>
      <w:r w:rsidRPr="00CB2C31">
        <w:rPr>
          <w:lang w:val="en-US"/>
        </w:rPr>
        <w:t xml:space="preserve"> (</w:t>
      </w:r>
      <w:r w:rsidR="00203E75" w:rsidRPr="00203E75">
        <w:rPr>
          <w:i/>
          <w:lang w:val="en-US"/>
        </w:rPr>
        <w:t>“</w:t>
      </w:r>
      <w:r w:rsidRPr="00CB2C31">
        <w:rPr>
          <w:b/>
          <w:lang w:val="en-US"/>
        </w:rPr>
        <w:t>SA</w:t>
      </w:r>
      <w:r w:rsidR="00C90DB6">
        <w:rPr>
          <w:b/>
          <w:lang w:val="en-US"/>
        </w:rPr>
        <w:t>s</w:t>
      </w:r>
      <w:r w:rsidR="00203E75" w:rsidRPr="00203E75">
        <w:rPr>
          <w:i/>
          <w:lang w:val="en-US"/>
        </w:rPr>
        <w:t>”</w:t>
      </w:r>
      <w:r w:rsidRPr="00CB2C31">
        <w:rPr>
          <w:lang w:val="en-US"/>
        </w:rPr>
        <w:t>), which can be listed and their shares traded on a regulated market.</w:t>
      </w:r>
    </w:p>
    <w:p w14:paraId="441A7D96" w14:textId="77777777" w:rsidR="00FA4B87" w:rsidRPr="00CB2C31" w:rsidRDefault="009B6438" w:rsidP="00623C41">
      <w:pPr>
        <w:pStyle w:val="LegalCombo4"/>
        <w:keepNext/>
      </w:pPr>
      <w:r w:rsidRPr="00CB2C31">
        <w:t>Corporate Governance</w:t>
      </w:r>
    </w:p>
    <w:p w14:paraId="4750B1CB" w14:textId="7D44B649" w:rsidR="00FA4B87" w:rsidRPr="00CB2C31" w:rsidRDefault="00643671" w:rsidP="00623C41">
      <w:pPr>
        <w:pStyle w:val="DoublePara"/>
        <w:rPr>
          <w:lang w:val="en-US"/>
        </w:rPr>
      </w:pPr>
      <w:r w:rsidRPr="00CB2C31">
        <w:rPr>
          <w:lang w:val="en-US"/>
        </w:rPr>
        <w:t xml:space="preserve">The </w:t>
      </w:r>
      <w:r w:rsidR="00E97FF3" w:rsidRPr="00CB2C31">
        <w:rPr>
          <w:lang w:val="en-US"/>
        </w:rPr>
        <w:t xml:space="preserve">current </w:t>
      </w:r>
      <w:r w:rsidR="00E76E4C" w:rsidRPr="00CB2C31">
        <w:rPr>
          <w:lang w:val="en-US"/>
        </w:rPr>
        <w:t>Belgian Companies Code</w:t>
      </w:r>
      <w:r w:rsidR="00E76E4C" w:rsidRPr="00CB2C31">
        <w:rPr>
          <w:rStyle w:val="FootnoteReference"/>
          <w:rFonts w:cstheme="minorHAnsi"/>
          <w:lang w:val="en-US"/>
        </w:rPr>
        <w:footnoteReference w:id="131"/>
      </w:r>
      <w:r w:rsidR="00E76E4C" w:rsidRPr="00CB2C31">
        <w:rPr>
          <w:lang w:val="en-US"/>
        </w:rPr>
        <w:t xml:space="preserve"> (the </w:t>
      </w:r>
      <w:r w:rsidR="00203E75" w:rsidRPr="00203E75">
        <w:rPr>
          <w:i/>
          <w:lang w:val="en-US"/>
        </w:rPr>
        <w:t>“</w:t>
      </w:r>
      <w:r w:rsidR="00E76E4C" w:rsidRPr="00CB2C31">
        <w:rPr>
          <w:b/>
          <w:lang w:val="en-US"/>
        </w:rPr>
        <w:t>BCC</w:t>
      </w:r>
      <w:r w:rsidR="00203E75" w:rsidRPr="00203E75">
        <w:rPr>
          <w:i/>
          <w:lang w:val="en-US"/>
        </w:rPr>
        <w:t>”</w:t>
      </w:r>
      <w:r w:rsidR="00E76E4C" w:rsidRPr="00CB2C31">
        <w:rPr>
          <w:lang w:val="en-US"/>
        </w:rPr>
        <w:t xml:space="preserve">) will be fully replaced by a new Code on Companies and Associations (the </w:t>
      </w:r>
      <w:r w:rsidR="00203E75" w:rsidRPr="00203E75">
        <w:rPr>
          <w:i/>
          <w:lang w:val="en-US"/>
        </w:rPr>
        <w:t>“</w:t>
      </w:r>
      <w:r w:rsidR="00E76E4C" w:rsidRPr="00CB2C31">
        <w:rPr>
          <w:b/>
          <w:lang w:val="en-US"/>
        </w:rPr>
        <w:t>CCA</w:t>
      </w:r>
      <w:r w:rsidR="00203E75" w:rsidRPr="00203E75">
        <w:rPr>
          <w:i/>
          <w:lang w:val="en-US"/>
        </w:rPr>
        <w:t>”</w:t>
      </w:r>
      <w:r w:rsidR="00E76E4C" w:rsidRPr="00CB2C31">
        <w:rPr>
          <w:lang w:val="en-US"/>
        </w:rPr>
        <w:t>) from January 1, 2020, although it is already applicable to companies and associations newly formed on or after May 1, 2019.</w:t>
      </w:r>
      <w:r w:rsidR="00E76E4C" w:rsidRPr="00CB2C31">
        <w:rPr>
          <w:rStyle w:val="FootnoteReference"/>
          <w:rFonts w:cstheme="minorHAnsi"/>
          <w:lang w:val="en-US"/>
        </w:rPr>
        <w:footnoteReference w:id="132"/>
      </w:r>
      <w:r w:rsidR="00E76E4C" w:rsidRPr="00CB2C31">
        <w:rPr>
          <w:lang w:val="en-US"/>
        </w:rPr>
        <w:t xml:space="preserve"> </w:t>
      </w:r>
      <w:r w:rsidR="0009628A">
        <w:rPr>
          <w:lang w:val="en-US"/>
        </w:rPr>
        <w:t xml:space="preserve"> </w:t>
      </w:r>
      <w:r w:rsidR="00E76E4C" w:rsidRPr="00CB2C31">
        <w:rPr>
          <w:lang w:val="en-US"/>
        </w:rPr>
        <w:t xml:space="preserve">With regard to publicly listed companies only, the non-binding 2009 Belgian Code on Corporate Governance (the </w:t>
      </w:r>
      <w:r w:rsidR="00203E75" w:rsidRPr="00203E75">
        <w:rPr>
          <w:i/>
          <w:lang w:val="en-US"/>
        </w:rPr>
        <w:t>“</w:t>
      </w:r>
      <w:r w:rsidR="00E76E4C" w:rsidRPr="00CB2C31">
        <w:rPr>
          <w:b/>
          <w:lang w:val="en-US"/>
        </w:rPr>
        <w:t>2009 BCG Code</w:t>
      </w:r>
      <w:r w:rsidR="00203E75" w:rsidRPr="00203E75">
        <w:rPr>
          <w:i/>
          <w:lang w:val="en-US"/>
        </w:rPr>
        <w:t>”</w:t>
      </w:r>
      <w:r w:rsidR="00E76E4C" w:rsidRPr="00CB2C31">
        <w:rPr>
          <w:lang w:val="en-US"/>
        </w:rPr>
        <w:t>),</w:t>
      </w:r>
      <w:r w:rsidR="00E76E4C" w:rsidRPr="00CB2C31">
        <w:rPr>
          <w:rStyle w:val="FootnoteReference"/>
          <w:rFonts w:cstheme="minorHAnsi"/>
          <w:lang w:val="en-US"/>
        </w:rPr>
        <w:footnoteReference w:id="133"/>
      </w:r>
      <w:r w:rsidR="00E76E4C" w:rsidRPr="00CB2C31">
        <w:rPr>
          <w:lang w:val="en-US"/>
        </w:rPr>
        <w:t xml:space="preserve"> is to be fully replaced, with effect from January 1, 2020, by the 2020 Belgian Code on Corporate Governance (the </w:t>
      </w:r>
      <w:r w:rsidR="00203E75" w:rsidRPr="00203E75">
        <w:rPr>
          <w:i/>
          <w:lang w:val="en-US"/>
        </w:rPr>
        <w:t>“</w:t>
      </w:r>
      <w:r w:rsidR="00E76E4C" w:rsidRPr="00CB2C31">
        <w:rPr>
          <w:b/>
          <w:lang w:val="en-US"/>
        </w:rPr>
        <w:t>2020 BCG Code</w:t>
      </w:r>
      <w:r w:rsidR="00203E75" w:rsidRPr="00203E75">
        <w:rPr>
          <w:i/>
          <w:lang w:val="en-US"/>
        </w:rPr>
        <w:t>”</w:t>
      </w:r>
      <w:r w:rsidR="00E76E4C" w:rsidRPr="00CB2C31">
        <w:rPr>
          <w:lang w:val="en-US"/>
        </w:rPr>
        <w:t>).</w:t>
      </w:r>
      <w:r w:rsidR="00E76E4C" w:rsidRPr="00CB2C31">
        <w:rPr>
          <w:rStyle w:val="FootnoteReference"/>
          <w:rFonts w:cstheme="minorHAnsi"/>
          <w:lang w:val="en-US"/>
        </w:rPr>
        <w:footnoteReference w:id="134"/>
      </w:r>
      <w:r w:rsidR="00E76E4C" w:rsidRPr="00CB2C31">
        <w:rPr>
          <w:lang w:val="en-US"/>
        </w:rPr>
        <w:t xml:space="preserve"> </w:t>
      </w:r>
      <w:r w:rsidR="0009628A">
        <w:rPr>
          <w:lang w:val="en-US"/>
        </w:rPr>
        <w:t xml:space="preserve"> </w:t>
      </w:r>
      <w:r w:rsidR="00E76E4C" w:rsidRPr="00CB2C31">
        <w:rPr>
          <w:lang w:val="en-US"/>
        </w:rPr>
        <w:t>Although not yet in effect, companies may already choose to apply the 2020 BCG Code for reporting years beginning on</w:t>
      </w:r>
      <w:r w:rsidR="00E97FF3" w:rsidRPr="00CB2C31">
        <w:rPr>
          <w:lang w:val="en-US"/>
        </w:rPr>
        <w:t xml:space="preserve"> or after January 1, 2019</w:t>
      </w:r>
      <w:r w:rsidR="00F42D6A" w:rsidRPr="00CB2C31">
        <w:rPr>
          <w:lang w:val="en-US"/>
        </w:rPr>
        <w:t xml:space="preserve">.  </w:t>
      </w:r>
      <w:r w:rsidR="00E97FF3" w:rsidRPr="00CB2C31">
        <w:rPr>
          <w:lang w:val="en-US"/>
        </w:rPr>
        <w:t xml:space="preserve">The </w:t>
      </w:r>
      <w:r w:rsidR="00E76E4C" w:rsidRPr="00CB2C31">
        <w:rPr>
          <w:lang w:val="en-US"/>
        </w:rPr>
        <w:t>CC</w:t>
      </w:r>
      <w:r w:rsidR="00E97FF3" w:rsidRPr="00CB2C31">
        <w:rPr>
          <w:lang w:val="en-US"/>
        </w:rPr>
        <w:t>A</w:t>
      </w:r>
      <w:r w:rsidR="00E76E4C" w:rsidRPr="00CB2C31">
        <w:rPr>
          <w:lang w:val="en-US"/>
        </w:rPr>
        <w:t xml:space="preserve"> has also introduced the possibility of SA</w:t>
      </w:r>
      <w:r w:rsidR="00C90DB6">
        <w:rPr>
          <w:lang w:val="en-US"/>
        </w:rPr>
        <w:t>s</w:t>
      </w:r>
      <w:r w:rsidR="00E76E4C" w:rsidRPr="00CB2C31">
        <w:rPr>
          <w:lang w:val="en-US"/>
        </w:rPr>
        <w:t xml:space="preserve"> adopting either a one-tier board of directors model (</w:t>
      </w:r>
      <w:r w:rsidR="00E76E4C" w:rsidRPr="00907C35">
        <w:rPr>
          <w:i/>
        </w:rPr>
        <w:t>conseil d</w:t>
      </w:r>
      <w:r w:rsidR="00593F1F">
        <w:rPr>
          <w:i/>
        </w:rPr>
        <w:t>’</w:t>
      </w:r>
      <w:r w:rsidR="00E76E4C" w:rsidRPr="00907C35">
        <w:rPr>
          <w:i/>
        </w:rPr>
        <w:t>administration</w:t>
      </w:r>
      <w:r w:rsidR="00E76E4C" w:rsidRPr="00CB2C31">
        <w:rPr>
          <w:lang w:val="en-US"/>
        </w:rPr>
        <w:t>)</w:t>
      </w:r>
      <w:r w:rsidR="00E76E4C" w:rsidRPr="00CB2C31">
        <w:rPr>
          <w:rStyle w:val="FootnoteReference"/>
          <w:lang w:val="en-US"/>
        </w:rPr>
        <w:footnoteReference w:id="135"/>
      </w:r>
      <w:r w:rsidR="00E76E4C" w:rsidRPr="00CB2C31">
        <w:rPr>
          <w:lang w:val="en-US"/>
        </w:rPr>
        <w:t xml:space="preserve"> or a two-tier management and supervisory board model (</w:t>
      </w:r>
      <w:r w:rsidR="00E76E4C" w:rsidRPr="00907C35">
        <w:rPr>
          <w:i/>
        </w:rPr>
        <w:t>conseil de direction</w:t>
      </w:r>
      <w:r w:rsidR="00E76E4C" w:rsidRPr="00907C35">
        <w:t xml:space="preserve"> and </w:t>
      </w:r>
      <w:r w:rsidR="00E76E4C" w:rsidRPr="00907C35">
        <w:rPr>
          <w:i/>
        </w:rPr>
        <w:t>conseil de surveillance</w:t>
      </w:r>
      <w:r w:rsidR="00E76E4C" w:rsidRPr="00CB2C31">
        <w:rPr>
          <w:lang w:val="en-US"/>
        </w:rPr>
        <w:t>).</w:t>
      </w:r>
      <w:r w:rsidR="00E76E4C" w:rsidRPr="00CB2C31">
        <w:rPr>
          <w:rStyle w:val="FootnoteReference"/>
          <w:rFonts w:cstheme="minorHAnsi"/>
          <w:lang w:val="en-US"/>
        </w:rPr>
        <w:footnoteReference w:id="136"/>
      </w:r>
      <w:r w:rsidR="0009628A">
        <w:rPr>
          <w:lang w:val="en-US"/>
        </w:rPr>
        <w:t xml:space="preserve">  </w:t>
      </w:r>
      <w:r w:rsidR="00FA4B87" w:rsidRPr="00CB2C31">
        <w:rPr>
          <w:lang w:val="en-US"/>
        </w:rPr>
        <w:t xml:space="preserve">The minimum number of </w:t>
      </w:r>
      <w:r w:rsidR="00FA4B87" w:rsidRPr="00CB2C31">
        <w:rPr>
          <w:lang w:val="en-US" w:eastAsia="en-GB"/>
        </w:rPr>
        <w:t>members</w:t>
      </w:r>
      <w:r w:rsidR="00FA4B87" w:rsidRPr="00CB2C31">
        <w:rPr>
          <w:lang w:val="en-US"/>
        </w:rPr>
        <w:t xml:space="preserve"> on the board of directors of an SA with less than three shareholders is two directors, and of an SA with three or more shareholders, three directors;</w:t>
      </w:r>
      <w:r w:rsidR="00FA4B87" w:rsidRPr="00CB2C31">
        <w:rPr>
          <w:rStyle w:val="FootnoteReference"/>
          <w:rFonts w:cstheme="minorHAnsi"/>
          <w:lang w:val="en-US"/>
        </w:rPr>
        <w:footnoteReference w:id="137"/>
      </w:r>
      <w:r w:rsidR="00FA4B87" w:rsidRPr="00CB2C31">
        <w:rPr>
          <w:lang w:val="en-US"/>
        </w:rPr>
        <w:t xml:space="preserve"> </w:t>
      </w:r>
      <w:r w:rsidR="005E5FA8" w:rsidRPr="00CB2C31">
        <w:rPr>
          <w:lang w:val="en-US"/>
        </w:rPr>
        <w:t xml:space="preserve">and </w:t>
      </w:r>
      <w:r w:rsidR="00FA4B87" w:rsidRPr="00CB2C31">
        <w:rPr>
          <w:lang w:val="en-US"/>
        </w:rPr>
        <w:t>on the management or supervisory board, three members.</w:t>
      </w:r>
      <w:r w:rsidR="00FA4B87" w:rsidRPr="00CB2C31">
        <w:rPr>
          <w:rStyle w:val="FootnoteReference"/>
          <w:rFonts w:cstheme="minorHAnsi"/>
          <w:lang w:val="en-US"/>
        </w:rPr>
        <w:footnoteReference w:id="138"/>
      </w:r>
      <w:r w:rsidR="009A19EF" w:rsidRPr="00CB2C31">
        <w:rPr>
          <w:lang w:val="en-US"/>
        </w:rPr>
        <w:t xml:space="preserve"> </w:t>
      </w:r>
      <w:r w:rsidR="0009628A">
        <w:rPr>
          <w:lang w:val="en-US"/>
        </w:rPr>
        <w:t xml:space="preserve"> </w:t>
      </w:r>
      <w:r w:rsidR="00E663DC" w:rsidRPr="00CB2C31">
        <w:rPr>
          <w:lang w:val="en-US"/>
        </w:rPr>
        <w:t xml:space="preserve">The </w:t>
      </w:r>
      <w:r w:rsidR="00FA4B87" w:rsidRPr="00CB2C31">
        <w:rPr>
          <w:lang w:val="en-US"/>
        </w:rPr>
        <w:t>CC</w:t>
      </w:r>
      <w:r w:rsidR="00E663DC" w:rsidRPr="00CB2C31">
        <w:rPr>
          <w:lang w:val="en-US"/>
        </w:rPr>
        <w:t>A</w:t>
      </w:r>
      <w:r w:rsidR="00FA4B87" w:rsidRPr="00CB2C31">
        <w:rPr>
          <w:lang w:val="en-US"/>
        </w:rPr>
        <w:t xml:space="preserve"> now</w:t>
      </w:r>
      <w:r w:rsidR="00F770C9">
        <w:rPr>
          <w:lang w:val="en-US"/>
        </w:rPr>
        <w:t xml:space="preserve"> also</w:t>
      </w:r>
      <w:r w:rsidR="00FA4B87" w:rsidRPr="00CB2C31">
        <w:rPr>
          <w:lang w:val="en-US"/>
        </w:rPr>
        <w:t xml:space="preserve"> makes it possible to have one single individual director, provided that, in respect of listed companies or entities required to have a collegial board, that sole director is an SA with a collegial board.</w:t>
      </w:r>
      <w:r w:rsidR="00FA4B87" w:rsidRPr="00CB2C31">
        <w:rPr>
          <w:rStyle w:val="FootnoteReference"/>
          <w:rFonts w:cstheme="minorHAnsi"/>
          <w:lang w:val="en-US"/>
        </w:rPr>
        <w:footnoteReference w:id="139"/>
      </w:r>
      <w:r w:rsidR="0009628A">
        <w:rPr>
          <w:lang w:val="en-US"/>
        </w:rPr>
        <w:t xml:space="preserve"> </w:t>
      </w:r>
      <w:r w:rsidR="009A19EF" w:rsidRPr="00CB2C31">
        <w:rPr>
          <w:lang w:val="en-US"/>
        </w:rPr>
        <w:t xml:space="preserve"> </w:t>
      </w:r>
      <w:r w:rsidR="00FA4B87" w:rsidRPr="00CB2C31">
        <w:rPr>
          <w:lang w:val="en-US"/>
        </w:rPr>
        <w:t>However, there is no maximum and there are no restrictions on the appointment of directors based on residency or nationality, such that all directors of a Belgian company can be non-Belgian citizens.</w:t>
      </w:r>
    </w:p>
    <w:p w14:paraId="7DC18B77" w14:textId="77777777" w:rsidR="00E76E4C" w:rsidRPr="00CB2C31" w:rsidRDefault="00E76E4C" w:rsidP="00623C41">
      <w:pPr>
        <w:pStyle w:val="DoublePara"/>
        <w:rPr>
          <w:lang w:val="en-US"/>
        </w:rPr>
      </w:pPr>
      <w:r w:rsidRPr="00CB2C31">
        <w:rPr>
          <w:lang w:val="en-US"/>
        </w:rPr>
        <w:t>Members of the board of directors or the supervisory board of SAs are to be appointed, and can be removed at any time for any reason, by an ordinary resolution of the shareholders,</w:t>
      </w:r>
      <w:r w:rsidRPr="00CB2C31">
        <w:rPr>
          <w:rStyle w:val="FootnoteReference"/>
          <w:rFonts w:cstheme="minorHAnsi"/>
          <w:lang w:val="en-US"/>
        </w:rPr>
        <w:footnoteReference w:id="140"/>
      </w:r>
      <w:r w:rsidRPr="00CB2C31">
        <w:rPr>
          <w:lang w:val="en-US"/>
        </w:rPr>
        <w:t xml:space="preserve"> with the 2009 BCG Code recommending that the appointment process be led by a non-executive director or the chairperson of the board and the 2020 BCG Code recommending coordination between the chairperson of the board and a nomination committee comprised of a majority of independent non-executive board members.</w:t>
      </w:r>
      <w:r w:rsidRPr="00CB2C31">
        <w:rPr>
          <w:rStyle w:val="FootnoteReference"/>
          <w:rFonts w:cstheme="minorHAnsi"/>
          <w:lang w:val="en-US"/>
        </w:rPr>
        <w:footnoteReference w:id="141"/>
      </w:r>
      <w:r w:rsidRPr="00CB2C31">
        <w:rPr>
          <w:lang w:val="en-US"/>
        </w:rPr>
        <w:t xml:space="preserve"> </w:t>
      </w:r>
      <w:r w:rsidR="0009628A">
        <w:rPr>
          <w:lang w:val="en-US"/>
        </w:rPr>
        <w:t xml:space="preserve"> </w:t>
      </w:r>
      <w:r w:rsidRPr="00CB2C31">
        <w:rPr>
          <w:lang w:val="en-US"/>
        </w:rPr>
        <w:t xml:space="preserve">Any appointment </w:t>
      </w:r>
      <w:r w:rsidR="00F770C9">
        <w:rPr>
          <w:lang w:val="en-US"/>
        </w:rPr>
        <w:t>or</w:t>
      </w:r>
      <w:r w:rsidR="00F770C9" w:rsidRPr="00CB2C31">
        <w:rPr>
          <w:lang w:val="en-US"/>
        </w:rPr>
        <w:t xml:space="preserve"> </w:t>
      </w:r>
      <w:r w:rsidRPr="00CB2C31">
        <w:rPr>
          <w:lang w:val="en-US"/>
        </w:rPr>
        <w:t>removal of a director must be published in the annexes to the Belgian State Gazette</w:t>
      </w:r>
      <w:r w:rsidR="00F42D6A" w:rsidRPr="00CB2C31">
        <w:rPr>
          <w:lang w:val="en-US"/>
        </w:rPr>
        <w:t xml:space="preserve">.  </w:t>
      </w:r>
      <w:r w:rsidRPr="00CB2C31">
        <w:rPr>
          <w:lang w:val="en-US"/>
        </w:rPr>
        <w:t>The law provides for a maximum term in office of six years, renewable, for members of the board of directors or supervisory board</w:t>
      </w:r>
      <w:r w:rsidR="00F770C9">
        <w:rPr>
          <w:lang w:val="en-US"/>
        </w:rPr>
        <w:t>,</w:t>
      </w:r>
      <w:r w:rsidRPr="00CB2C31">
        <w:rPr>
          <w:lang w:val="en-US"/>
        </w:rPr>
        <w:t xml:space="preserve"> but the articles of association may provide for a shorter term.</w:t>
      </w:r>
      <w:r w:rsidRPr="00CB2C31">
        <w:rPr>
          <w:rStyle w:val="FootnoteReference"/>
          <w:rFonts w:cstheme="minorHAnsi"/>
          <w:lang w:val="en-US"/>
        </w:rPr>
        <w:footnoteReference w:id="142"/>
      </w:r>
      <w:r w:rsidR="0009628A">
        <w:rPr>
          <w:lang w:val="en-US"/>
        </w:rPr>
        <w:t xml:space="preserve"> </w:t>
      </w:r>
      <w:r w:rsidRPr="00CB2C31">
        <w:rPr>
          <w:lang w:val="en-US"/>
        </w:rPr>
        <w:t xml:space="preserve"> In that respect, both the 2009 BCG Code and the 2020 BCG Code suggest a term of four years for directors on the board of publicly listed companies.</w:t>
      </w:r>
      <w:r w:rsidRPr="00CB2C31">
        <w:rPr>
          <w:rStyle w:val="FootnoteReference"/>
          <w:rFonts w:cstheme="minorHAnsi"/>
          <w:lang w:val="en-US"/>
        </w:rPr>
        <w:footnoteReference w:id="143"/>
      </w:r>
      <w:r w:rsidRPr="00CB2C31">
        <w:rPr>
          <w:lang w:val="en-US"/>
        </w:rPr>
        <w:t xml:space="preserve"> </w:t>
      </w:r>
      <w:r w:rsidR="0009628A">
        <w:rPr>
          <w:lang w:val="en-US"/>
        </w:rPr>
        <w:t xml:space="preserve"> </w:t>
      </w:r>
      <w:r w:rsidRPr="00CB2C31">
        <w:rPr>
          <w:lang w:val="en-US"/>
        </w:rPr>
        <w:t>Members of the management board are appointed and revoked by the supervisory board.</w:t>
      </w:r>
      <w:r w:rsidRPr="00CB2C31">
        <w:rPr>
          <w:rStyle w:val="FootnoteReference"/>
          <w:rFonts w:cstheme="minorHAnsi"/>
          <w:lang w:val="en-US"/>
        </w:rPr>
        <w:footnoteReference w:id="144"/>
      </w:r>
    </w:p>
    <w:p w14:paraId="05104274" w14:textId="77777777" w:rsidR="00E76E4C" w:rsidRPr="00CB2C31" w:rsidRDefault="00E76E4C" w:rsidP="00623C41">
      <w:pPr>
        <w:pStyle w:val="DoublePara"/>
        <w:rPr>
          <w:lang w:val="en-US"/>
        </w:rPr>
      </w:pPr>
      <w:r w:rsidRPr="00CB2C31">
        <w:rPr>
          <w:lang w:val="en-US"/>
        </w:rPr>
        <w:t xml:space="preserve">Separately, the 2009 BCG Code adopted the </w:t>
      </w:r>
      <w:r w:rsidR="00593F1F">
        <w:rPr>
          <w:lang w:val="en-US"/>
        </w:rPr>
        <w:t>‘</w:t>
      </w:r>
      <w:r w:rsidRPr="00CB2C31">
        <w:rPr>
          <w:lang w:val="en-US"/>
        </w:rPr>
        <w:t>comply or explain</w:t>
      </w:r>
      <w:r w:rsidR="00593F1F">
        <w:rPr>
          <w:lang w:val="en-US"/>
        </w:rPr>
        <w:t>’</w:t>
      </w:r>
      <w:r w:rsidRPr="00CB2C31">
        <w:rPr>
          <w:lang w:val="en-US"/>
        </w:rPr>
        <w:t xml:space="preserve"> approach, in the hope that transparency will </w:t>
      </w:r>
      <w:r w:rsidRPr="00CB2C31">
        <w:rPr>
          <w:lang w:val="en-US" w:eastAsia="en-GB"/>
        </w:rPr>
        <w:t>foster</w:t>
      </w:r>
      <w:r w:rsidRPr="00CB2C31">
        <w:rPr>
          <w:lang w:val="en-US"/>
        </w:rPr>
        <w:t xml:space="preserve"> ultimate compliance with what is viewed as best practice and that flexibility will enable companies to adapt the principles to ever changing business environments</w:t>
      </w:r>
      <w:r w:rsidR="00F42D6A" w:rsidRPr="00CB2C31">
        <w:rPr>
          <w:lang w:val="en-US"/>
        </w:rPr>
        <w:t xml:space="preserve">.  </w:t>
      </w:r>
      <w:r w:rsidRPr="00CB2C31">
        <w:rPr>
          <w:lang w:val="en-US"/>
        </w:rPr>
        <w:t xml:space="preserve">The 2020 BCG Code has retained the </w:t>
      </w:r>
      <w:r w:rsidR="00593F1F">
        <w:rPr>
          <w:lang w:val="en-US"/>
        </w:rPr>
        <w:t>‘</w:t>
      </w:r>
      <w:r w:rsidRPr="00CB2C31">
        <w:rPr>
          <w:lang w:val="en-US"/>
        </w:rPr>
        <w:t>comply or explain</w:t>
      </w:r>
      <w:r w:rsidR="00593F1F">
        <w:rPr>
          <w:lang w:val="en-US"/>
        </w:rPr>
        <w:t>’</w:t>
      </w:r>
      <w:r w:rsidRPr="00CB2C31">
        <w:rPr>
          <w:lang w:val="en-US"/>
        </w:rPr>
        <w:t xml:space="preserve"> approach, but </w:t>
      </w:r>
      <w:r w:rsidR="00AD33BD">
        <w:rPr>
          <w:lang w:val="en-US"/>
        </w:rPr>
        <w:t xml:space="preserve">a </w:t>
      </w:r>
      <w:r w:rsidRPr="00CB2C31">
        <w:rPr>
          <w:lang w:val="en-US"/>
        </w:rPr>
        <w:t>more detailed justification is now required for non-compliance: detailed description of the deviations, reasons for such deviations, time of expected compliance and explanation of how the measures taken instead of compliance with the Code nevertheless achieved the underlying objective of the 2020 BCG Code.</w:t>
      </w:r>
      <w:r w:rsidRPr="00CB2C31">
        <w:rPr>
          <w:rStyle w:val="FootnoteReference"/>
          <w:rFonts w:cstheme="minorHAnsi"/>
          <w:lang w:val="en-US"/>
        </w:rPr>
        <w:footnoteReference w:id="145"/>
      </w:r>
      <w:r w:rsidRPr="00CB2C31">
        <w:rPr>
          <w:lang w:val="en-US"/>
        </w:rPr>
        <w:t xml:space="preserve"> </w:t>
      </w:r>
      <w:r w:rsidR="0009628A">
        <w:rPr>
          <w:lang w:val="en-US"/>
        </w:rPr>
        <w:t xml:space="preserve"> </w:t>
      </w:r>
      <w:r w:rsidRPr="00CB2C31">
        <w:rPr>
          <w:lang w:val="en-US"/>
        </w:rPr>
        <w:t xml:space="preserve">The 2020 BCG requires that such reporting in the annual Corporate Governance Statement be approved both by the board and by </w:t>
      </w:r>
      <w:r w:rsidR="0003167E" w:rsidRPr="00CB2C31">
        <w:rPr>
          <w:lang w:val="en-US"/>
        </w:rPr>
        <w:t xml:space="preserve">the shareholders at </w:t>
      </w:r>
      <w:r w:rsidRPr="00CB2C31">
        <w:rPr>
          <w:lang w:val="en-US"/>
        </w:rPr>
        <w:t>the general shareholders</w:t>
      </w:r>
      <w:r w:rsidR="00593F1F">
        <w:rPr>
          <w:lang w:val="en-US"/>
        </w:rPr>
        <w:t>’</w:t>
      </w:r>
      <w:r w:rsidRPr="00CB2C31">
        <w:rPr>
          <w:lang w:val="en-US"/>
        </w:rPr>
        <w:t xml:space="preserve"> meeting.</w:t>
      </w:r>
    </w:p>
    <w:p w14:paraId="5BD2171C" w14:textId="4502CEC6" w:rsidR="00FA4B87" w:rsidRPr="00CB2C31" w:rsidRDefault="00FA4B87" w:rsidP="00623C41">
      <w:pPr>
        <w:pStyle w:val="DoublePara"/>
        <w:rPr>
          <w:lang w:val="en-US"/>
        </w:rPr>
      </w:pPr>
      <w:r w:rsidRPr="00CB2C31">
        <w:rPr>
          <w:lang w:val="en-US"/>
        </w:rPr>
        <w:t>Building on the 2009 BCG Code, the 2020 BCG Code provide</w:t>
      </w:r>
      <w:r w:rsidR="00CA0DC4" w:rsidRPr="00CB2C31">
        <w:rPr>
          <w:lang w:val="en-US"/>
        </w:rPr>
        <w:t>s</w:t>
      </w:r>
      <w:r w:rsidRPr="00CB2C31">
        <w:rPr>
          <w:lang w:val="en-US"/>
        </w:rPr>
        <w:t xml:space="preserve"> that, in a one-tier board model, the board be composed of at least half non-executive directors, three of </w:t>
      </w:r>
      <w:r w:rsidR="00CA0DC4" w:rsidRPr="00CB2C31">
        <w:rPr>
          <w:lang w:val="en-US"/>
        </w:rPr>
        <w:t>whom are</w:t>
      </w:r>
      <w:r w:rsidRPr="00CB2C31">
        <w:rPr>
          <w:lang w:val="en-US"/>
        </w:rPr>
        <w:t xml:space="preserve"> truly independent,</w:t>
      </w:r>
      <w:r w:rsidRPr="00CB2C31">
        <w:rPr>
          <w:rStyle w:val="FootnoteReference"/>
          <w:rFonts w:cstheme="minorHAnsi"/>
          <w:lang w:val="en-US"/>
        </w:rPr>
        <w:footnoteReference w:id="146"/>
      </w:r>
      <w:r w:rsidRPr="00CB2C31">
        <w:rPr>
          <w:lang w:val="en-US"/>
        </w:rPr>
        <w:t xml:space="preserve"> and that the </w:t>
      </w:r>
      <w:r w:rsidR="00CE47FA" w:rsidRPr="00CB2C31">
        <w:rPr>
          <w:lang w:val="en-US"/>
        </w:rPr>
        <w:t>chairperson</w:t>
      </w:r>
      <w:r w:rsidRPr="00CB2C31">
        <w:rPr>
          <w:lang w:val="en-US"/>
        </w:rPr>
        <w:t xml:space="preserve"> of the board not be the same</w:t>
      </w:r>
      <w:r w:rsidR="0003167E" w:rsidRPr="00CB2C31">
        <w:rPr>
          <w:lang w:val="en-US"/>
        </w:rPr>
        <w:t xml:space="preserve"> individual </w:t>
      </w:r>
      <w:r w:rsidRPr="00CB2C31">
        <w:rPr>
          <w:lang w:val="en-US"/>
        </w:rPr>
        <w:t>as the chief executive officer.</w:t>
      </w:r>
      <w:r w:rsidRPr="00CB2C31">
        <w:rPr>
          <w:rStyle w:val="FootnoteReference"/>
          <w:rFonts w:cstheme="minorHAnsi"/>
          <w:lang w:val="en-US"/>
        </w:rPr>
        <w:footnoteReference w:id="147"/>
      </w:r>
      <w:r w:rsidR="0009628A">
        <w:rPr>
          <w:lang w:val="en-US"/>
        </w:rPr>
        <w:t xml:space="preserve"> </w:t>
      </w:r>
      <w:r w:rsidR="009A19EF" w:rsidRPr="00CB2C31">
        <w:rPr>
          <w:lang w:val="en-US"/>
        </w:rPr>
        <w:t xml:space="preserve"> </w:t>
      </w:r>
      <w:r w:rsidRPr="00CB2C31">
        <w:rPr>
          <w:lang w:val="en-US"/>
        </w:rPr>
        <w:t>Beyond the adoption of a clear governance structure,</w:t>
      </w:r>
      <w:r w:rsidRPr="00CB2C31">
        <w:rPr>
          <w:rStyle w:val="FootnoteReference"/>
          <w:rFonts w:cstheme="minorHAnsi"/>
          <w:lang w:val="en-US"/>
        </w:rPr>
        <w:footnoteReference w:id="148"/>
      </w:r>
      <w:r w:rsidRPr="00CB2C31">
        <w:rPr>
          <w:lang w:val="en-US"/>
        </w:rPr>
        <w:t xml:space="preserve"> both the 2009 BCG Code and the 2020 BCG Code recommend that emphasis be put on corporate social responsibility, ethical </w:t>
      </w:r>
      <w:r w:rsidR="00236E78" w:rsidRPr="00CB2C31">
        <w:rPr>
          <w:lang w:val="en-US"/>
        </w:rPr>
        <w:t>behavior</w:t>
      </w:r>
      <w:r w:rsidRPr="00CB2C31">
        <w:rPr>
          <w:lang w:val="en-US"/>
        </w:rPr>
        <w:t>, sustainable value creation and diversity of skills, background, age and gender, in putting in place policies and/or in relation to the board composition.</w:t>
      </w:r>
      <w:r w:rsidRPr="00CB2C31">
        <w:rPr>
          <w:rStyle w:val="FootnoteReference"/>
          <w:rFonts w:cstheme="minorHAnsi"/>
          <w:lang w:val="en-US"/>
        </w:rPr>
        <w:footnoteReference w:id="149"/>
      </w:r>
      <w:r w:rsidR="009A19EF" w:rsidRPr="00CB2C31">
        <w:rPr>
          <w:lang w:val="en-US"/>
        </w:rPr>
        <w:t xml:space="preserve"> </w:t>
      </w:r>
      <w:r w:rsidR="00CB2C31">
        <w:rPr>
          <w:lang w:val="en-US"/>
        </w:rPr>
        <w:t xml:space="preserve"> </w:t>
      </w:r>
      <w:r w:rsidRPr="00CB2C31">
        <w:rPr>
          <w:lang w:val="en-US"/>
        </w:rPr>
        <w:t>The recommendation that non-executive directors consider not taking on more than five directorships should help ensure that more women are appointed to boards</w:t>
      </w:r>
      <w:r w:rsidR="00E76E4C" w:rsidRPr="00CB2C31">
        <w:rPr>
          <w:lang w:val="en-US"/>
        </w:rPr>
        <w:t xml:space="preserve"> overall, as opposed to the same women being appointed to many boards</w:t>
      </w:r>
      <w:r w:rsidRPr="00CB2C31">
        <w:rPr>
          <w:lang w:val="en-US"/>
        </w:rPr>
        <w:t>.</w:t>
      </w:r>
      <w:r w:rsidRPr="00CB2C31">
        <w:rPr>
          <w:rStyle w:val="FootnoteReference"/>
          <w:rFonts w:cstheme="minorHAnsi"/>
          <w:lang w:val="en-US"/>
        </w:rPr>
        <w:footnoteReference w:id="150"/>
      </w:r>
      <w:r w:rsidR="009A19EF" w:rsidRPr="00CB2C31">
        <w:rPr>
          <w:lang w:val="en-US"/>
        </w:rPr>
        <w:t xml:space="preserve"> </w:t>
      </w:r>
      <w:r w:rsidR="0009628A">
        <w:rPr>
          <w:lang w:val="en-US"/>
        </w:rPr>
        <w:t xml:space="preserve"> </w:t>
      </w:r>
      <w:r w:rsidRPr="00CB2C31">
        <w:rPr>
          <w:lang w:val="en-US"/>
        </w:rPr>
        <w:t>The 2020 BCG Code al</w:t>
      </w:r>
      <w:r w:rsidR="0003167E" w:rsidRPr="00CB2C31">
        <w:rPr>
          <w:lang w:val="en-US"/>
        </w:rPr>
        <w:t>so recommends that the board</w:t>
      </w:r>
      <w:r w:rsidRPr="00CB2C31">
        <w:rPr>
          <w:lang w:val="en-US"/>
        </w:rPr>
        <w:t xml:space="preserve"> self-assess its performance at least every three years, including </w:t>
      </w:r>
      <w:r w:rsidR="000561B4">
        <w:rPr>
          <w:lang w:val="en-US"/>
        </w:rPr>
        <w:t>assessing</w:t>
      </w:r>
      <w:r w:rsidRPr="00CB2C31">
        <w:rPr>
          <w:lang w:val="en-US"/>
        </w:rPr>
        <w:t xml:space="preserve"> its compos</w:t>
      </w:r>
      <w:r w:rsidR="0003167E" w:rsidRPr="00CB2C31">
        <w:rPr>
          <w:lang w:val="en-US"/>
        </w:rPr>
        <w:t>ition and functioning, and take any identified necessary remedial measu</w:t>
      </w:r>
      <w:r w:rsidR="00A02B35" w:rsidRPr="00CB2C31">
        <w:rPr>
          <w:lang w:val="en-US"/>
        </w:rPr>
        <w:t>r</w:t>
      </w:r>
      <w:r w:rsidR="0003167E" w:rsidRPr="00CB2C31">
        <w:rPr>
          <w:lang w:val="en-US"/>
        </w:rPr>
        <w:t>es.</w:t>
      </w:r>
      <w:r w:rsidRPr="00CB2C31">
        <w:rPr>
          <w:rStyle w:val="FootnoteReference"/>
          <w:rFonts w:cstheme="minorHAnsi"/>
          <w:lang w:val="en-US"/>
        </w:rPr>
        <w:footnoteReference w:id="151"/>
      </w:r>
    </w:p>
    <w:p w14:paraId="25CD6524" w14:textId="665D3989" w:rsidR="00FA4B87" w:rsidRPr="00CB2C31" w:rsidRDefault="00FA4B87" w:rsidP="00623C41">
      <w:pPr>
        <w:pStyle w:val="DoublePara"/>
        <w:rPr>
          <w:lang w:val="en-US"/>
        </w:rPr>
      </w:pPr>
      <w:r w:rsidRPr="00CB2C31">
        <w:rPr>
          <w:lang w:val="en-US"/>
        </w:rPr>
        <w:t xml:space="preserve">With regards to gender specifically, </w:t>
      </w:r>
      <w:r w:rsidRPr="00CB2C31">
        <w:rPr>
          <w:lang w:val="en-US" w:eastAsia="en-GB"/>
        </w:rPr>
        <w:t>in</w:t>
      </w:r>
      <w:r w:rsidRPr="00CB2C31">
        <w:rPr>
          <w:lang w:val="en-US"/>
        </w:rPr>
        <w:t xml:space="preserve"> September 2011, Belgium adopted a law ensuring the presence of at least 33.33%</w:t>
      </w:r>
      <w:r w:rsidRPr="00CB2C31">
        <w:rPr>
          <w:rStyle w:val="FootnoteReference"/>
          <w:rFonts w:cstheme="minorHAnsi"/>
          <w:lang w:val="en-US"/>
        </w:rPr>
        <w:footnoteReference w:id="152"/>
      </w:r>
      <w:r w:rsidRPr="00CB2C31">
        <w:rPr>
          <w:lang w:val="en-US"/>
        </w:rPr>
        <w:t xml:space="preserve"> of women on the board of directors of Belgium</w:t>
      </w:r>
      <w:r w:rsidR="00593F1F">
        <w:rPr>
          <w:lang w:val="en-US"/>
        </w:rPr>
        <w:t>’</w:t>
      </w:r>
      <w:r w:rsidRPr="00CB2C31">
        <w:rPr>
          <w:lang w:val="en-US"/>
        </w:rPr>
        <w:t xml:space="preserve">s publicly listed companies and certain state-owned or state-controlled entities (the </w:t>
      </w:r>
      <w:r w:rsidR="00203E75" w:rsidRPr="00203E75">
        <w:rPr>
          <w:i/>
          <w:lang w:val="en-US"/>
        </w:rPr>
        <w:t>“</w:t>
      </w:r>
      <w:r w:rsidRPr="00CB2C31">
        <w:rPr>
          <w:b/>
          <w:lang w:val="en-US"/>
        </w:rPr>
        <w:t>Quota Law</w:t>
      </w:r>
      <w:r w:rsidR="00203E75" w:rsidRPr="00203E75">
        <w:rPr>
          <w:i/>
          <w:lang w:val="en-US"/>
        </w:rPr>
        <w:t>”</w:t>
      </w:r>
      <w:r w:rsidRPr="00CB2C31">
        <w:rPr>
          <w:lang w:val="en-US"/>
        </w:rPr>
        <w:t>).</w:t>
      </w:r>
      <w:r w:rsidRPr="00CB2C31">
        <w:rPr>
          <w:rStyle w:val="FootnoteReference"/>
          <w:rFonts w:cstheme="minorHAnsi"/>
          <w:lang w:val="en-US"/>
        </w:rPr>
        <w:footnoteReference w:id="153"/>
      </w:r>
      <w:r w:rsidRPr="00CB2C31">
        <w:rPr>
          <w:lang w:val="en-US"/>
        </w:rPr>
        <w:t xml:space="preserve"> </w:t>
      </w:r>
    </w:p>
    <w:p w14:paraId="53ADD2FE" w14:textId="77777777" w:rsidR="00FA4B87" w:rsidRPr="00CB2C31" w:rsidRDefault="00FA4B87" w:rsidP="00623C41">
      <w:pPr>
        <w:pStyle w:val="DoublePara"/>
        <w:rPr>
          <w:lang w:val="en-US"/>
        </w:rPr>
      </w:pPr>
      <w:r w:rsidRPr="00CB2C31">
        <w:rPr>
          <w:lang w:val="en-US"/>
        </w:rPr>
        <w:t xml:space="preserve">Although the Quota Law became </w:t>
      </w:r>
      <w:r w:rsidRPr="00CB2C31">
        <w:rPr>
          <w:lang w:val="en-US" w:eastAsia="en-GB"/>
        </w:rPr>
        <w:t>immediately</w:t>
      </w:r>
      <w:r w:rsidRPr="00CB2C31">
        <w:rPr>
          <w:lang w:val="en-US"/>
        </w:rPr>
        <w:t xml:space="preserve"> effective for state-owned and state-controlled entities on January 1, 2012, mandatory compliance was staggered for other companies:</w:t>
      </w:r>
    </w:p>
    <w:p w14:paraId="4E844DF6" w14:textId="77777777" w:rsidR="00FA4B87" w:rsidRPr="00CB2C31" w:rsidRDefault="00FA4B87" w:rsidP="00623C41">
      <w:pPr>
        <w:pStyle w:val="BulletPara"/>
        <w:jc w:val="both"/>
      </w:pPr>
      <w:r w:rsidRPr="00CB2C31">
        <w:t>by 2017, for companies listed on a regulated market; and</w:t>
      </w:r>
    </w:p>
    <w:p w14:paraId="44AFC197" w14:textId="2700CD1B" w:rsidR="00FA4B87" w:rsidRPr="00CB2C31" w:rsidRDefault="00FA4B87" w:rsidP="00623C41">
      <w:pPr>
        <w:pStyle w:val="BulletPara"/>
        <w:jc w:val="both"/>
      </w:pPr>
      <w:r w:rsidRPr="00CB2C31">
        <w:t>by 2019,</w:t>
      </w:r>
      <w:r w:rsidRPr="00CB2C31">
        <w:rPr>
          <w:rStyle w:val="FootnoteReference"/>
          <w:rFonts w:cstheme="minorHAnsi"/>
        </w:rPr>
        <w:footnoteReference w:id="154"/>
      </w:r>
      <w:r w:rsidRPr="00CB2C31">
        <w:t xml:space="preserve"> for listed companies </w:t>
      </w:r>
      <w:r w:rsidR="00224D37">
        <w:t>with a free float below 50% and</w:t>
      </w:r>
      <w:r w:rsidR="00224D37" w:rsidRPr="00224D37">
        <w:t xml:space="preserve"> </w:t>
      </w:r>
      <w:r w:rsidRPr="00224D37">
        <w:t>smaller listed companies</w:t>
      </w:r>
      <w:r w:rsidR="00224D37" w:rsidRPr="00224D37">
        <w:t>.</w:t>
      </w:r>
      <w:r w:rsidRPr="00CB2C31">
        <w:rPr>
          <w:rStyle w:val="FootnoteReference"/>
          <w:rFonts w:cstheme="minorHAnsi"/>
        </w:rPr>
        <w:footnoteReference w:id="155"/>
      </w:r>
      <w:r w:rsidRPr="00CB2C31">
        <w:t xml:space="preserve"> </w:t>
      </w:r>
    </w:p>
    <w:p w14:paraId="25A294ED" w14:textId="77777777" w:rsidR="00FA4B87" w:rsidRPr="00CB2C31" w:rsidRDefault="00FA4B87" w:rsidP="00623C41">
      <w:pPr>
        <w:pStyle w:val="DoublePara"/>
        <w:rPr>
          <w:lang w:val="en-US"/>
        </w:rPr>
      </w:pPr>
      <w:r w:rsidRPr="00CB2C31">
        <w:rPr>
          <w:lang w:val="en-US"/>
        </w:rPr>
        <w:t xml:space="preserve">From then on, any new board </w:t>
      </w:r>
      <w:r w:rsidRPr="00CB2C31">
        <w:rPr>
          <w:lang w:val="en-US" w:eastAsia="en-GB"/>
        </w:rPr>
        <w:t>appointment</w:t>
      </w:r>
      <w:r w:rsidRPr="00CB2C31">
        <w:rPr>
          <w:lang w:val="en-US"/>
        </w:rPr>
        <w:t xml:space="preserve"> </w:t>
      </w:r>
      <w:r w:rsidR="00E76E4C" w:rsidRPr="00CB2C31">
        <w:rPr>
          <w:lang w:val="en-US"/>
        </w:rPr>
        <w:t>for a non-compliant company</w:t>
      </w:r>
      <w:r w:rsidRPr="00CB2C31">
        <w:rPr>
          <w:lang w:val="en-US"/>
        </w:rPr>
        <w:t xml:space="preserve"> is required to be a woman, failing </w:t>
      </w:r>
      <w:r w:rsidR="00E76E4C" w:rsidRPr="00CB2C31">
        <w:rPr>
          <w:lang w:val="en-US"/>
        </w:rPr>
        <w:t xml:space="preserve">that, </w:t>
      </w:r>
      <w:r w:rsidRPr="00CB2C31">
        <w:rPr>
          <w:lang w:val="en-US"/>
        </w:rPr>
        <w:t xml:space="preserve">the appointment </w:t>
      </w:r>
      <w:r w:rsidR="00E76E4C" w:rsidRPr="00CB2C31">
        <w:rPr>
          <w:lang w:val="en-US"/>
        </w:rPr>
        <w:t xml:space="preserve">will be </w:t>
      </w:r>
      <w:r w:rsidRPr="00CB2C31">
        <w:rPr>
          <w:lang w:val="en-US"/>
        </w:rPr>
        <w:t xml:space="preserve">void, and the board </w:t>
      </w:r>
      <w:r w:rsidR="00E76E4C" w:rsidRPr="00CB2C31">
        <w:rPr>
          <w:lang w:val="en-US"/>
        </w:rPr>
        <w:t xml:space="preserve">will be </w:t>
      </w:r>
      <w:r w:rsidRPr="00CB2C31">
        <w:rPr>
          <w:lang w:val="en-US"/>
        </w:rPr>
        <w:t>required to take action to ensure compliance with the quota at the next general meeting of the shareholders</w:t>
      </w:r>
      <w:r w:rsidR="00F42D6A" w:rsidRPr="00CB2C31">
        <w:rPr>
          <w:lang w:val="en-US"/>
        </w:rPr>
        <w:t xml:space="preserve">.  </w:t>
      </w:r>
      <w:r w:rsidR="00E76E4C" w:rsidRPr="00CB2C31">
        <w:rPr>
          <w:lang w:val="en-US"/>
        </w:rPr>
        <w:t xml:space="preserve">In conclusion, for non-compliant companies, any </w:t>
      </w:r>
      <w:r w:rsidRPr="00CB2C31">
        <w:rPr>
          <w:lang w:val="en-US"/>
        </w:rPr>
        <w:t>appointment</w:t>
      </w:r>
      <w:r w:rsidR="00E76E4C" w:rsidRPr="00CB2C31">
        <w:rPr>
          <w:lang w:val="en-US"/>
        </w:rPr>
        <w:t>s to the board</w:t>
      </w:r>
      <w:r w:rsidRPr="00CB2C31">
        <w:rPr>
          <w:lang w:val="en-US"/>
        </w:rPr>
        <w:t xml:space="preserve"> that would cause the board to be non-compliant </w:t>
      </w:r>
      <w:r w:rsidR="00E76E4C" w:rsidRPr="00CB2C31">
        <w:rPr>
          <w:lang w:val="en-US"/>
        </w:rPr>
        <w:t xml:space="preserve">shall be </w:t>
      </w:r>
      <w:r w:rsidRPr="00CB2C31">
        <w:rPr>
          <w:lang w:val="en-US"/>
        </w:rPr>
        <w:t>void.</w:t>
      </w:r>
    </w:p>
    <w:p w14:paraId="6937FE1E" w14:textId="77777777" w:rsidR="00AC0949" w:rsidRPr="00CB2C31" w:rsidRDefault="00FA4B87" w:rsidP="00623C41">
      <w:pPr>
        <w:pStyle w:val="DoublePara"/>
        <w:rPr>
          <w:lang w:val="en-US"/>
        </w:rPr>
      </w:pPr>
      <w:r w:rsidRPr="00CB2C31">
        <w:rPr>
          <w:lang w:val="en-US"/>
        </w:rPr>
        <w:t xml:space="preserve">In addition, the Quota Law introduced </w:t>
      </w:r>
      <w:r w:rsidR="00E76E4C" w:rsidRPr="00CB2C31">
        <w:rPr>
          <w:lang w:val="en-US"/>
        </w:rPr>
        <w:t xml:space="preserve">penalties </w:t>
      </w:r>
      <w:r w:rsidRPr="00CB2C31">
        <w:rPr>
          <w:lang w:val="en-US"/>
        </w:rPr>
        <w:t xml:space="preserve">specific to publicly listed companies only by providing that, with effect </w:t>
      </w:r>
      <w:r w:rsidRPr="00CB2C31">
        <w:rPr>
          <w:lang w:val="en-US" w:eastAsia="en-GB"/>
        </w:rPr>
        <w:t>from</w:t>
      </w:r>
      <w:r w:rsidRPr="00CB2C31">
        <w:rPr>
          <w:lang w:val="en-US"/>
        </w:rPr>
        <w:t xml:space="preserve"> 2018</w:t>
      </w:r>
      <w:r w:rsidRPr="00CB2C31">
        <w:rPr>
          <w:rStyle w:val="FootnoteReference"/>
          <w:rFonts w:cstheme="minorHAnsi"/>
          <w:lang w:val="en-US"/>
        </w:rPr>
        <w:footnoteReference w:id="156"/>
      </w:r>
      <w:r w:rsidRPr="00CB2C31">
        <w:rPr>
          <w:lang w:val="en-US"/>
        </w:rPr>
        <w:t xml:space="preserve"> for larger listed companies and 2020</w:t>
      </w:r>
      <w:r w:rsidRPr="00CB2C31">
        <w:rPr>
          <w:rStyle w:val="FootnoteReference"/>
          <w:rFonts w:cstheme="minorHAnsi"/>
          <w:lang w:val="en-US"/>
        </w:rPr>
        <w:footnoteReference w:id="157"/>
      </w:r>
      <w:r w:rsidRPr="00CB2C31">
        <w:rPr>
          <w:lang w:val="en-US"/>
        </w:rPr>
        <w:t xml:space="preserve"> for minority free float and smaller listed companies, benefits (financial or otherwise) accruing to the directors in their capacity as such (such as attendance fees and similar rewards and benefits) are to be suspended for so long as the board quota is not met. </w:t>
      </w:r>
    </w:p>
    <w:p w14:paraId="241CC3AE" w14:textId="77777777" w:rsidR="00FA4B87" w:rsidRPr="00335D26" w:rsidRDefault="00FA4B87" w:rsidP="00623C41">
      <w:pPr>
        <w:pStyle w:val="LegalCombo4"/>
        <w:keepNext/>
        <w:rPr>
          <w:b/>
        </w:rPr>
      </w:pPr>
      <w:bookmarkStart w:id="209" w:name="_Toc15027247"/>
      <w:bookmarkStart w:id="210" w:name="_Toc15027638"/>
      <w:bookmarkStart w:id="211" w:name="_Toc15027916"/>
      <w:r w:rsidRPr="00335D26">
        <w:rPr>
          <w:b/>
        </w:rPr>
        <w:t>Conclusion and Best Practice Analysis</w:t>
      </w:r>
      <w:bookmarkEnd w:id="209"/>
      <w:bookmarkEnd w:id="210"/>
      <w:bookmarkEnd w:id="211"/>
      <w:r w:rsidR="007A4AC7" w:rsidRPr="00335D26">
        <w:rPr>
          <w:b/>
        </w:rPr>
        <w:t>:</w:t>
      </w:r>
      <w:r w:rsidR="00593F1F" w:rsidRPr="00335D26">
        <w:rPr>
          <w:b/>
        </w:rPr>
        <w:t xml:space="preserve"> </w:t>
      </w:r>
      <w:r w:rsidR="007A4AC7" w:rsidRPr="00335D26">
        <w:rPr>
          <w:b/>
        </w:rPr>
        <w:t>Belgium</w:t>
      </w:r>
    </w:p>
    <w:p w14:paraId="7E8BAA92" w14:textId="77777777" w:rsidR="004A0DBD" w:rsidRPr="00CB2C31" w:rsidRDefault="00FA4B87" w:rsidP="00623C41">
      <w:pPr>
        <w:pStyle w:val="DoublePara"/>
        <w:rPr>
          <w:lang w:val="en-US"/>
        </w:rPr>
      </w:pPr>
      <w:r w:rsidRPr="00CB2C31">
        <w:rPr>
          <w:lang w:val="en-US"/>
        </w:rPr>
        <w:t xml:space="preserve">The </w:t>
      </w:r>
      <w:r w:rsidRPr="00335D26">
        <w:rPr>
          <w:b/>
          <w:lang w:val="en-US"/>
        </w:rPr>
        <w:t>Quota Law</w:t>
      </w:r>
      <w:r w:rsidRPr="00CB2C31">
        <w:rPr>
          <w:lang w:val="en-US"/>
        </w:rPr>
        <w:t xml:space="preserve"> is one of the most </w:t>
      </w:r>
      <w:r w:rsidRPr="00CB2C31">
        <w:rPr>
          <w:lang w:val="en-US" w:eastAsia="en-GB"/>
        </w:rPr>
        <w:t>stringent</w:t>
      </w:r>
      <w:r w:rsidRPr="00CB2C31">
        <w:rPr>
          <w:lang w:val="en-US"/>
        </w:rPr>
        <w:t xml:space="preserve"> versions o</w:t>
      </w:r>
      <w:r w:rsidR="004A0DBD" w:rsidRPr="00CB2C31">
        <w:rPr>
          <w:lang w:val="en-US"/>
        </w:rPr>
        <w:t>f mandatory gender quota laws.</w:t>
      </w:r>
      <w:r w:rsidR="00F42D6A" w:rsidRPr="00CB2C31">
        <w:rPr>
          <w:lang w:val="en-US"/>
        </w:rPr>
        <w:t xml:space="preserve">  </w:t>
      </w:r>
      <w:r w:rsidR="004A0DBD" w:rsidRPr="00CB2C31">
        <w:rPr>
          <w:lang w:val="en-US"/>
        </w:rPr>
        <w:t>N</w:t>
      </w:r>
      <w:r w:rsidRPr="00CB2C31">
        <w:rPr>
          <w:lang w:val="en-US"/>
        </w:rPr>
        <w:t xml:space="preserve">ot only does it void appointments in breach of the quota, it also provides for financial </w:t>
      </w:r>
      <w:r w:rsidR="00E76E4C" w:rsidRPr="00CB2C31">
        <w:rPr>
          <w:lang w:val="en-US"/>
        </w:rPr>
        <w:t>penalties for</w:t>
      </w:r>
      <w:r w:rsidRPr="00CB2C31">
        <w:rPr>
          <w:lang w:val="en-US"/>
        </w:rPr>
        <w:t xml:space="preserve"> directors of publicly listed companies </w:t>
      </w:r>
      <w:r w:rsidR="00E76E4C" w:rsidRPr="00CB2C31">
        <w:rPr>
          <w:lang w:val="en-US"/>
        </w:rPr>
        <w:t xml:space="preserve">until they </w:t>
      </w:r>
      <w:r w:rsidRPr="00CB2C31">
        <w:rPr>
          <w:lang w:val="en-US"/>
        </w:rPr>
        <w:t>bring their board into compliance.</w:t>
      </w:r>
      <w:r w:rsidR="00CC2020" w:rsidRPr="00CB2C31">
        <w:rPr>
          <w:lang w:val="en-US"/>
        </w:rPr>
        <w:t xml:space="preserve"> </w:t>
      </w:r>
    </w:p>
    <w:p w14:paraId="4F1BA45D" w14:textId="77777777" w:rsidR="00FA4B87" w:rsidRPr="00CB2C31" w:rsidRDefault="00E76E4C" w:rsidP="00623C41">
      <w:pPr>
        <w:pStyle w:val="DoublePara"/>
        <w:rPr>
          <w:lang w:val="en-US"/>
        </w:rPr>
      </w:pPr>
      <w:r w:rsidRPr="00CB2C31">
        <w:rPr>
          <w:lang w:val="en-US"/>
        </w:rPr>
        <w:t>Under the Quota Law, the effectiveness of the policy is to be evaluated in 2023/2024.</w:t>
      </w:r>
      <w:r w:rsidRPr="00CB2C31">
        <w:rPr>
          <w:rStyle w:val="FootnoteReference"/>
          <w:rFonts w:cstheme="minorHAnsi"/>
          <w:lang w:val="en-US"/>
        </w:rPr>
        <w:footnoteReference w:id="158"/>
      </w:r>
      <w:r w:rsidR="004A0DBD" w:rsidRPr="00CB2C31">
        <w:rPr>
          <w:lang w:val="en-US"/>
        </w:rPr>
        <w:t xml:space="preserve"> </w:t>
      </w:r>
      <w:r w:rsidR="0009628A">
        <w:rPr>
          <w:lang w:val="en-US"/>
        </w:rPr>
        <w:t xml:space="preserve"> </w:t>
      </w:r>
      <w:r w:rsidRPr="00CB2C31">
        <w:rPr>
          <w:lang w:val="en-US"/>
        </w:rPr>
        <w:t>However, o</w:t>
      </w:r>
      <w:r w:rsidR="00FA4B87" w:rsidRPr="00CB2C31">
        <w:rPr>
          <w:lang w:val="en-US"/>
        </w:rPr>
        <w:t xml:space="preserve">n November 27, 2018, the Institute for Equality between Women and Men issued an assessment report reflecting the gender balance </w:t>
      </w:r>
      <w:r w:rsidRPr="00CB2C31">
        <w:rPr>
          <w:lang w:val="en-US"/>
        </w:rPr>
        <w:t xml:space="preserve">for </w:t>
      </w:r>
      <w:bookmarkStart w:id="212" w:name="_Ref16194242"/>
      <w:r w:rsidRPr="00CB2C31">
        <w:rPr>
          <w:lang w:val="en-US"/>
        </w:rPr>
        <w:t>the year 2017</w:t>
      </w:r>
      <w:r w:rsidR="00E97FF3" w:rsidRPr="00CB2C31">
        <w:rPr>
          <w:lang w:val="en-US"/>
        </w:rPr>
        <w:t>,</w:t>
      </w:r>
      <w:r w:rsidR="00FA4B87" w:rsidRPr="00CB2C31">
        <w:rPr>
          <w:rStyle w:val="FootnoteReference"/>
          <w:rFonts w:cstheme="minorHAnsi"/>
          <w:lang w:val="en-US"/>
        </w:rPr>
        <w:footnoteReference w:id="159"/>
      </w:r>
      <w:bookmarkEnd w:id="212"/>
      <w:r w:rsidR="009A19EF" w:rsidRPr="00CB2C31">
        <w:rPr>
          <w:lang w:val="en-US"/>
        </w:rPr>
        <w:t xml:space="preserve"> </w:t>
      </w:r>
      <w:r w:rsidRPr="00CB2C31">
        <w:rPr>
          <w:lang w:val="en-US"/>
        </w:rPr>
        <w:t xml:space="preserve">which showed that the </w:t>
      </w:r>
      <w:r w:rsidR="00FA4B87" w:rsidRPr="00CB2C31">
        <w:rPr>
          <w:lang w:val="en-US"/>
        </w:rPr>
        <w:t>number of women on corporate boards of companies subject to the Quota Law tripled compared to 2008, with women representing</w:t>
      </w:r>
      <w:r w:rsidR="00EB2AFD">
        <w:rPr>
          <w:lang w:val="en-US"/>
        </w:rPr>
        <w:t>,</w:t>
      </w:r>
      <w:r w:rsidR="00FA4B87" w:rsidRPr="00CB2C31">
        <w:rPr>
          <w:lang w:val="en-US"/>
        </w:rPr>
        <w:t xml:space="preserve"> on average</w:t>
      </w:r>
      <w:r w:rsidR="00EB2AFD">
        <w:rPr>
          <w:lang w:val="en-US"/>
        </w:rPr>
        <w:t>,</w:t>
      </w:r>
      <w:r w:rsidR="00FA4B87" w:rsidRPr="00CB2C31">
        <w:rPr>
          <w:lang w:val="en-US"/>
        </w:rPr>
        <w:t xml:space="preserve"> 26.8% of board members in 2017 (compared to 8.2% in 2008)</w:t>
      </w:r>
      <w:r w:rsidR="00F42D6A" w:rsidRPr="00CB2C31">
        <w:rPr>
          <w:lang w:val="en-US"/>
        </w:rPr>
        <w:t xml:space="preserve">.  </w:t>
      </w:r>
      <w:r w:rsidR="00FA4B87" w:rsidRPr="00CB2C31">
        <w:rPr>
          <w:lang w:val="en-US"/>
        </w:rPr>
        <w:t xml:space="preserve">The report also shows that progress has been most </w:t>
      </w:r>
      <w:r w:rsidR="00CA0DC4" w:rsidRPr="00CB2C31">
        <w:rPr>
          <w:lang w:val="en-US"/>
        </w:rPr>
        <w:t>significant</w:t>
      </w:r>
      <w:r w:rsidR="00FA4B87" w:rsidRPr="00CB2C31">
        <w:rPr>
          <w:lang w:val="en-US"/>
        </w:rPr>
        <w:t xml:space="preserve"> in the largest Belgian companies: in 2017 women represented 30.7% of board members of Belgium</w:t>
      </w:r>
      <w:r w:rsidR="00593F1F">
        <w:rPr>
          <w:lang w:val="en-US"/>
        </w:rPr>
        <w:t>’</w:t>
      </w:r>
      <w:r w:rsidR="00FA4B87" w:rsidRPr="00CB2C31">
        <w:rPr>
          <w:lang w:val="en-US"/>
        </w:rPr>
        <w:t xml:space="preserve">s largest publicly listed companies (top 20, </w:t>
      </w:r>
      <w:r w:rsidR="00FA4B87" w:rsidRPr="00CB2C31">
        <w:rPr>
          <w:i/>
          <w:lang w:val="en-US"/>
        </w:rPr>
        <w:t>Bel20 index</w:t>
      </w:r>
      <w:r w:rsidR="00FA4B87" w:rsidRPr="00CB2C31">
        <w:rPr>
          <w:lang w:val="en-US"/>
        </w:rPr>
        <w:t>), 29.2% of mid-size companies (</w:t>
      </w:r>
      <w:r w:rsidR="00FA4B87" w:rsidRPr="00CB2C31">
        <w:rPr>
          <w:i/>
          <w:lang w:val="en-US"/>
        </w:rPr>
        <w:t>BelMid index</w:t>
      </w:r>
      <w:r w:rsidR="00FA4B87" w:rsidRPr="00CB2C31">
        <w:rPr>
          <w:lang w:val="en-US"/>
        </w:rPr>
        <w:t>) and 26.7% of the smallest companies (</w:t>
      </w:r>
      <w:r w:rsidR="00FA4B87" w:rsidRPr="00CB2C31">
        <w:rPr>
          <w:i/>
          <w:lang w:val="en-US"/>
        </w:rPr>
        <w:t>BelSmall index</w:t>
      </w:r>
      <w:r w:rsidR="00FA4B87" w:rsidRPr="00CB2C31">
        <w:rPr>
          <w:lang w:val="en-US"/>
        </w:rPr>
        <w:t>).</w:t>
      </w:r>
      <w:r w:rsidR="00FA4B87" w:rsidRPr="00CB2C31">
        <w:rPr>
          <w:rStyle w:val="FootnoteReference"/>
          <w:rFonts w:cstheme="minorHAnsi"/>
          <w:lang w:val="en-US"/>
        </w:rPr>
        <w:footnoteReference w:id="160"/>
      </w:r>
      <w:r w:rsidR="009A19EF" w:rsidRPr="00CB2C31">
        <w:rPr>
          <w:lang w:val="en-US"/>
        </w:rPr>
        <w:t xml:space="preserve"> </w:t>
      </w:r>
      <w:r w:rsidR="0009628A">
        <w:rPr>
          <w:lang w:val="en-US"/>
        </w:rPr>
        <w:t xml:space="preserve"> </w:t>
      </w:r>
      <w:r w:rsidR="00FA4B87" w:rsidRPr="00CB2C31">
        <w:rPr>
          <w:lang w:val="en-US"/>
        </w:rPr>
        <w:t xml:space="preserve">This </w:t>
      </w:r>
      <w:r w:rsidR="000A09A8" w:rsidRPr="00CB2C31">
        <w:rPr>
          <w:lang w:val="en-US"/>
        </w:rPr>
        <w:t xml:space="preserve">may be </w:t>
      </w:r>
      <w:r w:rsidR="00CA0DC4" w:rsidRPr="00CB2C31">
        <w:rPr>
          <w:lang w:val="en-US"/>
        </w:rPr>
        <w:t>due</w:t>
      </w:r>
      <w:r w:rsidR="00FA4B87" w:rsidRPr="00CB2C31">
        <w:rPr>
          <w:lang w:val="en-US"/>
        </w:rPr>
        <w:t xml:space="preserve"> to the fact that the Quota Law was not applicable to smaller listed companies in 2017</w:t>
      </w:r>
      <w:r w:rsidR="00F42D6A" w:rsidRPr="00CB2C31">
        <w:rPr>
          <w:lang w:val="en-US"/>
        </w:rPr>
        <w:t xml:space="preserve">.  </w:t>
      </w:r>
      <w:r w:rsidR="00FA4B87" w:rsidRPr="00CB2C31">
        <w:rPr>
          <w:lang w:val="en-US"/>
        </w:rPr>
        <w:t xml:space="preserve">In addition, the larger the corporate board, </w:t>
      </w:r>
      <w:r w:rsidR="00E97FF3" w:rsidRPr="00CB2C31">
        <w:rPr>
          <w:lang w:val="en-US"/>
        </w:rPr>
        <w:t>the</w:t>
      </w:r>
      <w:r w:rsidR="000A09A8" w:rsidRPr="00CB2C31">
        <w:rPr>
          <w:lang w:val="en-US"/>
        </w:rPr>
        <w:t xml:space="preserve"> </w:t>
      </w:r>
      <w:r w:rsidR="00236E78" w:rsidRPr="00CB2C31">
        <w:rPr>
          <w:lang w:val="en-US"/>
        </w:rPr>
        <w:t>greater</w:t>
      </w:r>
      <w:r w:rsidR="000A09A8" w:rsidRPr="00CB2C31">
        <w:rPr>
          <w:lang w:val="en-US"/>
        </w:rPr>
        <w:t xml:space="preserve"> </w:t>
      </w:r>
      <w:r w:rsidR="00E97FF3" w:rsidRPr="00CB2C31">
        <w:rPr>
          <w:lang w:val="en-US"/>
        </w:rPr>
        <w:t xml:space="preserve">the </w:t>
      </w:r>
      <w:r w:rsidR="000A09A8" w:rsidRPr="00CB2C31">
        <w:rPr>
          <w:lang w:val="en-US"/>
        </w:rPr>
        <w:t xml:space="preserve">proportion of </w:t>
      </w:r>
      <w:r w:rsidR="00FA4B87" w:rsidRPr="00CB2C31">
        <w:rPr>
          <w:lang w:val="en-US"/>
        </w:rPr>
        <w:t>women represented on the board,</w:t>
      </w:r>
      <w:r w:rsidR="00FA4B87" w:rsidRPr="00CB2C31">
        <w:rPr>
          <w:rStyle w:val="FootnoteReference"/>
          <w:rFonts w:cstheme="minorHAnsi"/>
          <w:lang w:val="en-US"/>
        </w:rPr>
        <w:footnoteReference w:id="161"/>
      </w:r>
      <w:r w:rsidR="00FA4B87" w:rsidRPr="00CB2C31">
        <w:rPr>
          <w:lang w:val="en-US"/>
        </w:rPr>
        <w:t xml:space="preserve"> </w:t>
      </w:r>
      <w:r w:rsidR="00C90DB6">
        <w:rPr>
          <w:lang w:val="en-US"/>
        </w:rPr>
        <w:t xml:space="preserve">despite the total number of board seats remaining broadly stable over the period, which evidences </w:t>
      </w:r>
      <w:r w:rsidR="00FA4B87" w:rsidRPr="00CB2C31">
        <w:rPr>
          <w:lang w:val="en-US"/>
        </w:rPr>
        <w:t xml:space="preserve">that Belgian companies did not </w:t>
      </w:r>
      <w:r w:rsidR="00C44CE1">
        <w:rPr>
          <w:lang w:val="en-US"/>
        </w:rPr>
        <w:t xml:space="preserve">have to </w:t>
      </w:r>
      <w:r w:rsidR="00FA4B87" w:rsidRPr="00CB2C31">
        <w:rPr>
          <w:lang w:val="en-US"/>
        </w:rPr>
        <w:t>increase the size of their boards in order to comply with the Quota Law</w:t>
      </w:r>
      <w:r w:rsidR="00BD5FDB" w:rsidRPr="00CB2C31">
        <w:rPr>
          <w:lang w:val="en-US"/>
        </w:rPr>
        <w:t xml:space="preserve">. </w:t>
      </w:r>
    </w:p>
    <w:p w14:paraId="727D7167" w14:textId="77777777" w:rsidR="00C90DB6" w:rsidRDefault="00FA4B87" w:rsidP="00623C41">
      <w:pPr>
        <w:pStyle w:val="DoublePara"/>
        <w:rPr>
          <w:lang w:val="en-US"/>
        </w:rPr>
      </w:pPr>
      <w:r w:rsidRPr="00CB2C31">
        <w:rPr>
          <w:lang w:val="en-US"/>
        </w:rPr>
        <w:t xml:space="preserve">These findings show the direct positive effect of imposing a </w:t>
      </w:r>
      <w:r w:rsidRPr="00D900CE">
        <w:rPr>
          <w:b/>
          <w:lang w:val="en-US"/>
        </w:rPr>
        <w:t>mandatory quota</w:t>
      </w:r>
      <w:r w:rsidRPr="00CB2C31">
        <w:rPr>
          <w:lang w:val="en-US"/>
        </w:rPr>
        <w:t xml:space="preserve"> and, while a third (33%) of companies overall (and 31% of the largest publicly listed companies) were still non-compliant in 2017, it is important to note that 2017 is only the first year </w:t>
      </w:r>
      <w:r w:rsidR="000A09A8" w:rsidRPr="00CB2C31">
        <w:rPr>
          <w:lang w:val="en-US"/>
        </w:rPr>
        <w:t xml:space="preserve">that </w:t>
      </w:r>
      <w:r w:rsidR="00E97FF3" w:rsidRPr="00CB2C31">
        <w:rPr>
          <w:lang w:val="en-US"/>
        </w:rPr>
        <w:t>the Q</w:t>
      </w:r>
      <w:r w:rsidRPr="00CB2C31">
        <w:rPr>
          <w:lang w:val="en-US"/>
        </w:rPr>
        <w:t xml:space="preserve">uota </w:t>
      </w:r>
      <w:r w:rsidR="00E97FF3" w:rsidRPr="00CB2C31">
        <w:rPr>
          <w:lang w:val="en-US"/>
        </w:rPr>
        <w:t>L</w:t>
      </w:r>
      <w:r w:rsidRPr="00CB2C31">
        <w:rPr>
          <w:lang w:val="en-US"/>
        </w:rPr>
        <w:t>aw was fully applicable to the largest publicly listed companies and that no financial sanctions are applicable for non-compliance in the first year of enforcement</w:t>
      </w:r>
      <w:r w:rsidR="00F42D6A" w:rsidRPr="00CB2C31">
        <w:rPr>
          <w:lang w:val="en-US"/>
        </w:rPr>
        <w:t xml:space="preserve">.  </w:t>
      </w:r>
      <w:r w:rsidRPr="00CB2C31">
        <w:rPr>
          <w:lang w:val="en-US"/>
        </w:rPr>
        <w:t xml:space="preserve">In practice, much of the impact of the </w:t>
      </w:r>
      <w:r w:rsidR="00E97FF3" w:rsidRPr="00CB2C31">
        <w:rPr>
          <w:lang w:val="en-US"/>
        </w:rPr>
        <w:t>Q</w:t>
      </w:r>
      <w:r w:rsidRPr="00CB2C31">
        <w:rPr>
          <w:lang w:val="en-US"/>
        </w:rPr>
        <w:t xml:space="preserve">uota </w:t>
      </w:r>
      <w:r w:rsidR="00E97FF3" w:rsidRPr="00CB2C31">
        <w:rPr>
          <w:lang w:val="en-US"/>
        </w:rPr>
        <w:t>L</w:t>
      </w:r>
      <w:r w:rsidRPr="00CB2C31">
        <w:rPr>
          <w:lang w:val="en-US"/>
        </w:rPr>
        <w:t>aw will likely depend on wheth</w:t>
      </w:r>
      <w:r w:rsidR="004A0DBD" w:rsidRPr="00CB2C31">
        <w:rPr>
          <w:lang w:val="en-US"/>
        </w:rPr>
        <w:t>er and, if so, how rigorously,</w:t>
      </w:r>
      <w:r w:rsidRPr="00CB2C31">
        <w:rPr>
          <w:lang w:val="en-US"/>
        </w:rPr>
        <w:t xml:space="preserve"> financial sanctions will be applied to non-compliant publicly listed companies, when </w:t>
      </w:r>
      <w:r w:rsidR="000A09A8" w:rsidRPr="00CB2C31">
        <w:rPr>
          <w:lang w:val="en-US"/>
        </w:rPr>
        <w:t xml:space="preserve">these sanctions </w:t>
      </w:r>
      <w:r w:rsidRPr="00CB2C31">
        <w:rPr>
          <w:lang w:val="en-US"/>
        </w:rPr>
        <w:t>become applicable</w:t>
      </w:r>
      <w:r w:rsidR="00F42D6A" w:rsidRPr="00CB2C31">
        <w:rPr>
          <w:lang w:val="en-US"/>
        </w:rPr>
        <w:t xml:space="preserve">.  </w:t>
      </w:r>
      <w:r w:rsidRPr="00CB2C31">
        <w:rPr>
          <w:lang w:val="en-US"/>
        </w:rPr>
        <w:t xml:space="preserve">One caveat identified in the </w:t>
      </w:r>
      <w:r w:rsidRPr="00CB2C31">
        <w:rPr>
          <w:lang w:val="en-US" w:eastAsia="en-GB"/>
        </w:rPr>
        <w:t>report</w:t>
      </w:r>
      <w:r w:rsidR="004A0DBD" w:rsidRPr="00CB2C31">
        <w:rPr>
          <w:lang w:val="en-US"/>
        </w:rPr>
        <w:t xml:space="preserve"> is that the Quota Law does not address</w:t>
      </w:r>
      <w:r w:rsidRPr="00CB2C31">
        <w:rPr>
          <w:lang w:val="en-US"/>
        </w:rPr>
        <w:t xml:space="preserve"> seniority of t</w:t>
      </w:r>
      <w:r w:rsidR="000A09A8" w:rsidRPr="00CB2C31">
        <w:rPr>
          <w:lang w:val="en-US"/>
        </w:rPr>
        <w:t>he board position</w:t>
      </w:r>
      <w:r w:rsidR="004A0DBD" w:rsidRPr="00CB2C31">
        <w:rPr>
          <w:lang w:val="en-US"/>
        </w:rPr>
        <w:t>s held by women, which might explain why a</w:t>
      </w:r>
      <w:r w:rsidR="000A09A8" w:rsidRPr="00CB2C31">
        <w:rPr>
          <w:lang w:val="en-US"/>
        </w:rPr>
        <w:t xml:space="preserve">s </w:t>
      </w:r>
      <w:r w:rsidRPr="00CB2C31">
        <w:rPr>
          <w:lang w:val="en-US"/>
        </w:rPr>
        <w:t xml:space="preserve">a result, in 2017 only 4.3% of the companies assessed had a female </w:t>
      </w:r>
      <w:r w:rsidR="00CE47FA" w:rsidRPr="00CB2C31">
        <w:rPr>
          <w:lang w:val="en-US"/>
        </w:rPr>
        <w:t>chairperson</w:t>
      </w:r>
      <w:r w:rsidRPr="00CB2C31">
        <w:rPr>
          <w:lang w:val="en-US"/>
        </w:rPr>
        <w:t xml:space="preserve"> of the board</w:t>
      </w:r>
      <w:r w:rsidR="001877C9" w:rsidRPr="00CB2C31">
        <w:rPr>
          <w:lang w:val="en-US"/>
        </w:rPr>
        <w:t xml:space="preserve">.  </w:t>
      </w:r>
    </w:p>
    <w:p w14:paraId="517472A7" w14:textId="59476BB0" w:rsidR="00C27192" w:rsidRPr="00CB2C31" w:rsidRDefault="00FF59F6" w:rsidP="00623C41">
      <w:pPr>
        <w:pStyle w:val="DoublePara"/>
        <w:rPr>
          <w:lang w:val="en-US"/>
        </w:rPr>
      </w:pPr>
      <w:r>
        <w:rPr>
          <w:lang w:val="en-US"/>
        </w:rPr>
        <w:t>In 2009, a</w:t>
      </w:r>
      <w:r w:rsidRPr="00CB2C31">
        <w:rPr>
          <w:lang w:val="en-US"/>
        </w:rPr>
        <w:t xml:space="preserve">s </w:t>
      </w:r>
      <w:r w:rsidR="00C27192" w:rsidRPr="00CB2C31">
        <w:rPr>
          <w:lang w:val="en-US"/>
        </w:rPr>
        <w:t xml:space="preserve">the Quota Law </w:t>
      </w:r>
      <w:r w:rsidR="00C27192" w:rsidRPr="00CB2C31">
        <w:rPr>
          <w:lang w:val="en-US" w:eastAsia="en-GB"/>
        </w:rPr>
        <w:t>was</w:t>
      </w:r>
      <w:r w:rsidR="00C27192" w:rsidRPr="00CB2C31">
        <w:rPr>
          <w:lang w:val="en-US"/>
        </w:rPr>
        <w:t xml:space="preserve"> being developed, a group of Belgian women founded and launched </w:t>
      </w:r>
      <w:r w:rsidR="00203E75" w:rsidRPr="00203E75">
        <w:rPr>
          <w:i/>
          <w:lang w:val="en-US"/>
        </w:rPr>
        <w:t>“</w:t>
      </w:r>
      <w:r w:rsidR="00C27192" w:rsidRPr="00CB2C31">
        <w:rPr>
          <w:i/>
          <w:lang w:val="en-US"/>
        </w:rPr>
        <w:t>Women on Board</w:t>
      </w:r>
      <w:r w:rsidR="007276F8">
        <w:rPr>
          <w:lang w:val="en-US"/>
        </w:rPr>
        <w:t>,</w:t>
      </w:r>
      <w:r w:rsidR="00203E75" w:rsidRPr="00203E75">
        <w:rPr>
          <w:i/>
          <w:lang w:val="en-US"/>
        </w:rPr>
        <w:t>”</w:t>
      </w:r>
      <w:r w:rsidR="00C27192" w:rsidRPr="00CB2C31">
        <w:rPr>
          <w:lang w:val="en-US"/>
        </w:rPr>
        <w:t xml:space="preserve"> a non-profit organization with the financial support of the Belgian Institute for Equality of Women and Men, together with the endorsement of the NVR (</w:t>
      </w:r>
      <w:r w:rsidR="00C27192" w:rsidRPr="001877C9">
        <w:rPr>
          <w:i/>
          <w:lang w:val="nl-BE"/>
        </w:rPr>
        <w:t>Nederlandstalige Vrouwenraad</w:t>
      </w:r>
      <w:r w:rsidR="00C27192" w:rsidRPr="00CB2C31">
        <w:rPr>
          <w:lang w:val="en-US"/>
        </w:rPr>
        <w:t>) and the CFFB (</w:t>
      </w:r>
      <w:r w:rsidR="00C27192" w:rsidRPr="00907C35">
        <w:rPr>
          <w:i/>
        </w:rPr>
        <w:t>Conseil des Femmes Francophones de Belgique</w:t>
      </w:r>
      <w:r w:rsidR="00C27192" w:rsidRPr="00CB2C31">
        <w:rPr>
          <w:lang w:val="en-US"/>
        </w:rPr>
        <w:t>)</w:t>
      </w:r>
      <w:r w:rsidR="00F42D6A" w:rsidRPr="00CB2C31">
        <w:rPr>
          <w:lang w:val="en-US"/>
        </w:rPr>
        <w:t xml:space="preserve">.  </w:t>
      </w:r>
      <w:r w:rsidR="00C27192" w:rsidRPr="00CB2C31">
        <w:rPr>
          <w:lang w:val="en-US"/>
        </w:rPr>
        <w:t xml:space="preserve">The goals of the association are </w:t>
      </w:r>
      <w:r w:rsidR="00203E75" w:rsidRPr="00203E75">
        <w:rPr>
          <w:i/>
          <w:lang w:val="en-US"/>
        </w:rPr>
        <w:t>“</w:t>
      </w:r>
      <w:r w:rsidR="00C27192" w:rsidRPr="00CB2C31">
        <w:rPr>
          <w:i/>
          <w:lang w:val="en-US"/>
        </w:rPr>
        <w:t>to create a pool of talented women ready to take up board positions and to facilitate access to this pool for Belgian enterprises searching for female directors</w:t>
      </w:r>
      <w:r w:rsidR="007276F8">
        <w:rPr>
          <w:lang w:val="en-US"/>
        </w:rPr>
        <w:t>.</w:t>
      </w:r>
      <w:r w:rsidR="00203E75" w:rsidRPr="00203E75">
        <w:rPr>
          <w:i/>
          <w:lang w:val="en-US"/>
        </w:rPr>
        <w:t>”</w:t>
      </w:r>
      <w:r w:rsidR="00F42D6A" w:rsidRPr="00CB2C31">
        <w:rPr>
          <w:lang w:val="en-US"/>
        </w:rPr>
        <w:t xml:space="preserve">  </w:t>
      </w:r>
      <w:r w:rsidR="00C27192" w:rsidRPr="00CB2C31">
        <w:rPr>
          <w:lang w:val="en-US"/>
        </w:rPr>
        <w:t>The association</w:t>
      </w:r>
      <w:r w:rsidR="00593F1F">
        <w:rPr>
          <w:lang w:val="en-US"/>
        </w:rPr>
        <w:t>’</w:t>
      </w:r>
      <w:r w:rsidR="00C27192" w:rsidRPr="00CB2C31">
        <w:rPr>
          <w:lang w:val="en-US"/>
        </w:rPr>
        <w:t>s pool now counts several hundred women</w:t>
      </w:r>
      <w:r w:rsidR="00CD16A9">
        <w:rPr>
          <w:lang w:val="en-US"/>
        </w:rPr>
        <w:t xml:space="preserve"> with the appropriate skills and experience</w:t>
      </w:r>
      <w:r w:rsidR="00F42D6A" w:rsidRPr="00CB2C31">
        <w:rPr>
          <w:lang w:val="en-US"/>
        </w:rPr>
        <w:t xml:space="preserve">.  </w:t>
      </w:r>
      <w:r w:rsidR="00C27192" w:rsidRPr="00CB2C31">
        <w:rPr>
          <w:lang w:val="en-US"/>
        </w:rPr>
        <w:t>The Association also provides mentoring and training programs for professional women</w:t>
      </w:r>
      <w:r w:rsidR="00F42D6A" w:rsidRPr="00CB2C31">
        <w:rPr>
          <w:lang w:val="en-US"/>
        </w:rPr>
        <w:t xml:space="preserve">.  </w:t>
      </w:r>
      <w:r w:rsidR="00C27192" w:rsidRPr="00CB2C31">
        <w:rPr>
          <w:lang w:val="en-US"/>
        </w:rPr>
        <w:t xml:space="preserve">This shows how the private sector is rising to the challenge of encouraging the promotion of women board members. </w:t>
      </w:r>
    </w:p>
    <w:p w14:paraId="7B5F62C8" w14:textId="1FF699CB" w:rsidR="00FA4B87" w:rsidRPr="00CB2C31" w:rsidRDefault="00FA4B87" w:rsidP="00623C41">
      <w:pPr>
        <w:pStyle w:val="DoublePara"/>
        <w:rPr>
          <w:lang w:val="en-US"/>
        </w:rPr>
      </w:pPr>
      <w:r w:rsidRPr="00CB2C31">
        <w:rPr>
          <w:lang w:val="en-US"/>
        </w:rPr>
        <w:t xml:space="preserve">Based on the </w:t>
      </w:r>
      <w:r w:rsidRPr="00CB2C31">
        <w:rPr>
          <w:lang w:val="en-US" w:eastAsia="en-GB"/>
        </w:rPr>
        <w:t>most</w:t>
      </w:r>
      <w:r w:rsidRPr="00CB2C31">
        <w:rPr>
          <w:lang w:val="en-US"/>
        </w:rPr>
        <w:t xml:space="preserve"> recent information contained in the 2019 report on equality between women and men in </w:t>
      </w:r>
      <w:r w:rsidR="009A3C15">
        <w:rPr>
          <w:lang w:val="en-US"/>
        </w:rPr>
        <w:t xml:space="preserve">Europe </w:t>
      </w:r>
      <w:r w:rsidRPr="00CB2C31">
        <w:rPr>
          <w:lang w:val="en-US"/>
        </w:rPr>
        <w:t xml:space="preserve">issued </w:t>
      </w:r>
      <w:r w:rsidR="00CA0DC4" w:rsidRPr="00CB2C31">
        <w:rPr>
          <w:lang w:val="en-US"/>
        </w:rPr>
        <w:t>in</w:t>
      </w:r>
      <w:r w:rsidRPr="00CB2C31">
        <w:rPr>
          <w:lang w:val="en-US"/>
        </w:rPr>
        <w:t xml:space="preserve"> May 2019, the proportion of women on the boards of the largest publicly listed companies in Belgium has continued its progress</w:t>
      </w:r>
      <w:r w:rsidR="00CA0DC4" w:rsidRPr="00CB2C31">
        <w:rPr>
          <w:lang w:val="en-US"/>
        </w:rPr>
        <w:t xml:space="preserve">, </w:t>
      </w:r>
      <w:r w:rsidRPr="00CB2C31">
        <w:rPr>
          <w:lang w:val="en-US"/>
        </w:rPr>
        <w:t>reach</w:t>
      </w:r>
      <w:r w:rsidR="00CA0DC4" w:rsidRPr="00CB2C31">
        <w:rPr>
          <w:lang w:val="en-US"/>
        </w:rPr>
        <w:t>ing</w:t>
      </w:r>
      <w:r w:rsidRPr="00CB2C31">
        <w:rPr>
          <w:lang w:val="en-US"/>
        </w:rPr>
        <w:t xml:space="preserve"> 32.0%, just shy of the mandatory level.</w:t>
      </w:r>
      <w:r w:rsidRPr="00CB2C31">
        <w:rPr>
          <w:rStyle w:val="FootnoteReference"/>
          <w:rFonts w:cstheme="minorHAnsi"/>
          <w:lang w:val="en-US"/>
        </w:rPr>
        <w:footnoteReference w:id="162"/>
      </w:r>
      <w:r w:rsidR="00FC617F" w:rsidRPr="00CB2C31">
        <w:rPr>
          <w:lang w:val="en-US"/>
        </w:rPr>
        <w:t xml:space="preserve"> </w:t>
      </w:r>
      <w:r w:rsidR="0009628A">
        <w:rPr>
          <w:lang w:val="en-US"/>
        </w:rPr>
        <w:t xml:space="preserve"> </w:t>
      </w:r>
      <w:r w:rsidR="00C27192" w:rsidRPr="00CB2C31">
        <w:rPr>
          <w:lang w:val="en-US"/>
        </w:rPr>
        <w:t>Despite missing this self-imposed target</w:t>
      </w:r>
      <w:r w:rsidRPr="00CB2C31">
        <w:rPr>
          <w:lang w:val="en-US"/>
        </w:rPr>
        <w:t>, the efforts of Belgium have been commended</w:t>
      </w:r>
      <w:r w:rsidR="00F42D6A" w:rsidRPr="00CB2C31">
        <w:rPr>
          <w:lang w:val="en-US"/>
        </w:rPr>
        <w:t xml:space="preserve">.  </w:t>
      </w:r>
      <w:r w:rsidRPr="00CB2C31">
        <w:rPr>
          <w:lang w:val="en-US"/>
        </w:rPr>
        <w:t xml:space="preserve">Belgium is among only six countries to which the World Bank awarded a score of 100 out of 100 on February 27, 2019 </w:t>
      </w:r>
      <w:r w:rsidR="00D858DE" w:rsidRPr="00CB2C31">
        <w:rPr>
          <w:lang w:val="en-US"/>
        </w:rPr>
        <w:t xml:space="preserve">in the eight different indicators which </w:t>
      </w:r>
      <w:r w:rsidR="00D858DE" w:rsidRPr="00CB2C31">
        <w:rPr>
          <w:lang w:val="en-US" w:eastAsia="en-GB"/>
        </w:rPr>
        <w:t>make</w:t>
      </w:r>
      <w:r w:rsidR="00D858DE" w:rsidRPr="00CB2C31">
        <w:rPr>
          <w:lang w:val="en-US"/>
        </w:rPr>
        <w:t xml:space="preserve"> up</w:t>
      </w:r>
      <w:r w:rsidR="00D858DE">
        <w:rPr>
          <w:lang w:val="en-US"/>
        </w:rPr>
        <w:t xml:space="preserve"> its new</w:t>
      </w:r>
      <w:r w:rsidRPr="00CB2C31">
        <w:rPr>
          <w:lang w:val="en-US"/>
        </w:rPr>
        <w:t xml:space="preserve"> </w:t>
      </w:r>
      <w:r w:rsidR="00203E75" w:rsidRPr="00203E75">
        <w:rPr>
          <w:i/>
          <w:lang w:val="en-US"/>
        </w:rPr>
        <w:t>“</w:t>
      </w:r>
      <w:r w:rsidRPr="00CB2C31">
        <w:rPr>
          <w:i/>
          <w:lang w:val="en-US"/>
        </w:rPr>
        <w:t>Women, Business and the Law</w:t>
      </w:r>
      <w:r w:rsidR="00203E75" w:rsidRPr="00203E75">
        <w:rPr>
          <w:i/>
          <w:lang w:val="en-US"/>
        </w:rPr>
        <w:t>”</w:t>
      </w:r>
      <w:r w:rsidR="00D858DE">
        <w:rPr>
          <w:lang w:val="en-US"/>
        </w:rPr>
        <w:t xml:space="preserve"> </w:t>
      </w:r>
      <w:r w:rsidR="00D858DE" w:rsidRPr="00CB2C31">
        <w:rPr>
          <w:lang w:val="en-US"/>
        </w:rPr>
        <w:t>(</w:t>
      </w:r>
      <w:r w:rsidR="00203E75" w:rsidRPr="00203E75">
        <w:rPr>
          <w:i/>
          <w:lang w:val="en-US"/>
        </w:rPr>
        <w:t>“</w:t>
      </w:r>
      <w:r w:rsidR="00D858DE" w:rsidRPr="00CB2C31">
        <w:rPr>
          <w:b/>
          <w:lang w:val="en-US"/>
        </w:rPr>
        <w:t>WBL</w:t>
      </w:r>
      <w:r w:rsidR="00203E75" w:rsidRPr="00203E75">
        <w:rPr>
          <w:i/>
          <w:lang w:val="en-US"/>
        </w:rPr>
        <w:t>”</w:t>
      </w:r>
      <w:r w:rsidR="00D858DE" w:rsidRPr="00CB2C31">
        <w:rPr>
          <w:lang w:val="en-US"/>
        </w:rPr>
        <w:t>)</w:t>
      </w:r>
      <w:r w:rsidR="00D858DE">
        <w:rPr>
          <w:lang w:val="en-US"/>
        </w:rPr>
        <w:t xml:space="preserve"> index</w:t>
      </w:r>
      <w:r w:rsidR="00FC617F" w:rsidRPr="00CB2C31">
        <w:rPr>
          <w:lang w:val="en-US"/>
        </w:rPr>
        <w:t>.</w:t>
      </w:r>
      <w:bookmarkStart w:id="213" w:name="_Ref16194505"/>
      <w:r w:rsidR="00A30E4C" w:rsidRPr="00CB2C31">
        <w:rPr>
          <w:rStyle w:val="FootnoteReference"/>
          <w:rFonts w:cstheme="minorHAnsi"/>
          <w:lang w:val="en-US"/>
        </w:rPr>
        <w:footnoteReference w:id="163"/>
      </w:r>
      <w:bookmarkEnd w:id="213"/>
    </w:p>
    <w:p w14:paraId="155D8500" w14:textId="77777777" w:rsidR="00506182" w:rsidRPr="002E5273" w:rsidRDefault="00506182" w:rsidP="00623C41">
      <w:pPr>
        <w:pStyle w:val="LegalCombo3"/>
        <w:rPr>
          <w:b w:val="0"/>
        </w:rPr>
      </w:pPr>
      <w:bookmarkStart w:id="214" w:name="_Toc15027248"/>
      <w:bookmarkStart w:id="215" w:name="_Toc15027639"/>
      <w:bookmarkStart w:id="216" w:name="_Toc15027917"/>
      <w:bookmarkStart w:id="217" w:name="_Toc16692486"/>
      <w:bookmarkStart w:id="218" w:name="_Toc22904993"/>
      <w:bookmarkStart w:id="219" w:name="_Toc24114392"/>
      <w:r w:rsidRPr="002E5273">
        <w:t>France</w:t>
      </w:r>
      <w:bookmarkEnd w:id="214"/>
      <w:bookmarkEnd w:id="215"/>
      <w:bookmarkEnd w:id="216"/>
      <w:bookmarkEnd w:id="217"/>
      <w:bookmarkEnd w:id="218"/>
      <w:bookmarkEnd w:id="219"/>
    </w:p>
    <w:p w14:paraId="3FC40BAB" w14:textId="77777777" w:rsidR="00506182" w:rsidRPr="00CB2C31" w:rsidRDefault="00506182" w:rsidP="00623C41">
      <w:pPr>
        <w:pStyle w:val="LegalCombo4"/>
        <w:keepNext/>
      </w:pPr>
      <w:bookmarkStart w:id="220" w:name="_Toc9264268"/>
      <w:bookmarkStart w:id="221" w:name="_Toc9325685"/>
      <w:bookmarkStart w:id="222" w:name="_Toc15027249"/>
      <w:bookmarkStart w:id="223" w:name="_Toc15027640"/>
      <w:bookmarkStart w:id="224" w:name="_Toc15027918"/>
      <w:r w:rsidRPr="00CB2C31">
        <w:t xml:space="preserve">Introduction </w:t>
      </w:r>
      <w:bookmarkEnd w:id="220"/>
      <w:bookmarkEnd w:id="221"/>
      <w:bookmarkEnd w:id="222"/>
      <w:bookmarkEnd w:id="223"/>
      <w:bookmarkEnd w:id="224"/>
    </w:p>
    <w:p w14:paraId="5F008193" w14:textId="45C025EE" w:rsidR="00A2786A" w:rsidRPr="00CB2C31" w:rsidRDefault="008019CB" w:rsidP="00623C41">
      <w:pPr>
        <w:pStyle w:val="DoublePara"/>
        <w:rPr>
          <w:lang w:val="en-US"/>
        </w:rPr>
      </w:pPr>
      <w:r w:rsidRPr="00CB2C31">
        <w:rPr>
          <w:lang w:val="en-US"/>
        </w:rPr>
        <w:t xml:space="preserve">France has adopted a proactive approach to gender equality, being one of the few European </w:t>
      </w:r>
      <w:r w:rsidR="000E1A61">
        <w:rPr>
          <w:lang w:val="en-US"/>
        </w:rPr>
        <w:t>countries to have imposed a legally binding</w:t>
      </w:r>
      <w:r w:rsidRPr="00CB2C31">
        <w:rPr>
          <w:lang w:val="en-US"/>
        </w:rPr>
        <w:t xml:space="preserve"> quota for women on corporate boards</w:t>
      </w:r>
      <w:r w:rsidR="00F42D6A" w:rsidRPr="00CB2C31">
        <w:rPr>
          <w:lang w:val="en-US"/>
        </w:rPr>
        <w:t xml:space="preserve">.  </w:t>
      </w:r>
      <w:r w:rsidRPr="00CB2C31">
        <w:rPr>
          <w:lang w:val="en-US"/>
        </w:rPr>
        <w:t>Further details of French corporate governance requirements in respect of larger joint stock companies (</w:t>
      </w:r>
      <w:r w:rsidR="007A4AC7" w:rsidRPr="00907C35">
        <w:rPr>
          <w:i/>
        </w:rPr>
        <w:t>soci</w:t>
      </w:r>
      <w:r w:rsidR="007A4AC7" w:rsidRPr="00907C35">
        <w:rPr>
          <w:rFonts w:ascii="Times New Roman" w:hAnsi="Times New Roman" w:cs="Times New Roman"/>
          <w:i/>
        </w:rPr>
        <w:t>é</w:t>
      </w:r>
      <w:r w:rsidR="007A4AC7" w:rsidRPr="00907C35">
        <w:rPr>
          <w:i/>
        </w:rPr>
        <w:t>t</w:t>
      </w:r>
      <w:r w:rsidR="007A4AC7" w:rsidRPr="00907C35">
        <w:rPr>
          <w:rFonts w:ascii="Times New Roman" w:hAnsi="Times New Roman" w:cs="Times New Roman"/>
          <w:i/>
        </w:rPr>
        <w:t>é</w:t>
      </w:r>
      <w:r w:rsidR="007A4AC7" w:rsidRPr="00907C35">
        <w:rPr>
          <w:i/>
        </w:rPr>
        <w:t>s anonymes</w:t>
      </w:r>
      <w:r w:rsidRPr="00CB2C31">
        <w:rPr>
          <w:lang w:val="en-US"/>
        </w:rPr>
        <w:t xml:space="preserve"> or </w:t>
      </w:r>
      <w:r w:rsidR="00203E75" w:rsidRPr="00203E75">
        <w:rPr>
          <w:i/>
          <w:lang w:val="en-US"/>
        </w:rPr>
        <w:t>“</w:t>
      </w:r>
      <w:r w:rsidRPr="00CB2C31">
        <w:rPr>
          <w:b/>
          <w:lang w:val="en-US"/>
        </w:rPr>
        <w:t>SAs</w:t>
      </w:r>
      <w:r w:rsidR="00203E75" w:rsidRPr="00203E75">
        <w:rPr>
          <w:i/>
          <w:lang w:val="en-US"/>
        </w:rPr>
        <w:t>”</w:t>
      </w:r>
      <w:r w:rsidRPr="00CB2C31">
        <w:rPr>
          <w:lang w:val="en-US"/>
        </w:rPr>
        <w:t xml:space="preserve">) are set out below. </w:t>
      </w:r>
    </w:p>
    <w:p w14:paraId="3177D82B" w14:textId="77777777" w:rsidR="008019CB" w:rsidRPr="00CB2C31" w:rsidRDefault="00B328FD" w:rsidP="00623C41">
      <w:pPr>
        <w:pStyle w:val="LegalCombo4"/>
        <w:keepNext/>
      </w:pPr>
      <w:r w:rsidRPr="00CB2C31">
        <w:t>Corporate Governance</w:t>
      </w:r>
    </w:p>
    <w:p w14:paraId="5DACB572" w14:textId="46FA0ED0" w:rsidR="008A6D8D" w:rsidRPr="00CB2C31" w:rsidRDefault="008A6D8D" w:rsidP="00623C41">
      <w:pPr>
        <w:pStyle w:val="DoublePara"/>
        <w:rPr>
          <w:lang w:val="en-US"/>
        </w:rPr>
      </w:pPr>
      <w:r w:rsidRPr="00CB2C31">
        <w:rPr>
          <w:lang w:val="en-US"/>
        </w:rPr>
        <w:t>French corporate governance rules can be found in the French Commercial Code</w:t>
      </w:r>
      <w:r w:rsidR="00C27192" w:rsidRPr="00CB2C31">
        <w:rPr>
          <w:lang w:val="en-US"/>
        </w:rPr>
        <w:t xml:space="preserve"> and</w:t>
      </w:r>
      <w:r w:rsidRPr="00CB2C31">
        <w:rPr>
          <w:lang w:val="en-US"/>
        </w:rPr>
        <w:t xml:space="preserve"> best corporate practices are</w:t>
      </w:r>
      <w:r w:rsidR="00C27192" w:rsidRPr="00CB2C31">
        <w:rPr>
          <w:lang w:val="en-US" w:eastAsia="en-GB"/>
        </w:rPr>
        <w:t xml:space="preserve"> </w:t>
      </w:r>
      <w:r w:rsidRPr="00CB2C31">
        <w:rPr>
          <w:lang w:val="en-US"/>
        </w:rPr>
        <w:t>set out in the non-binding Afep-Medef Code</w:t>
      </w:r>
      <w:bookmarkStart w:id="225" w:name="_Ref16194329"/>
      <w:r w:rsidR="00C27192" w:rsidRPr="00CB2C31">
        <w:rPr>
          <w:lang w:val="en-US"/>
        </w:rPr>
        <w:t>.</w:t>
      </w:r>
      <w:r w:rsidRPr="00CB2C31">
        <w:rPr>
          <w:rStyle w:val="FootnoteReference"/>
          <w:lang w:val="en-US"/>
        </w:rPr>
        <w:footnoteReference w:id="164"/>
      </w:r>
      <w:bookmarkEnd w:id="225"/>
      <w:r w:rsidRPr="00CB2C31">
        <w:rPr>
          <w:lang w:val="en-US"/>
        </w:rPr>
        <w:t xml:space="preserve"> </w:t>
      </w:r>
      <w:r w:rsidR="0009628A">
        <w:rPr>
          <w:lang w:val="en-US"/>
        </w:rPr>
        <w:t xml:space="preserve"> </w:t>
      </w:r>
      <w:r w:rsidRPr="00CB2C31">
        <w:rPr>
          <w:lang w:val="en-US"/>
        </w:rPr>
        <w:t xml:space="preserve">Corporate boards of French SAs can be </w:t>
      </w:r>
      <w:r w:rsidR="00236E78" w:rsidRPr="00CB2C31">
        <w:rPr>
          <w:lang w:val="en-US"/>
        </w:rPr>
        <w:t>organized</w:t>
      </w:r>
      <w:r w:rsidRPr="00CB2C31">
        <w:rPr>
          <w:lang w:val="en-US"/>
        </w:rPr>
        <w:t xml:space="preserve"> either with a </w:t>
      </w:r>
      <w:r w:rsidR="00FF59F6" w:rsidRPr="00CB2C31">
        <w:rPr>
          <w:lang w:val="en-US"/>
        </w:rPr>
        <w:t>single</w:t>
      </w:r>
      <w:r w:rsidR="00FF59F6">
        <w:rPr>
          <w:lang w:val="en-US"/>
        </w:rPr>
        <w:t>-</w:t>
      </w:r>
      <w:r w:rsidRPr="00CB2C31">
        <w:rPr>
          <w:lang w:val="en-US"/>
        </w:rPr>
        <w:t>tier (with a board of directors) or a two-tier structure (with a management board and a supervisory board).</w:t>
      </w:r>
    </w:p>
    <w:p w14:paraId="45B9CFB9" w14:textId="77777777" w:rsidR="008019CB" w:rsidRPr="00CB2C31" w:rsidRDefault="008019CB" w:rsidP="00623C41">
      <w:pPr>
        <w:pStyle w:val="DoublePara"/>
        <w:rPr>
          <w:lang w:val="en-US"/>
        </w:rPr>
      </w:pPr>
      <w:r w:rsidRPr="00CB2C31">
        <w:rPr>
          <w:lang w:val="en-US"/>
        </w:rPr>
        <w:t>There is a prescribed minimum of three directors and a maximum of 18 directors on boards of directors and supervisory boards of SAs in France.</w:t>
      </w:r>
      <w:bookmarkStart w:id="226" w:name="_Ref16194318"/>
      <w:r w:rsidRPr="00CB2C31">
        <w:rPr>
          <w:rStyle w:val="FootnoteReference"/>
          <w:lang w:val="en-US"/>
        </w:rPr>
        <w:footnoteReference w:id="165"/>
      </w:r>
      <w:bookmarkEnd w:id="226"/>
      <w:r w:rsidRPr="00CB2C31">
        <w:rPr>
          <w:lang w:val="en-US"/>
        </w:rPr>
        <w:t xml:space="preserve"> </w:t>
      </w:r>
      <w:r w:rsidR="0009628A">
        <w:rPr>
          <w:lang w:val="en-US"/>
        </w:rPr>
        <w:t xml:space="preserve"> </w:t>
      </w:r>
      <w:r w:rsidRPr="00CB2C31">
        <w:rPr>
          <w:lang w:val="en-US"/>
        </w:rPr>
        <w:t>Although there are no legal requirements on the nationality of directors, chairpersons, CEOs or deputy CEOs, the Afep-Medef Code recommends that the board of directors and nomination committee of listed companies take into account nationality when seeking balanced representation.</w:t>
      </w:r>
      <w:r w:rsidRPr="00CB2C31">
        <w:rPr>
          <w:rStyle w:val="FootnoteReference"/>
          <w:lang w:val="en-US"/>
        </w:rPr>
        <w:footnoteReference w:id="166"/>
      </w:r>
    </w:p>
    <w:p w14:paraId="0462C8F9" w14:textId="77777777" w:rsidR="008A6D8D" w:rsidRPr="00CB2C31" w:rsidRDefault="008A6D8D" w:rsidP="00623C41">
      <w:pPr>
        <w:pStyle w:val="DoublePara"/>
        <w:rPr>
          <w:lang w:val="en-US"/>
        </w:rPr>
      </w:pPr>
      <w:r w:rsidRPr="00CB2C31">
        <w:rPr>
          <w:lang w:val="en-US"/>
        </w:rPr>
        <w:t>Directors are appointed by an ordinary resolution of the shareholders</w:t>
      </w:r>
      <w:r w:rsidR="00F42D6A" w:rsidRPr="00CB2C31">
        <w:rPr>
          <w:lang w:val="en-US"/>
        </w:rPr>
        <w:t xml:space="preserve">.  </w:t>
      </w:r>
      <w:r w:rsidRPr="00CB2C31">
        <w:rPr>
          <w:lang w:val="en-US"/>
        </w:rPr>
        <w:t>The board of directors then appoints a chairperson from among the board and a CEO of the company</w:t>
      </w:r>
      <w:r w:rsidR="00F42D6A" w:rsidRPr="00CB2C31">
        <w:rPr>
          <w:lang w:val="en-US"/>
        </w:rPr>
        <w:t xml:space="preserve">.  </w:t>
      </w:r>
      <w:r w:rsidRPr="00CB2C31">
        <w:rPr>
          <w:lang w:val="en-US"/>
        </w:rPr>
        <w:t>Directors can be removed by ordinary resolution of the shareholders at any time for any reason</w:t>
      </w:r>
      <w:r w:rsidR="00F42D6A" w:rsidRPr="00CB2C31">
        <w:rPr>
          <w:lang w:val="en-US"/>
        </w:rPr>
        <w:t xml:space="preserve">.  </w:t>
      </w:r>
      <w:r w:rsidRPr="00CB2C31">
        <w:rPr>
          <w:lang w:val="en-US"/>
        </w:rPr>
        <w:t xml:space="preserve">Further, French corporate governance standards recommend that board terms be staggered so as to avoid the replacement of the board as a whole and to </w:t>
      </w:r>
      <w:r w:rsidR="00236E78" w:rsidRPr="00CB2C31">
        <w:rPr>
          <w:lang w:val="en-US"/>
        </w:rPr>
        <w:t>favor</w:t>
      </w:r>
      <w:r w:rsidRPr="00CB2C31">
        <w:rPr>
          <w:lang w:val="en-US"/>
        </w:rPr>
        <w:t xml:space="preserve"> a smooth replacement of directors.</w:t>
      </w:r>
      <w:r w:rsidRPr="00CB2C31">
        <w:rPr>
          <w:rStyle w:val="FootnoteReference"/>
          <w:lang w:val="en-US"/>
        </w:rPr>
        <w:footnoteReference w:id="167"/>
      </w:r>
      <w:r w:rsidRPr="00CB2C31">
        <w:rPr>
          <w:lang w:val="en-US"/>
        </w:rPr>
        <w:t xml:space="preserve"> </w:t>
      </w:r>
      <w:r w:rsidR="0009628A">
        <w:rPr>
          <w:lang w:val="en-US"/>
        </w:rPr>
        <w:t xml:space="preserve"> </w:t>
      </w:r>
      <w:r w:rsidRPr="00CB2C31">
        <w:rPr>
          <w:lang w:val="en-US"/>
        </w:rPr>
        <w:t>The legal maximum for a director</w:t>
      </w:r>
      <w:r w:rsidR="00593F1F">
        <w:rPr>
          <w:lang w:val="en-US"/>
        </w:rPr>
        <w:t>’</w:t>
      </w:r>
      <w:r w:rsidRPr="00CB2C31">
        <w:rPr>
          <w:lang w:val="en-US"/>
        </w:rPr>
        <w:t>s term of appointment is six years, but it may be renewed</w:t>
      </w:r>
      <w:r w:rsidR="00F42D6A" w:rsidRPr="00CB2C31">
        <w:rPr>
          <w:lang w:val="en-US"/>
        </w:rPr>
        <w:t xml:space="preserve">.  </w:t>
      </w:r>
      <w:r w:rsidRPr="00CB2C31">
        <w:rPr>
          <w:lang w:val="en-US"/>
        </w:rPr>
        <w:t>The Afep-Medef Code recommends that board terms be limited to four years.</w:t>
      </w:r>
      <w:r w:rsidRPr="00CB2C31">
        <w:rPr>
          <w:rStyle w:val="FootnoteReference"/>
          <w:lang w:val="en-US"/>
        </w:rPr>
        <w:footnoteReference w:id="168"/>
      </w:r>
    </w:p>
    <w:p w14:paraId="5CC4A6FC" w14:textId="3B4E55A1" w:rsidR="008019CB" w:rsidRPr="00CB2C31" w:rsidRDefault="008019CB" w:rsidP="00623C41">
      <w:pPr>
        <w:pStyle w:val="DoublePara"/>
        <w:rPr>
          <w:lang w:val="en-US"/>
        </w:rPr>
      </w:pPr>
      <w:r w:rsidRPr="00CB2C31">
        <w:rPr>
          <w:lang w:val="en-US"/>
        </w:rPr>
        <w:t xml:space="preserve">With regards to gender, under a 2011 law (the </w:t>
      </w:r>
      <w:r w:rsidR="00203E75" w:rsidRPr="00203E75">
        <w:rPr>
          <w:i/>
          <w:lang w:val="en-US"/>
        </w:rPr>
        <w:t>“</w:t>
      </w:r>
      <w:r w:rsidRPr="00CB2C31">
        <w:rPr>
          <w:b/>
          <w:lang w:val="en-US"/>
        </w:rPr>
        <w:t>Gender Law</w:t>
      </w:r>
      <w:r w:rsidR="007276F8">
        <w:rPr>
          <w:lang w:val="en-US"/>
        </w:rPr>
        <w:t>,</w:t>
      </w:r>
      <w:r w:rsidR="00203E75" w:rsidRPr="00203E75">
        <w:rPr>
          <w:i/>
          <w:lang w:val="en-US"/>
        </w:rPr>
        <w:t>”</w:t>
      </w:r>
      <w:r w:rsidRPr="00CB2C31">
        <w:rPr>
          <w:lang w:val="en-US"/>
        </w:rPr>
        <w:t xml:space="preserve"> also known as the </w:t>
      </w:r>
      <w:r w:rsidR="00203E75" w:rsidRPr="00203E75">
        <w:rPr>
          <w:i/>
          <w:lang w:val="en-US"/>
        </w:rPr>
        <w:t>“</w:t>
      </w:r>
      <w:r w:rsidRPr="00CB2C31">
        <w:rPr>
          <w:b/>
          <w:lang w:val="en-US"/>
        </w:rPr>
        <w:t>Cop</w:t>
      </w:r>
      <w:r w:rsidRPr="00CB2C31">
        <w:rPr>
          <w:rFonts w:ascii="Times New Roman" w:hAnsi="Times New Roman" w:cs="Times New Roman"/>
          <w:b/>
          <w:lang w:val="en-US"/>
        </w:rPr>
        <w:t>é-</w:t>
      </w:r>
      <w:r w:rsidRPr="00CB2C31">
        <w:rPr>
          <w:b/>
          <w:lang w:val="en-US"/>
        </w:rPr>
        <w:t>Zimmerman Law</w:t>
      </w:r>
      <w:r w:rsidR="00203E75" w:rsidRPr="00203E75">
        <w:rPr>
          <w:i/>
          <w:lang w:val="en-US"/>
        </w:rPr>
        <w:t>”</w:t>
      </w:r>
      <w:r w:rsidRPr="00CB2C31">
        <w:rPr>
          <w:lang w:val="en-US"/>
        </w:rPr>
        <w:t>),</w:t>
      </w:r>
      <w:r w:rsidRPr="00CB2C31">
        <w:rPr>
          <w:rStyle w:val="FootnoteReference"/>
          <w:lang w:val="en-US"/>
        </w:rPr>
        <w:footnoteReference w:id="169"/>
      </w:r>
      <w:r w:rsidRPr="00CB2C31">
        <w:rPr>
          <w:lang w:val="en-US"/>
        </w:rPr>
        <w:t xml:space="preserve"> the </w:t>
      </w:r>
      <w:r w:rsidRPr="00CB2C31">
        <w:rPr>
          <w:lang w:val="en-US" w:eastAsia="en-GB"/>
        </w:rPr>
        <w:t>proportion</w:t>
      </w:r>
      <w:r w:rsidRPr="00CB2C31">
        <w:rPr>
          <w:lang w:val="en-US"/>
        </w:rPr>
        <w:t xml:space="preserve"> of directors of each gender must be at least 40% </w:t>
      </w:r>
      <w:r w:rsidR="00753785">
        <w:rPr>
          <w:lang w:val="en-US"/>
        </w:rPr>
        <w:t>of</w:t>
      </w:r>
      <w:r w:rsidR="00EB2AFD" w:rsidRPr="00CB2C31">
        <w:rPr>
          <w:lang w:val="en-US"/>
        </w:rPr>
        <w:t xml:space="preserve"> </w:t>
      </w:r>
      <w:r w:rsidRPr="00CB2C31">
        <w:rPr>
          <w:lang w:val="en-US"/>
        </w:rPr>
        <w:t>the board of directors or supervisory board of listed companies and companies with at least 500 employees</w:t>
      </w:r>
      <w:r w:rsidRPr="00CB2C31">
        <w:rPr>
          <w:rStyle w:val="FootnoteReference"/>
          <w:lang w:val="en-US"/>
        </w:rPr>
        <w:footnoteReference w:id="170"/>
      </w:r>
      <w:r w:rsidRPr="00CB2C31">
        <w:rPr>
          <w:lang w:val="en-US"/>
        </w:rPr>
        <w:t xml:space="preserve"> and with a turnover of at least EUR50 million for the last three consecutive financial years</w:t>
      </w:r>
      <w:r w:rsidR="00F42D6A" w:rsidRPr="00CB2C31">
        <w:rPr>
          <w:lang w:val="en-US"/>
        </w:rPr>
        <w:t xml:space="preserve">.  </w:t>
      </w:r>
      <w:r w:rsidRPr="00CB2C31">
        <w:rPr>
          <w:lang w:val="en-US"/>
        </w:rPr>
        <w:t xml:space="preserve">The Gender </w:t>
      </w:r>
      <w:r w:rsidR="00CA0DC4" w:rsidRPr="00CB2C31">
        <w:rPr>
          <w:lang w:val="en-US"/>
        </w:rPr>
        <w:t xml:space="preserve">Law became fully effective on </w:t>
      </w:r>
      <w:r w:rsidRPr="00CB2C31">
        <w:rPr>
          <w:lang w:val="en-US"/>
        </w:rPr>
        <w:t xml:space="preserve">January </w:t>
      </w:r>
      <w:r w:rsidR="00CA0DC4" w:rsidRPr="00CB2C31">
        <w:rPr>
          <w:lang w:val="en-US"/>
        </w:rPr>
        <w:t xml:space="preserve">1, </w:t>
      </w:r>
      <w:r w:rsidRPr="00CB2C31">
        <w:rPr>
          <w:lang w:val="en-US"/>
        </w:rPr>
        <w:t>2017</w:t>
      </w:r>
      <w:r w:rsidR="00F42D6A" w:rsidRPr="00CB2C31">
        <w:rPr>
          <w:lang w:val="en-US"/>
        </w:rPr>
        <w:t xml:space="preserve">.  </w:t>
      </w:r>
      <w:r w:rsidRPr="00CB2C31">
        <w:rPr>
          <w:lang w:val="en-US"/>
        </w:rPr>
        <w:t xml:space="preserve">These rules are mandatory and carry stringent </w:t>
      </w:r>
      <w:r w:rsidR="00C27192" w:rsidRPr="00CB2C31">
        <w:rPr>
          <w:lang w:val="en-US"/>
        </w:rPr>
        <w:t>penalties</w:t>
      </w:r>
      <w:r w:rsidRPr="00CB2C31">
        <w:rPr>
          <w:lang w:val="en-US"/>
        </w:rPr>
        <w:t xml:space="preserve"> for non-compliance: (i) non-compliant appointments are void; (ii) the only permitted changes to the board are changes towards compliance, which must be restored within six months; and (iii) directors</w:t>
      </w:r>
      <w:r w:rsidR="00593F1F">
        <w:rPr>
          <w:lang w:val="en-US"/>
        </w:rPr>
        <w:t>’</w:t>
      </w:r>
      <w:r w:rsidRPr="00CB2C31">
        <w:rPr>
          <w:lang w:val="en-US"/>
        </w:rPr>
        <w:t xml:space="preserve"> attendance fees are suspended for so long as the board is non-compliant.</w:t>
      </w:r>
      <w:r w:rsidRPr="00CB2C31">
        <w:rPr>
          <w:rStyle w:val="FootnoteReference"/>
          <w:lang w:val="en-US"/>
        </w:rPr>
        <w:footnoteReference w:id="171"/>
      </w:r>
      <w:r w:rsidR="00A94622" w:rsidRPr="00CB2C31">
        <w:rPr>
          <w:lang w:val="en-US"/>
        </w:rPr>
        <w:t xml:space="preserve"> </w:t>
      </w:r>
      <w:r w:rsidR="0009628A">
        <w:rPr>
          <w:lang w:val="en-US"/>
        </w:rPr>
        <w:t xml:space="preserve"> </w:t>
      </w:r>
      <w:r w:rsidRPr="00CB2C31">
        <w:rPr>
          <w:lang w:val="en-US"/>
        </w:rPr>
        <w:t>The Afep-Medef Code also recommends that the board of directors and nomination committee take into account gender when seeking balanced representation and that listed companies disclose in their annual reports a description of their diversity policy for the board of directors in terms of age, gender, qualifications and professional experience.</w:t>
      </w:r>
      <w:r w:rsidRPr="00CB2C31">
        <w:rPr>
          <w:rStyle w:val="FootnoteReference"/>
          <w:lang w:val="en-US"/>
        </w:rPr>
        <w:footnoteReference w:id="172"/>
      </w:r>
    </w:p>
    <w:p w14:paraId="7F470A07" w14:textId="77777777" w:rsidR="008019CB" w:rsidRPr="00D900CE" w:rsidRDefault="008019CB" w:rsidP="00623C41">
      <w:pPr>
        <w:pStyle w:val="LegalCombo4"/>
        <w:keepNext/>
        <w:rPr>
          <w:b/>
        </w:rPr>
      </w:pPr>
      <w:bookmarkStart w:id="227" w:name="_Toc15027252"/>
      <w:bookmarkStart w:id="228" w:name="_Toc15027643"/>
      <w:bookmarkStart w:id="229" w:name="_Toc15027921"/>
      <w:r w:rsidRPr="00D900CE">
        <w:rPr>
          <w:b/>
        </w:rPr>
        <w:t>Conclusion and Best Practice Analysis</w:t>
      </w:r>
      <w:bookmarkEnd w:id="227"/>
      <w:bookmarkEnd w:id="228"/>
      <w:bookmarkEnd w:id="229"/>
      <w:r w:rsidR="007A4AC7" w:rsidRPr="00D900CE">
        <w:rPr>
          <w:b/>
        </w:rPr>
        <w:t>:</w:t>
      </w:r>
      <w:r w:rsidR="00593F1F" w:rsidRPr="00D900CE">
        <w:rPr>
          <w:b/>
        </w:rPr>
        <w:t xml:space="preserve"> </w:t>
      </w:r>
      <w:r w:rsidR="007A4AC7" w:rsidRPr="00D900CE">
        <w:rPr>
          <w:b/>
        </w:rPr>
        <w:t>France</w:t>
      </w:r>
    </w:p>
    <w:p w14:paraId="6358B1BE" w14:textId="4395A652" w:rsidR="008019CB" w:rsidRPr="00CB2C31" w:rsidRDefault="008019CB" w:rsidP="00623C41">
      <w:pPr>
        <w:pStyle w:val="DoublePara"/>
        <w:rPr>
          <w:lang w:val="en-US"/>
        </w:rPr>
      </w:pPr>
      <w:r w:rsidRPr="00CB2C31">
        <w:rPr>
          <w:lang w:val="en-US"/>
        </w:rPr>
        <w:t>France</w:t>
      </w:r>
      <w:r w:rsidR="00593F1F">
        <w:rPr>
          <w:lang w:val="en-US"/>
        </w:rPr>
        <w:t>’</w:t>
      </w:r>
      <w:r w:rsidR="00A90F6F" w:rsidRPr="00CB2C31">
        <w:rPr>
          <w:lang w:val="en-US"/>
        </w:rPr>
        <w:t>s</w:t>
      </w:r>
      <w:r w:rsidRPr="00CB2C31">
        <w:rPr>
          <w:lang w:val="en-US"/>
        </w:rPr>
        <w:t xml:space="preserve"> </w:t>
      </w:r>
      <w:r w:rsidR="001C52BA" w:rsidRPr="00D900CE">
        <w:rPr>
          <w:b/>
          <w:lang w:val="en-US"/>
        </w:rPr>
        <w:t>mandatory</w:t>
      </w:r>
      <w:r w:rsidR="009B65E1" w:rsidRPr="00D900CE">
        <w:rPr>
          <w:b/>
          <w:lang w:val="en-US"/>
        </w:rPr>
        <w:t xml:space="preserve"> </w:t>
      </w:r>
      <w:r w:rsidR="00C27192" w:rsidRPr="00D900CE">
        <w:rPr>
          <w:b/>
          <w:lang w:val="en-US"/>
        </w:rPr>
        <w:t>quota</w:t>
      </w:r>
      <w:r w:rsidR="00C27192" w:rsidRPr="00CB2C31">
        <w:rPr>
          <w:lang w:val="en-US"/>
        </w:rPr>
        <w:t xml:space="preserve"> approach enshrined in</w:t>
      </w:r>
      <w:r w:rsidRPr="00CB2C31">
        <w:rPr>
          <w:lang w:val="en-US"/>
        </w:rPr>
        <w:t xml:space="preserve"> the Gender Law </w:t>
      </w:r>
      <w:r w:rsidR="00C27192" w:rsidRPr="00CB2C31">
        <w:rPr>
          <w:lang w:val="en-US"/>
        </w:rPr>
        <w:t>appears to have been successful</w:t>
      </w:r>
      <w:r w:rsidR="00F42D6A" w:rsidRPr="00CB2C31">
        <w:rPr>
          <w:lang w:val="en-US"/>
        </w:rPr>
        <w:t xml:space="preserve">.  </w:t>
      </w:r>
      <w:r w:rsidR="00C27192" w:rsidRPr="00CB2C31">
        <w:rPr>
          <w:lang w:val="en-US"/>
        </w:rPr>
        <w:t>S</w:t>
      </w:r>
      <w:r w:rsidRPr="00CB2C31">
        <w:rPr>
          <w:lang w:val="en-US"/>
        </w:rPr>
        <w:t xml:space="preserve">tatistics show that women who hold corporate board seats represented 44% of the largest publicly listed companies </w:t>
      </w:r>
      <w:r w:rsidRPr="00CB2C31">
        <w:rPr>
          <w:lang w:val="en-US" w:eastAsia="en-GB"/>
        </w:rPr>
        <w:t>in</w:t>
      </w:r>
      <w:r w:rsidRPr="00CB2C31">
        <w:rPr>
          <w:lang w:val="en-US"/>
        </w:rPr>
        <w:t xml:space="preserve"> October 2018</w:t>
      </w:r>
      <w:r w:rsidR="00F42D6A" w:rsidRPr="00CB2C31">
        <w:rPr>
          <w:lang w:val="en-US"/>
        </w:rPr>
        <w:t xml:space="preserve">.  </w:t>
      </w:r>
      <w:r w:rsidRPr="00CB2C31">
        <w:rPr>
          <w:lang w:val="en-US"/>
        </w:rPr>
        <w:t>However, this healthy percentage reflects only the position appl</w:t>
      </w:r>
      <w:r w:rsidR="00A277DB" w:rsidRPr="00CB2C31">
        <w:rPr>
          <w:lang w:val="en-US"/>
        </w:rPr>
        <w:t>icable to the largest companies</w:t>
      </w:r>
      <w:r w:rsidR="00F42D6A" w:rsidRPr="00CB2C31">
        <w:rPr>
          <w:lang w:val="en-US"/>
        </w:rPr>
        <w:t xml:space="preserve">.  </w:t>
      </w:r>
      <w:r w:rsidR="00A90F6F" w:rsidRPr="00CB2C31">
        <w:rPr>
          <w:lang w:val="en-US"/>
        </w:rPr>
        <w:t xml:space="preserve">A </w:t>
      </w:r>
      <w:r w:rsidRPr="00CB2C31">
        <w:rPr>
          <w:lang w:val="en-US"/>
        </w:rPr>
        <w:t xml:space="preserve">study </w:t>
      </w:r>
      <w:r w:rsidR="002E2084">
        <w:rPr>
          <w:lang w:val="en-US"/>
        </w:rPr>
        <w:t>commissioned</w:t>
      </w:r>
      <w:r w:rsidR="002E2084" w:rsidRPr="00CB2C31">
        <w:rPr>
          <w:lang w:val="en-US"/>
        </w:rPr>
        <w:t xml:space="preserve"> </w:t>
      </w:r>
      <w:r w:rsidRPr="00CB2C31">
        <w:rPr>
          <w:lang w:val="en-US"/>
        </w:rPr>
        <w:t xml:space="preserve">by </w:t>
      </w:r>
      <w:r w:rsidR="00687DCA">
        <w:rPr>
          <w:lang w:val="en-US"/>
        </w:rPr>
        <w:t xml:space="preserve">the </w:t>
      </w:r>
      <w:r w:rsidR="002E2084">
        <w:rPr>
          <w:lang w:val="en-US"/>
        </w:rPr>
        <w:t xml:space="preserve">French </w:t>
      </w:r>
      <w:r w:rsidRPr="00CB2C31">
        <w:rPr>
          <w:lang w:val="en-US"/>
        </w:rPr>
        <w:t>Female Expert Accountants Association</w:t>
      </w:r>
      <w:r w:rsidR="002E2084">
        <w:rPr>
          <w:lang w:val="en-US"/>
        </w:rPr>
        <w:t xml:space="preserve"> (</w:t>
      </w:r>
      <w:r w:rsidR="002E2084" w:rsidRPr="0075396B">
        <w:rPr>
          <w:i/>
          <w:lang w:val="en-US"/>
        </w:rPr>
        <w:t>Association des Femmes Experts Comptables</w:t>
      </w:r>
      <w:r w:rsidR="002E2084">
        <w:rPr>
          <w:i/>
          <w:lang w:val="en-US"/>
        </w:rPr>
        <w:t xml:space="preserve"> (</w:t>
      </w:r>
      <w:r w:rsidR="002E2084" w:rsidRPr="0075396B">
        <w:rPr>
          <w:i/>
          <w:lang w:val="en-US"/>
        </w:rPr>
        <w:t>AFECA</w:t>
      </w:r>
      <w:r w:rsidR="002E2084">
        <w:rPr>
          <w:lang w:val="en-US"/>
        </w:rPr>
        <w:t>)</w:t>
      </w:r>
      <w:r w:rsidRPr="00CB2C31">
        <w:rPr>
          <w:lang w:val="en-US"/>
        </w:rPr>
        <w:t>) in June 2017 on women</w:t>
      </w:r>
      <w:r w:rsidR="00593F1F">
        <w:rPr>
          <w:lang w:val="en-US"/>
        </w:rPr>
        <w:t>’</w:t>
      </w:r>
      <w:r w:rsidRPr="00CB2C31">
        <w:rPr>
          <w:lang w:val="en-US"/>
        </w:rPr>
        <w:t xml:space="preserve">s representation on corporate boards of companies listed on </w:t>
      </w:r>
      <w:r w:rsidR="00EB2AFD">
        <w:rPr>
          <w:lang w:val="en-US"/>
        </w:rPr>
        <w:t xml:space="preserve">the </w:t>
      </w:r>
      <w:r w:rsidRPr="00CB2C31">
        <w:rPr>
          <w:lang w:val="en-US"/>
        </w:rPr>
        <w:t>Euronext (Paris) and Alternext (Paris) exchanges (i.e.</w:t>
      </w:r>
      <w:r w:rsidR="00687DCA">
        <w:rPr>
          <w:lang w:val="en-US"/>
        </w:rPr>
        <w:t>,</w:t>
      </w:r>
      <w:r w:rsidRPr="00CB2C31">
        <w:rPr>
          <w:lang w:val="en-US"/>
        </w:rPr>
        <w:t xml:space="preserve"> a broader range than that of the Gender Law) showed that female representation on corporate boards of companies was decreasing in line with the market </w:t>
      </w:r>
      <w:r w:rsidR="00236E78" w:rsidRPr="00CB2C31">
        <w:rPr>
          <w:lang w:val="en-US"/>
        </w:rPr>
        <w:t>capitalization</w:t>
      </w:r>
      <w:r w:rsidRPr="00CB2C31">
        <w:rPr>
          <w:lang w:val="en-US"/>
        </w:rPr>
        <w:t xml:space="preserve"> of those companies, down to a mere 17.27% </w:t>
      </w:r>
      <w:r w:rsidR="00FF59F6" w:rsidRPr="00CB2C31">
        <w:rPr>
          <w:lang w:val="en-US"/>
        </w:rPr>
        <w:t>o</w:t>
      </w:r>
      <w:r w:rsidR="00FF59F6">
        <w:rPr>
          <w:lang w:val="en-US"/>
        </w:rPr>
        <w:t>f</w:t>
      </w:r>
      <w:r w:rsidR="00FF59F6" w:rsidRPr="00CB2C31">
        <w:rPr>
          <w:lang w:val="en-US"/>
        </w:rPr>
        <w:t xml:space="preserve"> </w:t>
      </w:r>
      <w:r w:rsidRPr="00CB2C31">
        <w:rPr>
          <w:lang w:val="en-US"/>
        </w:rPr>
        <w:t>companies listed on Alternext (which are outside the scope of the Gender Law).</w:t>
      </w:r>
      <w:r w:rsidRPr="00CB2C31">
        <w:rPr>
          <w:rStyle w:val="FootnoteReference"/>
          <w:lang w:val="en-US"/>
        </w:rPr>
        <w:footnoteReference w:id="173"/>
      </w:r>
      <w:r w:rsidR="00A94622" w:rsidRPr="00CB2C31">
        <w:rPr>
          <w:lang w:val="en-US"/>
        </w:rPr>
        <w:t xml:space="preserve"> </w:t>
      </w:r>
      <w:r w:rsidR="0009628A">
        <w:rPr>
          <w:lang w:val="en-US"/>
        </w:rPr>
        <w:t xml:space="preserve"> </w:t>
      </w:r>
      <w:r w:rsidRPr="00CB2C31">
        <w:rPr>
          <w:lang w:val="en-US"/>
        </w:rPr>
        <w:t xml:space="preserve">This suggests that the improvement </w:t>
      </w:r>
      <w:r w:rsidR="00A90F6F" w:rsidRPr="00CB2C31">
        <w:rPr>
          <w:lang w:val="en-US"/>
        </w:rPr>
        <w:t xml:space="preserve">in large companies </w:t>
      </w:r>
      <w:r w:rsidRPr="00CB2C31">
        <w:rPr>
          <w:lang w:val="en-US"/>
        </w:rPr>
        <w:t>is a direct result of the implementation of the Gender Law, rather than a deep-rooted culture change</w:t>
      </w:r>
      <w:r w:rsidR="00A277DB" w:rsidRPr="00CB2C31">
        <w:rPr>
          <w:lang w:val="en-US"/>
        </w:rPr>
        <w:t>, because the scope of the Gender Law has not yet been extended to smaller companies (over 250 but less than 500 employees), which will come into effect on January 1, 2020</w:t>
      </w:r>
      <w:r w:rsidR="00F42D6A" w:rsidRPr="00CB2C31">
        <w:rPr>
          <w:lang w:val="en-US"/>
        </w:rPr>
        <w:t xml:space="preserve">.  </w:t>
      </w:r>
      <w:r w:rsidRPr="00CB2C31">
        <w:rPr>
          <w:lang w:val="en-US"/>
        </w:rPr>
        <w:t xml:space="preserve">In addition, this decrease by market </w:t>
      </w:r>
      <w:r w:rsidR="00236E78" w:rsidRPr="00CB2C31">
        <w:rPr>
          <w:lang w:val="en-US"/>
        </w:rPr>
        <w:t>capitalization</w:t>
      </w:r>
      <w:r w:rsidRPr="00CB2C31">
        <w:rPr>
          <w:lang w:val="en-US"/>
        </w:rPr>
        <w:t xml:space="preserve"> might, at least in part, be explained by the concerns voiced by others that, in practice, the suspension of payment of attendance fees as sanction had </w:t>
      </w:r>
      <w:r w:rsidR="00203E75" w:rsidRPr="00203E75">
        <w:rPr>
          <w:i/>
          <w:lang w:val="en-US"/>
        </w:rPr>
        <w:t>“</w:t>
      </w:r>
      <w:r w:rsidRPr="00CB2C31">
        <w:rPr>
          <w:i/>
          <w:lang w:val="en-US"/>
        </w:rPr>
        <w:t>limited effect on smaller companies, since most of these use methods of board member remuneration other than attendance fees</w:t>
      </w:r>
      <w:r w:rsidR="007276F8">
        <w:rPr>
          <w:lang w:val="en-US"/>
        </w:rPr>
        <w:t>.</w:t>
      </w:r>
      <w:r w:rsidR="00203E75" w:rsidRPr="00203E75">
        <w:rPr>
          <w:i/>
          <w:lang w:val="en-US"/>
        </w:rPr>
        <w:t>”</w:t>
      </w:r>
      <w:r w:rsidRPr="00CB2C31">
        <w:rPr>
          <w:rStyle w:val="FootnoteReference"/>
          <w:lang w:val="en-US"/>
        </w:rPr>
        <w:footnoteReference w:id="174"/>
      </w:r>
      <w:r w:rsidR="00A94622" w:rsidRPr="00CB2C31">
        <w:rPr>
          <w:lang w:val="en-US"/>
        </w:rPr>
        <w:t xml:space="preserve"> </w:t>
      </w:r>
      <w:r w:rsidR="0009628A">
        <w:rPr>
          <w:lang w:val="en-US"/>
        </w:rPr>
        <w:t xml:space="preserve"> </w:t>
      </w:r>
      <w:r w:rsidRPr="00CB2C31">
        <w:rPr>
          <w:lang w:val="en-US"/>
        </w:rPr>
        <w:t>This raises the greater concern of monitoring</w:t>
      </w:r>
      <w:r w:rsidR="0018328E">
        <w:rPr>
          <w:lang w:val="en-US"/>
        </w:rPr>
        <w:t xml:space="preserve"> compliance in</w:t>
      </w:r>
      <w:r w:rsidRPr="00CB2C31">
        <w:rPr>
          <w:lang w:val="en-US"/>
        </w:rPr>
        <w:t xml:space="preserve"> the absence of a control instrument or body</w:t>
      </w:r>
      <w:r w:rsidR="00F42D6A" w:rsidRPr="00CB2C31">
        <w:rPr>
          <w:lang w:val="en-US"/>
        </w:rPr>
        <w:t xml:space="preserve">.  </w:t>
      </w:r>
      <w:r w:rsidRPr="00CB2C31">
        <w:rPr>
          <w:lang w:val="en-US"/>
        </w:rPr>
        <w:t>The High Council for Equality between Women and Men</w:t>
      </w:r>
      <w:r w:rsidR="00E97FF3" w:rsidRPr="00CB2C31">
        <w:rPr>
          <w:lang w:val="en-US"/>
        </w:rPr>
        <w:t xml:space="preserve"> (</w:t>
      </w:r>
      <w:r w:rsidR="00E97FF3" w:rsidRPr="00907C35">
        <w:rPr>
          <w:i/>
        </w:rPr>
        <w:t>Haut Conseil à l</w:t>
      </w:r>
      <w:r w:rsidR="00593F1F">
        <w:rPr>
          <w:i/>
        </w:rPr>
        <w:t>’</w:t>
      </w:r>
      <w:r w:rsidR="00E97FF3" w:rsidRPr="00907C35">
        <w:rPr>
          <w:i/>
        </w:rPr>
        <w:t>Egalité entre les Femmes et les Hommes</w:t>
      </w:r>
      <w:r w:rsidRPr="00CB2C31">
        <w:rPr>
          <w:lang w:val="en-US"/>
        </w:rPr>
        <w:t>) and the High Council on Professional</w:t>
      </w:r>
      <w:r w:rsidR="00E97FF3" w:rsidRPr="00CB2C31">
        <w:rPr>
          <w:lang w:val="en-US"/>
        </w:rPr>
        <w:t xml:space="preserve"> Equality between Women and Men (</w:t>
      </w:r>
      <w:r w:rsidR="00E97FF3" w:rsidRPr="00907C35">
        <w:rPr>
          <w:i/>
        </w:rPr>
        <w:t>Conseil Sup</w:t>
      </w:r>
      <w:r w:rsidR="00E97FF3" w:rsidRPr="00907C35">
        <w:rPr>
          <w:rFonts w:ascii="Times New Roman" w:hAnsi="Times New Roman" w:cs="Times New Roman"/>
          <w:i/>
        </w:rPr>
        <w:t>é</w:t>
      </w:r>
      <w:r w:rsidR="00E97FF3" w:rsidRPr="00907C35">
        <w:rPr>
          <w:i/>
        </w:rPr>
        <w:t>rieur de l</w:t>
      </w:r>
      <w:r w:rsidR="00593F1F">
        <w:rPr>
          <w:i/>
        </w:rPr>
        <w:t>’</w:t>
      </w:r>
      <w:r w:rsidR="00E97FF3" w:rsidRPr="00907C35">
        <w:rPr>
          <w:i/>
        </w:rPr>
        <w:t>Egalit</w:t>
      </w:r>
      <w:r w:rsidR="00E97FF3" w:rsidRPr="00907C35">
        <w:rPr>
          <w:rFonts w:ascii="Times New Roman" w:hAnsi="Times New Roman" w:cs="Times New Roman"/>
          <w:i/>
        </w:rPr>
        <w:t>é</w:t>
      </w:r>
      <w:r w:rsidR="00E97FF3" w:rsidRPr="00907C35">
        <w:rPr>
          <w:i/>
        </w:rPr>
        <w:t xml:space="preserve"> Professionnelle entre les Femmes et les Hommes</w:t>
      </w:r>
      <w:r w:rsidR="00E97FF3" w:rsidRPr="00CB2C31">
        <w:rPr>
          <w:lang w:val="en-US"/>
        </w:rPr>
        <w:t xml:space="preserve">) </w:t>
      </w:r>
      <w:r w:rsidRPr="00CB2C31">
        <w:rPr>
          <w:lang w:val="en-US"/>
        </w:rPr>
        <w:t>have recommended the creation of a body with responsibility to ensure compliance with mandatory gender quotas.</w:t>
      </w:r>
      <w:r w:rsidRPr="00CB2C31">
        <w:rPr>
          <w:rStyle w:val="FootnoteReference"/>
          <w:lang w:val="en-US"/>
        </w:rPr>
        <w:footnoteReference w:id="175"/>
      </w:r>
    </w:p>
    <w:p w14:paraId="5CA7A1F6" w14:textId="41561BA8" w:rsidR="006731C4" w:rsidRPr="00CB2C31" w:rsidRDefault="008019CB" w:rsidP="00623C41">
      <w:pPr>
        <w:pStyle w:val="DoublePara"/>
        <w:rPr>
          <w:lang w:val="en-US"/>
        </w:rPr>
      </w:pPr>
      <w:r w:rsidRPr="00CB2C31">
        <w:rPr>
          <w:lang w:val="en-US"/>
        </w:rPr>
        <w:t xml:space="preserve">Nevertheless, it cannot be denied that </w:t>
      </w:r>
      <w:r w:rsidRPr="00CB2C31">
        <w:rPr>
          <w:lang w:val="en-US" w:eastAsia="en-GB"/>
        </w:rPr>
        <w:t>huge</w:t>
      </w:r>
      <w:r w:rsidRPr="00CB2C31">
        <w:rPr>
          <w:lang w:val="en-US"/>
        </w:rPr>
        <w:t xml:space="preserve"> progress has been made, with the number of women on </w:t>
      </w:r>
      <w:r w:rsidR="00EB2AFD">
        <w:rPr>
          <w:lang w:val="en-US"/>
        </w:rPr>
        <w:t xml:space="preserve">the </w:t>
      </w:r>
      <w:r w:rsidRPr="00CB2C31">
        <w:rPr>
          <w:lang w:val="en-US"/>
        </w:rPr>
        <w:t>corporate boards of the largest listed companies having almost quadrupled si</w:t>
      </w:r>
      <w:r w:rsidR="00A90F6F" w:rsidRPr="00CB2C31">
        <w:rPr>
          <w:lang w:val="en-US"/>
        </w:rPr>
        <w:t>nce 2010, when it stood at 12%</w:t>
      </w:r>
      <w:r w:rsidR="00F42D6A" w:rsidRPr="00CB2C31">
        <w:rPr>
          <w:lang w:val="en-US"/>
        </w:rPr>
        <w:t xml:space="preserve">.  </w:t>
      </w:r>
      <w:r w:rsidRPr="00CB2C31">
        <w:rPr>
          <w:lang w:val="en-US"/>
        </w:rPr>
        <w:t xml:space="preserve">Since the Gender Law was </w:t>
      </w:r>
      <w:r w:rsidRPr="00CB2C31">
        <w:rPr>
          <w:lang w:val="en-US" w:eastAsia="en-GB"/>
        </w:rPr>
        <w:t>passed</w:t>
      </w:r>
      <w:r w:rsidRPr="00CB2C31">
        <w:rPr>
          <w:lang w:val="en-US"/>
        </w:rPr>
        <w:t xml:space="preserve">, gender equality has been further boosted by the enthusiastic support of French president Emmanuel Macron, who declared it in 2018 to be a </w:t>
      </w:r>
      <w:r w:rsidR="00593F1F">
        <w:rPr>
          <w:lang w:val="en-US"/>
        </w:rPr>
        <w:t>‘</w:t>
      </w:r>
      <w:r w:rsidRPr="00907C35">
        <w:rPr>
          <w:i/>
        </w:rPr>
        <w:t>grande cause nationale</w:t>
      </w:r>
      <w:r w:rsidR="00593F1F">
        <w:rPr>
          <w:lang w:val="en-US"/>
        </w:rPr>
        <w:t>’</w:t>
      </w:r>
      <w:r w:rsidRPr="00CB2C31">
        <w:rPr>
          <w:lang w:val="en-US"/>
        </w:rPr>
        <w:t xml:space="preserve"> (i.e.</w:t>
      </w:r>
      <w:r w:rsidR="00687DCA">
        <w:rPr>
          <w:lang w:val="en-US"/>
        </w:rPr>
        <w:t>,</w:t>
      </w:r>
      <w:r w:rsidRPr="00CB2C31">
        <w:rPr>
          <w:lang w:val="en-US"/>
        </w:rPr>
        <w:t xml:space="preserve"> cause of national importance) for his presidency and has created a Ministry of Gender Equality.</w:t>
      </w:r>
      <w:r w:rsidRPr="00CB2C31">
        <w:rPr>
          <w:rStyle w:val="FootnoteReference"/>
          <w:lang w:val="en-US"/>
        </w:rPr>
        <w:footnoteReference w:id="176"/>
      </w:r>
      <w:r w:rsidR="00A94622" w:rsidRPr="00CB2C31">
        <w:rPr>
          <w:lang w:val="en-US"/>
        </w:rPr>
        <w:t xml:space="preserve"> </w:t>
      </w:r>
      <w:r w:rsidR="0009628A">
        <w:rPr>
          <w:lang w:val="en-US"/>
        </w:rPr>
        <w:t xml:space="preserve"> </w:t>
      </w:r>
      <w:r w:rsidRPr="00CB2C31">
        <w:rPr>
          <w:lang w:val="en-US"/>
        </w:rPr>
        <w:t xml:space="preserve">It is therefore hoped progress will now boost female participation in management committees and in </w:t>
      </w:r>
      <w:r w:rsidR="00CE47FA" w:rsidRPr="00CB2C31">
        <w:rPr>
          <w:lang w:val="en-US"/>
        </w:rPr>
        <w:t>chairperson</w:t>
      </w:r>
      <w:r w:rsidRPr="00CB2C31">
        <w:rPr>
          <w:lang w:val="en-US"/>
        </w:rPr>
        <w:t xml:space="preserve"> positions.</w:t>
      </w:r>
      <w:r w:rsidR="00CC2020" w:rsidRPr="00CB2C31">
        <w:rPr>
          <w:lang w:val="en-US"/>
        </w:rPr>
        <w:t xml:space="preserve"> </w:t>
      </w:r>
    </w:p>
    <w:p w14:paraId="25FD2F56" w14:textId="2B2ABC1B" w:rsidR="008019CB" w:rsidRPr="00CB2C31" w:rsidRDefault="00557A0F" w:rsidP="00623C41">
      <w:pPr>
        <w:pStyle w:val="DoublePara"/>
        <w:rPr>
          <w:lang w:val="en-US"/>
        </w:rPr>
      </w:pPr>
      <w:r w:rsidRPr="00CB2C31">
        <w:rPr>
          <w:lang w:val="en-US"/>
        </w:rPr>
        <w:t xml:space="preserve">Finally, France has also seen </w:t>
      </w:r>
      <w:r w:rsidRPr="00D900CE">
        <w:rPr>
          <w:lang w:val="en-US"/>
        </w:rPr>
        <w:t>several training program</w:t>
      </w:r>
      <w:r w:rsidRPr="00D900CE">
        <w:rPr>
          <w:b/>
          <w:lang w:val="en-US"/>
        </w:rPr>
        <w:t>s</w:t>
      </w:r>
      <w:r w:rsidRPr="00CB2C31">
        <w:rPr>
          <w:lang w:val="en-US"/>
        </w:rPr>
        <w:t xml:space="preserve"> and other private sector initiatives to promote </w:t>
      </w:r>
      <w:r w:rsidR="001816F9">
        <w:rPr>
          <w:lang w:val="en-US"/>
        </w:rPr>
        <w:t>women’</w:t>
      </w:r>
      <w:r w:rsidR="001816F9" w:rsidRPr="00CB2C31">
        <w:rPr>
          <w:lang w:val="en-US"/>
        </w:rPr>
        <w:t xml:space="preserve">s </w:t>
      </w:r>
      <w:r w:rsidRPr="00CB2C31">
        <w:rPr>
          <w:lang w:val="en-US"/>
        </w:rPr>
        <w:t>board participation</w:t>
      </w:r>
      <w:r w:rsidR="00F42D6A" w:rsidRPr="00CB2C31">
        <w:rPr>
          <w:lang w:val="en-US"/>
        </w:rPr>
        <w:t xml:space="preserve">.  </w:t>
      </w:r>
      <w:r w:rsidR="008019CB" w:rsidRPr="00CB2C31">
        <w:rPr>
          <w:lang w:val="en-US"/>
        </w:rPr>
        <w:t xml:space="preserve">In order to best prepare women for boardroom roles, a number of </w:t>
      </w:r>
      <w:r w:rsidR="008D1D60" w:rsidRPr="00D900CE">
        <w:rPr>
          <w:b/>
          <w:lang w:val="en-US"/>
        </w:rPr>
        <w:t xml:space="preserve">private sector </w:t>
      </w:r>
      <w:r w:rsidR="008019CB" w:rsidRPr="00D900CE">
        <w:rPr>
          <w:b/>
          <w:lang w:val="en-US"/>
        </w:rPr>
        <w:t>training programs</w:t>
      </w:r>
      <w:r w:rsidR="008019CB" w:rsidRPr="00CB2C31">
        <w:rPr>
          <w:lang w:val="en-US"/>
        </w:rPr>
        <w:t xml:space="preserve"> have sprung up, including </w:t>
      </w:r>
      <w:r w:rsidR="00203E75" w:rsidRPr="00203E75">
        <w:rPr>
          <w:i/>
          <w:lang w:val="en-US"/>
        </w:rPr>
        <w:t>“</w:t>
      </w:r>
      <w:r w:rsidR="008019CB" w:rsidRPr="00CB2C31">
        <w:rPr>
          <w:i/>
          <w:lang w:val="en-US"/>
        </w:rPr>
        <w:t xml:space="preserve">Women, Be </w:t>
      </w:r>
      <w:r w:rsidR="008019CB" w:rsidRPr="00CB2C31">
        <w:rPr>
          <w:i/>
          <w:lang w:val="en-US" w:eastAsia="en-GB"/>
        </w:rPr>
        <w:t>European</w:t>
      </w:r>
      <w:r w:rsidR="008019CB" w:rsidRPr="00CB2C31">
        <w:rPr>
          <w:i/>
          <w:lang w:val="en-US"/>
        </w:rPr>
        <w:t xml:space="preserve"> Board Ready</w:t>
      </w:r>
      <w:r w:rsidR="007276F8">
        <w:rPr>
          <w:lang w:val="en-US"/>
        </w:rPr>
        <w:t>,</w:t>
      </w:r>
      <w:r w:rsidR="00203E75" w:rsidRPr="00203E75">
        <w:rPr>
          <w:i/>
          <w:lang w:val="en-US"/>
        </w:rPr>
        <w:t>”</w:t>
      </w:r>
      <w:r w:rsidR="008019CB" w:rsidRPr="00CB2C31">
        <w:rPr>
          <w:lang w:val="en-US"/>
        </w:rPr>
        <w:t xml:space="preserve"> a training program created by the ESSEC business school (Professor Viviane de Beaufort) and supported by numerous sponsors and by the European Commission.</w:t>
      </w:r>
      <w:r w:rsidR="008019CB" w:rsidRPr="00CB2C31">
        <w:rPr>
          <w:rStyle w:val="FootnoteReference"/>
          <w:lang w:val="en-US"/>
        </w:rPr>
        <w:footnoteReference w:id="177"/>
      </w:r>
      <w:r w:rsidR="006731C4" w:rsidRPr="00CB2C31">
        <w:rPr>
          <w:lang w:val="en-US"/>
        </w:rPr>
        <w:t xml:space="preserve"> </w:t>
      </w:r>
      <w:r w:rsidR="0009628A">
        <w:rPr>
          <w:lang w:val="en-US"/>
        </w:rPr>
        <w:t xml:space="preserve"> </w:t>
      </w:r>
      <w:r w:rsidR="008D1D60" w:rsidRPr="00CB2C31">
        <w:rPr>
          <w:lang w:val="en-US"/>
        </w:rPr>
        <w:t xml:space="preserve">On July 10, 2018, </w:t>
      </w:r>
      <w:r w:rsidR="008019CB" w:rsidRPr="00CB2C31">
        <w:rPr>
          <w:lang w:val="en-US"/>
        </w:rPr>
        <w:t>a White Paper was issued by the Female Board Members Federation (</w:t>
      </w:r>
      <w:r w:rsidR="008019CB" w:rsidRPr="00907C35">
        <w:rPr>
          <w:i/>
        </w:rPr>
        <w:t>F</w:t>
      </w:r>
      <w:r w:rsidR="008019CB" w:rsidRPr="00907C35">
        <w:rPr>
          <w:rFonts w:ascii="Times New Roman" w:hAnsi="Times New Roman" w:cs="Times New Roman"/>
          <w:i/>
        </w:rPr>
        <w:t>é</w:t>
      </w:r>
      <w:r w:rsidR="008019CB" w:rsidRPr="00907C35">
        <w:rPr>
          <w:i/>
        </w:rPr>
        <w:t>d</w:t>
      </w:r>
      <w:r w:rsidR="008019CB" w:rsidRPr="00907C35">
        <w:rPr>
          <w:rFonts w:ascii="Times New Roman" w:hAnsi="Times New Roman" w:cs="Times New Roman"/>
          <w:i/>
        </w:rPr>
        <w:t>é</w:t>
      </w:r>
      <w:r w:rsidR="008019CB" w:rsidRPr="00907C35">
        <w:rPr>
          <w:i/>
        </w:rPr>
        <w:t>ration des Femmes Administrateurs</w:t>
      </w:r>
      <w:r w:rsidR="008019CB" w:rsidRPr="00CB2C31">
        <w:rPr>
          <w:lang w:val="en-US"/>
        </w:rPr>
        <w:t xml:space="preserve">, </w:t>
      </w:r>
      <w:r w:rsidR="008019CB" w:rsidRPr="00CB2C31">
        <w:rPr>
          <w:i/>
          <w:lang w:val="en-US"/>
        </w:rPr>
        <w:t>FFA</w:t>
      </w:r>
      <w:r w:rsidR="008019CB" w:rsidRPr="00CB2C31">
        <w:rPr>
          <w:lang w:val="en-US"/>
        </w:rPr>
        <w:t>),</w:t>
      </w:r>
      <w:r w:rsidR="008019CB" w:rsidRPr="00CB2C31">
        <w:rPr>
          <w:rStyle w:val="FootnoteReference"/>
          <w:lang w:val="en-US"/>
        </w:rPr>
        <w:footnoteReference w:id="178"/>
      </w:r>
      <w:r w:rsidR="008019CB" w:rsidRPr="00CB2C31">
        <w:rPr>
          <w:lang w:val="en-US"/>
        </w:rPr>
        <w:t xml:space="preserve"> which makes the following recommendations to improv</w:t>
      </w:r>
      <w:r w:rsidR="00943D96">
        <w:rPr>
          <w:lang w:val="en-US"/>
        </w:rPr>
        <w:t>e board governance and decision-</w:t>
      </w:r>
      <w:r w:rsidR="008019CB" w:rsidRPr="00CB2C31">
        <w:rPr>
          <w:lang w:val="en-US"/>
        </w:rPr>
        <w:t>making:</w:t>
      </w:r>
    </w:p>
    <w:p w14:paraId="7D0DCF54" w14:textId="217F1DB8" w:rsidR="008019CB" w:rsidRPr="00CB2C31" w:rsidRDefault="008019CB" w:rsidP="00623C41">
      <w:pPr>
        <w:pStyle w:val="LegalCombo5"/>
      </w:pPr>
      <w:r w:rsidRPr="00CB2C31">
        <w:t>size of the board to be tailored to the organization to promote efficiency (five to nine members for small and medium</w:t>
      </w:r>
      <w:r w:rsidR="00A24BDC">
        <w:t>-</w:t>
      </w:r>
      <w:r w:rsidRPr="00CB2C31">
        <w:t>sized entities, capped at 17 members for all other entitie</w:t>
      </w:r>
      <w:r w:rsidR="00CA0DC4" w:rsidRPr="00CB2C31">
        <w:t>s and a requirement to have one-</w:t>
      </w:r>
      <w:r w:rsidRPr="00CB2C31">
        <w:t>third of external/non-executive directors in the largest structures);</w:t>
      </w:r>
    </w:p>
    <w:p w14:paraId="15D7C899" w14:textId="77777777" w:rsidR="008019CB" w:rsidRPr="00CB2C31" w:rsidRDefault="008019CB" w:rsidP="00623C41">
      <w:pPr>
        <w:pStyle w:val="LegalCombo5"/>
      </w:pPr>
      <w:r w:rsidRPr="00CB2C31">
        <w:t>regular renewal of the corporate boards in order to bring in relevant competencies as and when required to accompany the evolution of the company, with a formal evaluation of board performance every two years and regular self-evaluation by the board based on targets;</w:t>
      </w:r>
    </w:p>
    <w:p w14:paraId="12374B75" w14:textId="77777777" w:rsidR="008019CB" w:rsidRPr="00CB2C31" w:rsidRDefault="008019CB" w:rsidP="00623C41">
      <w:pPr>
        <w:pStyle w:val="LegalCombo5"/>
      </w:pPr>
      <w:r w:rsidRPr="00CB2C31">
        <w:t>recruitment of members with a more diversified background in order to promote a greater mix of experience, in terms of size and sector (start-ups, medium or large companies, charities or associations, etc.), technical competencies (finance, engineering, legal, digital, marketing, etc.), cultural background, gender, age, governance expertise and keen interest in social and environmental matters;</w:t>
      </w:r>
    </w:p>
    <w:p w14:paraId="6E5691FB" w14:textId="77777777" w:rsidR="008019CB" w:rsidRPr="00CB2C31" w:rsidRDefault="008019CB" w:rsidP="00623C41">
      <w:pPr>
        <w:pStyle w:val="LegalCombo5"/>
      </w:pPr>
      <w:r w:rsidRPr="00CB2C31">
        <w:t>greater awareness of the opportunities and pitfalls of the e-economy and greater use of digital resources; and</w:t>
      </w:r>
    </w:p>
    <w:p w14:paraId="0A2B3928" w14:textId="6140A253" w:rsidR="008019CB" w:rsidRPr="00CB2C31" w:rsidRDefault="008019CB" w:rsidP="00623C41">
      <w:pPr>
        <w:pStyle w:val="LegalCombo5"/>
      </w:pPr>
      <w:r w:rsidRPr="00CB2C31">
        <w:t xml:space="preserve">greater use of external/non-executive board members (at least two on the boards of medium and large entities), with more emphasis on their independence of mind, objectivity, readiness to challenge established positions and focus on the </w:t>
      </w:r>
      <w:r w:rsidR="00EB2AFD" w:rsidRPr="00CB2C31">
        <w:t>long</w:t>
      </w:r>
      <w:r w:rsidR="00EB2AFD">
        <w:t>-</w:t>
      </w:r>
      <w:r w:rsidRPr="00CB2C31">
        <w:t xml:space="preserve">term best interests of the company, so as to exercise a supervisory and mediator role in the event of a crisis or </w:t>
      </w:r>
      <w:r w:rsidR="00FF59F6" w:rsidRPr="00CB2C31">
        <w:t>conflict</w:t>
      </w:r>
      <w:r w:rsidR="00FF59F6">
        <w:t>-</w:t>
      </w:r>
      <w:r w:rsidR="00FF59F6" w:rsidRPr="00CB2C31">
        <w:t>of</w:t>
      </w:r>
      <w:r w:rsidR="00FF59F6">
        <w:t>-</w:t>
      </w:r>
      <w:r w:rsidR="0097685E" w:rsidRPr="00CB2C31">
        <w:t>interest situation.</w:t>
      </w:r>
    </w:p>
    <w:p w14:paraId="373C6775" w14:textId="77777777" w:rsidR="0024627F" w:rsidRPr="00CB2C31" w:rsidRDefault="006731C4" w:rsidP="00623C41">
      <w:pPr>
        <w:pStyle w:val="DoublePara"/>
        <w:rPr>
          <w:lang w:val="en-US"/>
        </w:rPr>
      </w:pPr>
      <w:bookmarkStart w:id="230" w:name="_Toc15027253"/>
      <w:bookmarkStart w:id="231" w:name="_Toc15027644"/>
      <w:bookmarkStart w:id="232" w:name="_Toc15027922"/>
      <w:bookmarkStart w:id="233" w:name="_Toc16692487"/>
      <w:r w:rsidRPr="00CB2C31">
        <w:rPr>
          <w:lang w:val="en-US"/>
        </w:rPr>
        <w:t>All of t</w:t>
      </w:r>
      <w:r w:rsidR="00A90F6F" w:rsidRPr="00CB2C31">
        <w:rPr>
          <w:lang w:val="en-US"/>
        </w:rPr>
        <w:t>hese efforts have paid off</w:t>
      </w:r>
      <w:r w:rsidR="00EB2AFD">
        <w:rPr>
          <w:lang w:val="en-US"/>
        </w:rPr>
        <w:t>,</w:t>
      </w:r>
      <w:r w:rsidR="00A90F6F" w:rsidRPr="00CB2C31">
        <w:rPr>
          <w:lang w:val="en-US"/>
        </w:rPr>
        <w:t xml:space="preserve"> as France is among only six countries to which the World Bank awarded a score of 100 out of 100 on February 27, 2019 on the release of its new </w:t>
      </w:r>
      <w:r w:rsidR="00D858DE">
        <w:rPr>
          <w:lang w:val="en-US"/>
        </w:rPr>
        <w:t xml:space="preserve">WBL </w:t>
      </w:r>
      <w:r w:rsidR="00A90F6F" w:rsidRPr="00CB2C31">
        <w:rPr>
          <w:lang w:val="en-US"/>
        </w:rPr>
        <w:t>index.</w:t>
      </w:r>
      <w:r w:rsidR="00A90F6F" w:rsidRPr="00CB2C31">
        <w:rPr>
          <w:vertAlign w:val="superscript"/>
          <w:lang w:val="en-US"/>
        </w:rPr>
        <w:footnoteReference w:id="179"/>
      </w:r>
      <w:r w:rsidR="00A90F6F" w:rsidRPr="00CB2C31">
        <w:rPr>
          <w:vertAlign w:val="superscript"/>
          <w:lang w:val="en-US"/>
        </w:rPr>
        <w:t xml:space="preserve"> </w:t>
      </w:r>
    </w:p>
    <w:p w14:paraId="2359C8A0" w14:textId="77777777" w:rsidR="00F23CD0" w:rsidRPr="002E5273" w:rsidRDefault="00F23CD0" w:rsidP="00623C41">
      <w:pPr>
        <w:pStyle w:val="LegalCombo3"/>
        <w:rPr>
          <w:b w:val="0"/>
        </w:rPr>
      </w:pPr>
      <w:bookmarkStart w:id="234" w:name="_Toc22904994"/>
      <w:bookmarkStart w:id="235" w:name="_Toc24114393"/>
      <w:r w:rsidRPr="002E5273">
        <w:t>Germany</w:t>
      </w:r>
      <w:bookmarkEnd w:id="188"/>
      <w:bookmarkEnd w:id="230"/>
      <w:bookmarkEnd w:id="231"/>
      <w:bookmarkEnd w:id="232"/>
      <w:bookmarkEnd w:id="233"/>
      <w:bookmarkEnd w:id="234"/>
      <w:bookmarkEnd w:id="235"/>
    </w:p>
    <w:p w14:paraId="467262CA" w14:textId="77777777" w:rsidR="00506182" w:rsidRPr="00CB2C31" w:rsidRDefault="00506182" w:rsidP="00623C41">
      <w:pPr>
        <w:pStyle w:val="LegalCombo4"/>
        <w:keepNext/>
      </w:pPr>
      <w:bookmarkStart w:id="236" w:name="_Toc9264270"/>
      <w:bookmarkStart w:id="237" w:name="_Toc9325687"/>
      <w:bookmarkStart w:id="238" w:name="_Toc15027254"/>
      <w:bookmarkStart w:id="239" w:name="_Toc15027645"/>
      <w:bookmarkStart w:id="240" w:name="_Toc15027923"/>
      <w:r w:rsidRPr="00CB2C31">
        <w:t xml:space="preserve">Introduction </w:t>
      </w:r>
      <w:bookmarkEnd w:id="236"/>
      <w:bookmarkEnd w:id="237"/>
      <w:bookmarkEnd w:id="238"/>
      <w:bookmarkEnd w:id="239"/>
      <w:bookmarkEnd w:id="240"/>
    </w:p>
    <w:p w14:paraId="2D44AFDB" w14:textId="77777777" w:rsidR="00114EAB" w:rsidRPr="00CB2C31" w:rsidRDefault="00A46842" w:rsidP="00623C41">
      <w:pPr>
        <w:pStyle w:val="DoublePara"/>
        <w:rPr>
          <w:lang w:val="en-US"/>
        </w:rPr>
      </w:pPr>
      <w:r w:rsidRPr="00CB2C31">
        <w:rPr>
          <w:lang w:val="en-US"/>
        </w:rPr>
        <w:t xml:space="preserve">Traditionally, Germany has been less prescriptive with its corporate governance principles than other </w:t>
      </w:r>
      <w:r w:rsidR="002F6D1B" w:rsidRPr="00CB2C31">
        <w:rPr>
          <w:lang w:val="en-US"/>
        </w:rPr>
        <w:t>European countries</w:t>
      </w:r>
      <w:r w:rsidR="00F42D6A" w:rsidRPr="00CB2C31">
        <w:rPr>
          <w:lang w:val="en-US"/>
        </w:rPr>
        <w:t xml:space="preserve">.  </w:t>
      </w:r>
      <w:r w:rsidR="002F6D1B" w:rsidRPr="00CB2C31">
        <w:rPr>
          <w:lang w:val="en-US"/>
        </w:rPr>
        <w:t xml:space="preserve">However, since 2016, Germany </w:t>
      </w:r>
      <w:r w:rsidRPr="00CB2C31">
        <w:rPr>
          <w:lang w:val="en-US"/>
        </w:rPr>
        <w:t>has imposed a legal gender quota for women on boards</w:t>
      </w:r>
      <w:r w:rsidR="00F42D6A" w:rsidRPr="00CB2C31">
        <w:rPr>
          <w:lang w:val="en-US"/>
        </w:rPr>
        <w:t xml:space="preserve">.  </w:t>
      </w:r>
      <w:r w:rsidRPr="00CB2C31">
        <w:rPr>
          <w:lang w:val="en-US"/>
        </w:rPr>
        <w:t>Further details of German corporate governance requirements are set out below.</w:t>
      </w:r>
    </w:p>
    <w:p w14:paraId="3F1B418C" w14:textId="77777777" w:rsidR="00A46842" w:rsidRPr="00CB2C31" w:rsidRDefault="00B328FD" w:rsidP="00623C41">
      <w:pPr>
        <w:pStyle w:val="LegalCombo4"/>
        <w:keepNext/>
      </w:pPr>
      <w:r w:rsidRPr="00CB2C31">
        <w:t>Corporate Governance</w:t>
      </w:r>
    </w:p>
    <w:p w14:paraId="13AE5B4C" w14:textId="77777777" w:rsidR="00D65ECF" w:rsidRPr="00CB2C31" w:rsidRDefault="00D65ECF" w:rsidP="00623C41">
      <w:pPr>
        <w:pStyle w:val="DoublePara"/>
        <w:rPr>
          <w:lang w:val="en-US"/>
        </w:rPr>
      </w:pPr>
      <w:r w:rsidRPr="00CB2C31">
        <w:rPr>
          <w:lang w:val="en-US"/>
        </w:rPr>
        <w:t>Corporate governance rules in Germany can be found in the German Stock Corporation Act and Co-</w:t>
      </w:r>
      <w:r w:rsidRPr="00CB2C31">
        <w:rPr>
          <w:lang w:val="en-US" w:eastAsia="en-GB"/>
        </w:rPr>
        <w:t>Determination</w:t>
      </w:r>
      <w:r w:rsidRPr="00CB2C31">
        <w:rPr>
          <w:lang w:val="en-US"/>
        </w:rPr>
        <w:t xml:space="preserve"> Act, and best practices can be found in the non-binding German Corporate Governance Code.</w:t>
      </w:r>
      <w:bookmarkStart w:id="241" w:name="_Ref16194547"/>
      <w:r w:rsidRPr="00CB2C31">
        <w:rPr>
          <w:rStyle w:val="FootnoteReference"/>
          <w:lang w:val="en-US"/>
        </w:rPr>
        <w:footnoteReference w:id="180"/>
      </w:r>
      <w:bookmarkEnd w:id="241"/>
      <w:r w:rsidR="00FD3559" w:rsidRPr="00CB2C31">
        <w:rPr>
          <w:lang w:val="en-US"/>
        </w:rPr>
        <w:t xml:space="preserve"> </w:t>
      </w:r>
      <w:r w:rsidR="0009628A">
        <w:rPr>
          <w:lang w:val="en-US"/>
        </w:rPr>
        <w:t xml:space="preserve"> </w:t>
      </w:r>
      <w:r w:rsidR="00A46842" w:rsidRPr="00CB2C31">
        <w:rPr>
          <w:lang w:val="en-US"/>
        </w:rPr>
        <w:t xml:space="preserve">There is a prescribed minimum of two members on the management board, and a prescribed minimum of three </w:t>
      </w:r>
      <w:r w:rsidR="00A46842" w:rsidRPr="00CB2C31">
        <w:rPr>
          <w:lang w:val="en-US" w:eastAsia="en-GB"/>
        </w:rPr>
        <w:t>and</w:t>
      </w:r>
      <w:r w:rsidR="00A46842" w:rsidRPr="00CB2C31">
        <w:rPr>
          <w:lang w:val="en-US"/>
        </w:rPr>
        <w:t xml:space="preserve"> maximum of 21 members on the supervisory board.</w:t>
      </w:r>
      <w:bookmarkStart w:id="242" w:name="_Ref16194587"/>
      <w:r w:rsidR="00A46842" w:rsidRPr="00CB2C31">
        <w:rPr>
          <w:rStyle w:val="FootnoteReference"/>
          <w:lang w:val="en-US"/>
        </w:rPr>
        <w:footnoteReference w:id="181"/>
      </w:r>
      <w:bookmarkEnd w:id="242"/>
      <w:r w:rsidR="00A46842" w:rsidRPr="00CB2C31">
        <w:rPr>
          <w:lang w:val="en-US"/>
        </w:rPr>
        <w:t xml:space="preserve"> </w:t>
      </w:r>
      <w:r w:rsidR="0009628A">
        <w:rPr>
          <w:lang w:val="en-US"/>
        </w:rPr>
        <w:t xml:space="preserve"> </w:t>
      </w:r>
      <w:r w:rsidR="00A46842" w:rsidRPr="00CB2C31">
        <w:rPr>
          <w:lang w:val="en-US"/>
        </w:rPr>
        <w:t xml:space="preserve">Although there are no legal requirements on the nationality of members of the management </w:t>
      </w:r>
      <w:r w:rsidR="009A19EF" w:rsidRPr="00CB2C31">
        <w:rPr>
          <w:lang w:val="en-US"/>
        </w:rPr>
        <w:t>board and the supervisory board</w:t>
      </w:r>
      <w:r w:rsidR="00BD5FDB" w:rsidRPr="00CB2C31">
        <w:rPr>
          <w:lang w:val="en-US"/>
        </w:rPr>
        <w:t>,</w:t>
      </w:r>
      <w:r w:rsidR="00A46842" w:rsidRPr="00CB2C31">
        <w:rPr>
          <w:rStyle w:val="FootnoteReference"/>
          <w:lang w:val="en-US"/>
        </w:rPr>
        <w:footnoteReference w:id="182"/>
      </w:r>
      <w:r w:rsidR="00A46842" w:rsidRPr="00CB2C31">
        <w:rPr>
          <w:lang w:val="en-US"/>
        </w:rPr>
        <w:t xml:space="preserve"> the German Corporate Governance Code recommends that the supervisory board consider the principle of diversity when appointing the management board and when determining concrete objectives for its own composition.</w:t>
      </w:r>
      <w:r w:rsidR="00A46842" w:rsidRPr="00CB2C31">
        <w:rPr>
          <w:rStyle w:val="FootnoteReference"/>
          <w:lang w:val="en-US"/>
        </w:rPr>
        <w:footnoteReference w:id="183"/>
      </w:r>
      <w:r w:rsidR="002F6D1B" w:rsidRPr="00CB2C31">
        <w:rPr>
          <w:lang w:val="en-US"/>
        </w:rPr>
        <w:t xml:space="preserve"> </w:t>
      </w:r>
      <w:r w:rsidR="0009628A">
        <w:rPr>
          <w:lang w:val="en-US"/>
        </w:rPr>
        <w:t xml:space="preserve"> </w:t>
      </w:r>
      <w:r w:rsidRPr="00CB2C31">
        <w:rPr>
          <w:lang w:val="en-US"/>
        </w:rPr>
        <w:t xml:space="preserve">The supervisory board appoints and removes members of the management board by resolution, but removal </w:t>
      </w:r>
      <w:r w:rsidRPr="00CB2C31">
        <w:rPr>
          <w:lang w:val="en-US" w:eastAsia="en-GB"/>
        </w:rPr>
        <w:t>requires</w:t>
      </w:r>
      <w:r w:rsidRPr="00CB2C31">
        <w:rPr>
          <w:lang w:val="en-US"/>
        </w:rPr>
        <w:t xml:space="preserve"> good cause.</w:t>
      </w:r>
      <w:r w:rsidRPr="00CB2C31">
        <w:rPr>
          <w:rStyle w:val="FootnoteReference"/>
          <w:lang w:val="en-US"/>
        </w:rPr>
        <w:footnoteReference w:id="184"/>
      </w:r>
      <w:r w:rsidRPr="00CB2C31">
        <w:rPr>
          <w:lang w:val="en-US"/>
        </w:rPr>
        <w:t xml:space="preserve"> </w:t>
      </w:r>
      <w:r w:rsidR="0009628A">
        <w:rPr>
          <w:lang w:val="en-US"/>
        </w:rPr>
        <w:t xml:space="preserve"> </w:t>
      </w:r>
      <w:r w:rsidRPr="00CB2C31">
        <w:rPr>
          <w:lang w:val="en-US"/>
        </w:rPr>
        <w:t>The maximum term of appointment for management board members and supervisory board members is five years, with reappointment possible.</w:t>
      </w:r>
      <w:r w:rsidRPr="00CB2C31">
        <w:rPr>
          <w:rStyle w:val="FootnoteReference"/>
          <w:lang w:val="en-US"/>
        </w:rPr>
        <w:footnoteReference w:id="185"/>
      </w:r>
    </w:p>
    <w:p w14:paraId="22F1385F" w14:textId="07A02186" w:rsidR="00A46842" w:rsidRPr="00CB2C31" w:rsidRDefault="00A46842" w:rsidP="00623C41">
      <w:pPr>
        <w:pStyle w:val="DoublePara"/>
        <w:rPr>
          <w:lang w:val="en-US"/>
        </w:rPr>
      </w:pPr>
      <w:r w:rsidRPr="00CB2C31">
        <w:rPr>
          <w:lang w:val="en-US"/>
        </w:rPr>
        <w:t xml:space="preserve">With regards to gender, under a 2015 law effective from January 1, 2016, supervisory boards of listed companies </w:t>
      </w:r>
      <w:r w:rsidRPr="00CB2C31">
        <w:rPr>
          <w:lang w:val="en-US" w:eastAsia="en-GB"/>
        </w:rPr>
        <w:t>subject</w:t>
      </w:r>
      <w:r w:rsidRPr="00CB2C31">
        <w:rPr>
          <w:lang w:val="en-US"/>
        </w:rPr>
        <w:t xml:space="preserve"> to specific Co-determination Acts must consist of at least 30% male and 30% female representatives</w:t>
      </w:r>
      <w:r w:rsidR="007276F8">
        <w:rPr>
          <w:lang w:val="en-US"/>
        </w:rPr>
        <w:t xml:space="preserve"> – </w:t>
      </w:r>
      <w:r w:rsidRPr="00CB2C31">
        <w:rPr>
          <w:lang w:val="en-US"/>
        </w:rPr>
        <w:t>this applies to the entire board.</w:t>
      </w:r>
      <w:r w:rsidRPr="00CB2C31">
        <w:rPr>
          <w:rStyle w:val="FootnoteReference"/>
          <w:lang w:val="en-US"/>
        </w:rPr>
        <w:footnoteReference w:id="186"/>
      </w:r>
      <w:r w:rsidR="0009628A">
        <w:rPr>
          <w:lang w:val="en-US"/>
        </w:rPr>
        <w:t xml:space="preserve"> </w:t>
      </w:r>
      <w:r w:rsidRPr="00CB2C31">
        <w:rPr>
          <w:lang w:val="en-US"/>
        </w:rPr>
        <w:t xml:space="preserve"> In addition, the German Stock Corporation Act imposes </w:t>
      </w:r>
      <w:r w:rsidR="000F01AF" w:rsidRPr="00CB2C31">
        <w:rPr>
          <w:lang w:val="en-US"/>
        </w:rPr>
        <w:t xml:space="preserve">a requirement </w:t>
      </w:r>
      <w:r w:rsidRPr="00CB2C31">
        <w:rPr>
          <w:lang w:val="en-US"/>
        </w:rPr>
        <w:t>on all companies that are listed or that are subject to co-determination, to set targets for female participation at the level of the supervisory board, the management board and the two management levels below the management board.</w:t>
      </w:r>
      <w:r w:rsidRPr="00CB2C31">
        <w:rPr>
          <w:rStyle w:val="FootnoteReference"/>
          <w:lang w:val="en-US"/>
        </w:rPr>
        <w:footnoteReference w:id="187"/>
      </w:r>
      <w:r w:rsidRPr="00CB2C31">
        <w:rPr>
          <w:lang w:val="en-US"/>
        </w:rPr>
        <w:t xml:space="preserve"> </w:t>
      </w:r>
      <w:r w:rsidR="0009628A">
        <w:rPr>
          <w:lang w:val="en-US"/>
        </w:rPr>
        <w:t xml:space="preserve"> </w:t>
      </w:r>
      <w:r w:rsidRPr="00CB2C31">
        <w:rPr>
          <w:lang w:val="en-US"/>
        </w:rPr>
        <w:t xml:space="preserve">These targets cannot be set lower than the actual level of female representation existing at </w:t>
      </w:r>
      <w:r w:rsidR="002F6D1B" w:rsidRPr="00CB2C31">
        <w:rPr>
          <w:lang w:val="en-US"/>
        </w:rPr>
        <w:t>the</w:t>
      </w:r>
      <w:r w:rsidRPr="00CB2C31">
        <w:rPr>
          <w:lang w:val="en-US"/>
        </w:rPr>
        <w:t xml:space="preserve"> company at the time</w:t>
      </w:r>
      <w:r w:rsidR="002F6D1B" w:rsidRPr="00CB2C31">
        <w:rPr>
          <w:lang w:val="en-US"/>
        </w:rPr>
        <w:t xml:space="preserve"> in which</w:t>
      </w:r>
      <w:r w:rsidRPr="00CB2C31">
        <w:rPr>
          <w:lang w:val="en-US"/>
        </w:rPr>
        <w:t xml:space="preserve"> the targets are established</w:t>
      </w:r>
      <w:r w:rsidR="00F42D6A" w:rsidRPr="00CB2C31">
        <w:rPr>
          <w:lang w:val="en-US"/>
        </w:rPr>
        <w:t xml:space="preserve">.  </w:t>
      </w:r>
      <w:r w:rsidRPr="00CB2C31">
        <w:rPr>
          <w:lang w:val="en-US"/>
        </w:rPr>
        <w:t>In addition, the companies are required to specify the period in which the targets are to be attained, which can be no longer than five years</w:t>
      </w:r>
      <w:r w:rsidR="00F42D6A" w:rsidRPr="00CB2C31">
        <w:rPr>
          <w:lang w:val="en-US"/>
        </w:rPr>
        <w:t xml:space="preserve">.  </w:t>
      </w:r>
      <w:r w:rsidRPr="00CB2C31">
        <w:rPr>
          <w:lang w:val="en-US"/>
        </w:rPr>
        <w:t>Similar provisions exist in the German Corporate Governance Code.</w:t>
      </w:r>
      <w:r w:rsidRPr="00CB2C31">
        <w:rPr>
          <w:rStyle w:val="FootnoteReference"/>
          <w:lang w:val="en-US"/>
        </w:rPr>
        <w:footnoteReference w:id="188"/>
      </w:r>
      <w:r w:rsidR="00A94622" w:rsidRPr="00CB2C31">
        <w:rPr>
          <w:lang w:val="en-US"/>
        </w:rPr>
        <w:t xml:space="preserve"> </w:t>
      </w:r>
      <w:r w:rsidR="0009628A">
        <w:rPr>
          <w:lang w:val="en-US"/>
        </w:rPr>
        <w:t xml:space="preserve"> </w:t>
      </w:r>
      <w:r w:rsidRPr="00CB2C31">
        <w:rPr>
          <w:lang w:val="en-US"/>
        </w:rPr>
        <w:t>There are no specific penalties for not meeting the participation targets specified by the company</w:t>
      </w:r>
      <w:r w:rsidR="00F42D6A" w:rsidRPr="00CB2C31">
        <w:rPr>
          <w:lang w:val="en-US"/>
        </w:rPr>
        <w:t xml:space="preserve">.  </w:t>
      </w:r>
      <w:r w:rsidRPr="00CB2C31">
        <w:rPr>
          <w:lang w:val="en-US"/>
        </w:rPr>
        <w:t>Nevertheless, if the 30% minimum participation threshold is not met at the level of the supervisory board, then the election of the non-compliant supervisory bo</w:t>
      </w:r>
      <w:r w:rsidR="00B328FD" w:rsidRPr="00CB2C31">
        <w:rPr>
          <w:lang w:val="en-US"/>
        </w:rPr>
        <w:t>ard at</w:t>
      </w:r>
      <w:r w:rsidR="00D65ECF" w:rsidRPr="00CB2C31">
        <w:rPr>
          <w:lang w:val="en-US"/>
        </w:rPr>
        <w:t xml:space="preserve"> the</w:t>
      </w:r>
      <w:r w:rsidR="00B328FD" w:rsidRPr="00CB2C31">
        <w:rPr>
          <w:lang w:val="en-US"/>
        </w:rPr>
        <w:t xml:space="preserve"> general meeting is void.</w:t>
      </w:r>
    </w:p>
    <w:p w14:paraId="1B0C4C1C" w14:textId="77777777" w:rsidR="00A46842" w:rsidRPr="00D900CE" w:rsidRDefault="00A46842" w:rsidP="00623C41">
      <w:pPr>
        <w:pStyle w:val="LegalCombo4"/>
        <w:keepNext/>
        <w:rPr>
          <w:b/>
        </w:rPr>
      </w:pPr>
      <w:bookmarkStart w:id="243" w:name="_Toc15027257"/>
      <w:bookmarkStart w:id="244" w:name="_Toc15027648"/>
      <w:bookmarkStart w:id="245" w:name="_Toc15027926"/>
      <w:r w:rsidRPr="00D900CE">
        <w:rPr>
          <w:b/>
        </w:rPr>
        <w:t xml:space="preserve">Conclusion and Best Practice </w:t>
      </w:r>
      <w:r w:rsidR="00EC3CD4" w:rsidRPr="00D900CE">
        <w:rPr>
          <w:b/>
        </w:rPr>
        <w:t>Analysis</w:t>
      </w:r>
      <w:bookmarkEnd w:id="243"/>
      <w:bookmarkEnd w:id="244"/>
      <w:bookmarkEnd w:id="245"/>
      <w:r w:rsidR="007A4AC7" w:rsidRPr="00D900CE">
        <w:rPr>
          <w:b/>
        </w:rPr>
        <w:t>:</w:t>
      </w:r>
      <w:r w:rsidR="00593F1F" w:rsidRPr="00D900CE">
        <w:rPr>
          <w:b/>
        </w:rPr>
        <w:t xml:space="preserve"> </w:t>
      </w:r>
      <w:r w:rsidR="007A4AC7" w:rsidRPr="00D900CE">
        <w:rPr>
          <w:b/>
        </w:rPr>
        <w:t>Germany</w:t>
      </w:r>
    </w:p>
    <w:p w14:paraId="41D09F78" w14:textId="77777777" w:rsidR="00A46842" w:rsidRPr="00CB2C31" w:rsidRDefault="00A46842" w:rsidP="00623C41">
      <w:pPr>
        <w:pStyle w:val="DoublePara"/>
        <w:rPr>
          <w:lang w:val="en-US"/>
        </w:rPr>
      </w:pPr>
      <w:r w:rsidRPr="00CB2C31">
        <w:rPr>
          <w:lang w:val="en-US"/>
        </w:rPr>
        <w:t xml:space="preserve">Since the implementation of the </w:t>
      </w:r>
      <w:r w:rsidRPr="00D900CE">
        <w:rPr>
          <w:b/>
          <w:lang w:val="en-US"/>
        </w:rPr>
        <w:t>30% gender quota by law</w:t>
      </w:r>
      <w:r w:rsidRPr="00CB2C31">
        <w:rPr>
          <w:lang w:val="en-US"/>
        </w:rPr>
        <w:t>, subject companies have experienced an increase in female participation at the level of the supervisory board</w:t>
      </w:r>
      <w:r w:rsidR="00F42D6A" w:rsidRPr="00CB2C31">
        <w:rPr>
          <w:lang w:val="en-US"/>
        </w:rPr>
        <w:t xml:space="preserve">.  </w:t>
      </w:r>
      <w:r w:rsidRPr="00CB2C31">
        <w:rPr>
          <w:lang w:val="en-US"/>
        </w:rPr>
        <w:t>Before the quota was enacted, in 2015, women represented approximately 21.9% of the m</w:t>
      </w:r>
      <w:r w:rsidR="002F6D1B" w:rsidRPr="00CB2C31">
        <w:rPr>
          <w:lang w:val="en-US"/>
        </w:rPr>
        <w:t>embers of supervisory boards of</w:t>
      </w:r>
      <w:r w:rsidRPr="00CB2C31">
        <w:rPr>
          <w:lang w:val="en-US"/>
        </w:rPr>
        <w:t xml:space="preserve"> German companies</w:t>
      </w:r>
      <w:r w:rsidR="00F42D6A" w:rsidRPr="00CB2C31">
        <w:rPr>
          <w:lang w:val="en-US"/>
        </w:rPr>
        <w:t xml:space="preserve">.  </w:t>
      </w:r>
      <w:r w:rsidRPr="00CB2C31">
        <w:rPr>
          <w:lang w:val="en-US"/>
        </w:rPr>
        <w:t>This number has since increased to 30.9%.</w:t>
      </w:r>
      <w:r w:rsidRPr="00CB2C31">
        <w:rPr>
          <w:rStyle w:val="FootnoteReference"/>
          <w:lang w:val="en-US"/>
        </w:rPr>
        <w:footnoteReference w:id="189"/>
      </w:r>
      <w:r w:rsidRPr="00CB2C31">
        <w:rPr>
          <w:lang w:val="en-US"/>
        </w:rPr>
        <w:t xml:space="preserve"> </w:t>
      </w:r>
      <w:r w:rsidR="0009628A">
        <w:rPr>
          <w:lang w:val="en-US"/>
        </w:rPr>
        <w:t xml:space="preserve"> </w:t>
      </w:r>
      <w:r w:rsidRPr="00CB2C31">
        <w:rPr>
          <w:lang w:val="en-US"/>
        </w:rPr>
        <w:t xml:space="preserve">Nevertheless, there is still </w:t>
      </w:r>
      <w:r w:rsidRPr="00CB2C31">
        <w:rPr>
          <w:lang w:val="en-US" w:eastAsia="en-GB"/>
        </w:rPr>
        <w:t>significant</w:t>
      </w:r>
      <w:r w:rsidR="0007794D">
        <w:rPr>
          <w:lang w:val="en-US"/>
        </w:rPr>
        <w:t xml:space="preserve"> progress </w:t>
      </w:r>
      <w:r w:rsidRPr="00CB2C31">
        <w:rPr>
          <w:lang w:val="en-US"/>
        </w:rPr>
        <w:t>to be made, particularly at the level of corporate senior management</w:t>
      </w:r>
      <w:r w:rsidR="00F42D6A" w:rsidRPr="00CB2C31">
        <w:rPr>
          <w:lang w:val="en-US"/>
        </w:rPr>
        <w:t xml:space="preserve">.  </w:t>
      </w:r>
      <w:r w:rsidRPr="00CB2C31">
        <w:rPr>
          <w:lang w:val="en-US"/>
        </w:rPr>
        <w:t>Within the 160 German listed companies, women only represented 8.8% of the management board of those companies in 2018,</w:t>
      </w:r>
      <w:r w:rsidRPr="00CB2C31">
        <w:rPr>
          <w:rStyle w:val="FootnoteReference"/>
          <w:lang w:val="en-US"/>
        </w:rPr>
        <w:footnoteReference w:id="190"/>
      </w:r>
      <w:r w:rsidRPr="00CB2C31">
        <w:rPr>
          <w:lang w:val="en-US"/>
        </w:rPr>
        <w:t xml:space="preserve"> and within the DAX 30 companies, no woman serves as chief executive officer.</w:t>
      </w:r>
      <w:r w:rsidRPr="00CB2C31">
        <w:rPr>
          <w:rStyle w:val="FootnoteReference"/>
          <w:lang w:val="en-US"/>
        </w:rPr>
        <w:footnoteReference w:id="191"/>
      </w:r>
      <w:r w:rsidR="0009628A">
        <w:rPr>
          <w:lang w:val="en-US"/>
        </w:rPr>
        <w:t xml:space="preserve"> </w:t>
      </w:r>
      <w:r w:rsidRPr="00CB2C31">
        <w:rPr>
          <w:lang w:val="en-US"/>
        </w:rPr>
        <w:t xml:space="preserve"> In addition, of those listed companies that are not subject to the fixed 30% quota but subject to setting a target participation rate, at least 53 companies have set quota targets at zero.</w:t>
      </w:r>
      <w:r w:rsidRPr="00CB2C31">
        <w:rPr>
          <w:rStyle w:val="FootnoteReference"/>
          <w:lang w:val="en-US"/>
        </w:rPr>
        <w:footnoteReference w:id="192"/>
      </w:r>
      <w:r w:rsidR="0097685E" w:rsidRPr="00CB2C31">
        <w:rPr>
          <w:lang w:val="en-US"/>
        </w:rPr>
        <w:t xml:space="preserve"> </w:t>
      </w:r>
      <w:r w:rsidR="0009628A">
        <w:rPr>
          <w:lang w:val="en-US"/>
        </w:rPr>
        <w:t xml:space="preserve"> </w:t>
      </w:r>
      <w:r w:rsidRPr="00CB2C31">
        <w:rPr>
          <w:lang w:val="en-US"/>
        </w:rPr>
        <w:t xml:space="preserve">Although enactment of the quota </w:t>
      </w:r>
      <w:r w:rsidR="00D65ECF" w:rsidRPr="00CB2C31">
        <w:rPr>
          <w:lang w:val="en-US"/>
        </w:rPr>
        <w:t xml:space="preserve">law </w:t>
      </w:r>
      <w:r w:rsidRPr="00CB2C31">
        <w:rPr>
          <w:lang w:val="en-US"/>
        </w:rPr>
        <w:t>has had some effect on increasing the presence of women in the (supervisory) board room, it is apparent that the legislation has not led to significantly increased female representation in leadership positions in Germ</w:t>
      </w:r>
      <w:r w:rsidR="001155B8" w:rsidRPr="00CB2C31">
        <w:rPr>
          <w:lang w:val="en-US"/>
        </w:rPr>
        <w:t>an corporations more generally.</w:t>
      </w:r>
      <w:r w:rsidR="00707BD2" w:rsidRPr="00CB2C31">
        <w:rPr>
          <w:lang w:val="en-US"/>
        </w:rPr>
        <w:t xml:space="preserve">  This is due in no</w:t>
      </w:r>
      <w:r w:rsidR="0007459E" w:rsidRPr="00CB2C31">
        <w:rPr>
          <w:lang w:val="en-US"/>
        </w:rPr>
        <w:t xml:space="preserve"> smal</w:t>
      </w:r>
      <w:r w:rsidR="00D50ECB" w:rsidRPr="00CB2C31">
        <w:rPr>
          <w:lang w:val="en-US"/>
        </w:rPr>
        <w:t>l part to the looseness of the t</w:t>
      </w:r>
      <w:r w:rsidR="0007459E" w:rsidRPr="00CB2C31">
        <w:rPr>
          <w:lang w:val="en-US"/>
        </w:rPr>
        <w:t xml:space="preserve">arget requirements and the absence of penalties for breach. </w:t>
      </w:r>
    </w:p>
    <w:p w14:paraId="7B829B80" w14:textId="77777777" w:rsidR="00506182" w:rsidRPr="002E5273" w:rsidRDefault="00506182" w:rsidP="00623C41">
      <w:pPr>
        <w:pStyle w:val="LegalCombo3"/>
        <w:rPr>
          <w:b w:val="0"/>
        </w:rPr>
      </w:pPr>
      <w:bookmarkStart w:id="246" w:name="_Toc15027258"/>
      <w:bookmarkStart w:id="247" w:name="_Toc15027649"/>
      <w:bookmarkStart w:id="248" w:name="_Toc15027927"/>
      <w:bookmarkStart w:id="249" w:name="_Toc16692488"/>
      <w:bookmarkStart w:id="250" w:name="_Toc22904995"/>
      <w:bookmarkStart w:id="251" w:name="_Toc24114394"/>
      <w:r w:rsidRPr="002E5273">
        <w:t>Italy</w:t>
      </w:r>
      <w:bookmarkEnd w:id="246"/>
      <w:bookmarkEnd w:id="247"/>
      <w:bookmarkEnd w:id="248"/>
      <w:bookmarkEnd w:id="249"/>
      <w:bookmarkEnd w:id="250"/>
      <w:bookmarkEnd w:id="251"/>
    </w:p>
    <w:p w14:paraId="5C9486B1" w14:textId="77777777" w:rsidR="00506182" w:rsidRPr="00CB2C31" w:rsidRDefault="00506182" w:rsidP="00623C41">
      <w:pPr>
        <w:pStyle w:val="LegalCombo4"/>
        <w:keepNext/>
      </w:pPr>
      <w:bookmarkStart w:id="252" w:name="_Toc9264272"/>
      <w:bookmarkStart w:id="253" w:name="_Toc9325689"/>
      <w:bookmarkStart w:id="254" w:name="_Toc15027259"/>
      <w:bookmarkStart w:id="255" w:name="_Toc15027650"/>
      <w:bookmarkStart w:id="256" w:name="_Toc15027928"/>
      <w:r w:rsidRPr="00CB2C31">
        <w:t>Introduction</w:t>
      </w:r>
      <w:bookmarkEnd w:id="252"/>
      <w:bookmarkEnd w:id="253"/>
      <w:bookmarkEnd w:id="254"/>
      <w:bookmarkEnd w:id="255"/>
      <w:bookmarkEnd w:id="256"/>
    </w:p>
    <w:p w14:paraId="4900249E" w14:textId="77777777" w:rsidR="00114EAB" w:rsidRPr="00CB2C31" w:rsidRDefault="001155B8" w:rsidP="00623C41">
      <w:pPr>
        <w:pStyle w:val="DoublePara"/>
        <w:rPr>
          <w:lang w:val="en-US"/>
        </w:rPr>
      </w:pPr>
      <w:r w:rsidRPr="00CB2C31">
        <w:rPr>
          <w:lang w:val="en-US"/>
        </w:rPr>
        <w:t xml:space="preserve">Italy has adopted a proactive approach to gender </w:t>
      </w:r>
      <w:r w:rsidRPr="00CB2C31">
        <w:rPr>
          <w:lang w:val="en-US" w:eastAsia="en-GB"/>
        </w:rPr>
        <w:t>equality</w:t>
      </w:r>
      <w:r w:rsidRPr="00CB2C31">
        <w:rPr>
          <w:lang w:val="en-US"/>
        </w:rPr>
        <w:t xml:space="preserve"> with a binding legal quota for women on corporate boards on a temporary basis, as further detailed below</w:t>
      </w:r>
      <w:r w:rsidR="00F42D6A" w:rsidRPr="00CB2C31">
        <w:rPr>
          <w:lang w:val="en-US"/>
        </w:rPr>
        <w:t xml:space="preserve">.  </w:t>
      </w:r>
      <w:r w:rsidRPr="00CB2C31">
        <w:rPr>
          <w:lang w:val="en-US"/>
        </w:rPr>
        <w:t xml:space="preserve">The below relates only to limited liability companies </w:t>
      </w:r>
      <w:r w:rsidR="00236E78" w:rsidRPr="00CB2C31">
        <w:rPr>
          <w:lang w:val="en-US"/>
        </w:rPr>
        <w:t>organized</w:t>
      </w:r>
      <w:r w:rsidRPr="00CB2C31">
        <w:rPr>
          <w:lang w:val="en-US"/>
        </w:rPr>
        <w:t xml:space="preserve"> as </w:t>
      </w:r>
      <w:r w:rsidRPr="001877C9">
        <w:rPr>
          <w:i/>
          <w:lang w:val="it-IT"/>
        </w:rPr>
        <w:t>Societ</w:t>
      </w:r>
      <w:r w:rsidRPr="001877C9">
        <w:rPr>
          <w:rFonts w:ascii="Times New Roman" w:hAnsi="Times New Roman" w:cs="Times New Roman"/>
          <w:i/>
          <w:lang w:val="it-IT"/>
        </w:rPr>
        <w:t>à</w:t>
      </w:r>
      <w:r w:rsidRPr="001877C9">
        <w:rPr>
          <w:i/>
          <w:lang w:val="it-IT"/>
        </w:rPr>
        <w:t xml:space="preserve"> per Azioni</w:t>
      </w:r>
      <w:r w:rsidRPr="00CB2C31">
        <w:rPr>
          <w:lang w:val="en-US"/>
        </w:rPr>
        <w:t xml:space="preserve"> (</w:t>
      </w:r>
      <w:r w:rsidRPr="005D1DEA">
        <w:rPr>
          <w:b/>
          <w:lang w:val="en-US"/>
        </w:rPr>
        <w:t>S.p.A.</w:t>
      </w:r>
      <w:r w:rsidR="005D1DEA">
        <w:rPr>
          <w:b/>
          <w:lang w:val="en-US"/>
        </w:rPr>
        <w:t>s</w:t>
      </w:r>
      <w:r w:rsidRPr="00CB2C31">
        <w:rPr>
          <w:lang w:val="en-US"/>
        </w:rPr>
        <w:t>), which can be listed and their shares traded on a regulated market.</w:t>
      </w:r>
    </w:p>
    <w:p w14:paraId="2589A5F4" w14:textId="77777777" w:rsidR="001155B8" w:rsidRPr="00CB2C31" w:rsidRDefault="00B328FD" w:rsidP="00623C41">
      <w:pPr>
        <w:pStyle w:val="LegalCombo4"/>
        <w:keepNext/>
      </w:pPr>
      <w:r w:rsidRPr="00CB2C31">
        <w:t>Corporate Governance</w:t>
      </w:r>
    </w:p>
    <w:p w14:paraId="2CB05257" w14:textId="28BE5470" w:rsidR="002F6D1B" w:rsidRPr="00CB2C31" w:rsidRDefault="002F6D1B" w:rsidP="00623C41">
      <w:pPr>
        <w:pStyle w:val="DoublePara"/>
        <w:rPr>
          <w:lang w:val="en-US"/>
        </w:rPr>
      </w:pPr>
      <w:r w:rsidRPr="00CB2C31">
        <w:rPr>
          <w:lang w:val="en-US"/>
        </w:rPr>
        <w:t>Italian corporate governance rules can be found in the Italian Civil Code (</w:t>
      </w:r>
      <w:r w:rsidR="0008474E" w:rsidRPr="001877C9">
        <w:rPr>
          <w:i/>
          <w:lang w:val="it-IT"/>
        </w:rPr>
        <w:t>Codice</w:t>
      </w:r>
      <w:r w:rsidRPr="001877C9">
        <w:rPr>
          <w:i/>
          <w:lang w:val="it-IT"/>
        </w:rPr>
        <w:t xml:space="preserve"> civile</w:t>
      </w:r>
      <w:r w:rsidRPr="00CB2C31">
        <w:rPr>
          <w:i/>
          <w:lang w:val="en-US"/>
        </w:rPr>
        <w:t>)</w:t>
      </w:r>
      <w:r w:rsidR="00F42D6A" w:rsidRPr="00CB2C31">
        <w:rPr>
          <w:lang w:val="en-US"/>
        </w:rPr>
        <w:t xml:space="preserve">.  </w:t>
      </w:r>
      <w:r w:rsidRPr="00CB2C31">
        <w:rPr>
          <w:lang w:val="en-US"/>
        </w:rPr>
        <w:t>In addition, Italian listed companies: (i) are also subject to Legislative Decree No. 58/1998 (</w:t>
      </w:r>
      <w:r w:rsidRPr="001877C9">
        <w:rPr>
          <w:i/>
          <w:lang w:val="it-IT"/>
        </w:rPr>
        <w:t xml:space="preserve">Testo Unico della Finanza </w:t>
      </w:r>
      <w:r w:rsidR="00FF59F6" w:rsidRPr="001877C9">
        <w:rPr>
          <w:i/>
          <w:lang w:val="it-IT"/>
        </w:rPr>
        <w:t>–</w:t>
      </w:r>
      <w:r w:rsidRPr="001877C9">
        <w:rPr>
          <w:i/>
          <w:lang w:val="it-IT"/>
        </w:rPr>
        <w:t xml:space="preserve"> TUF</w:t>
      </w:r>
      <w:r w:rsidRPr="00CB2C31">
        <w:rPr>
          <w:lang w:val="en-US"/>
        </w:rPr>
        <w:t>), regulations issued by the Italian securities markets supervisor (</w:t>
      </w:r>
      <w:r w:rsidRPr="001877C9">
        <w:rPr>
          <w:i/>
          <w:lang w:val="it-IT"/>
        </w:rPr>
        <w:t>Commissione Nazionale per le Societ</w:t>
      </w:r>
      <w:r w:rsidRPr="001877C9">
        <w:rPr>
          <w:rFonts w:ascii="Times New Roman" w:hAnsi="Times New Roman" w:cs="Times New Roman"/>
          <w:i/>
          <w:lang w:val="it-IT"/>
        </w:rPr>
        <w:t>à</w:t>
      </w:r>
      <w:r w:rsidRPr="001877C9">
        <w:rPr>
          <w:i/>
          <w:lang w:val="it-IT"/>
        </w:rPr>
        <w:t xml:space="preserve"> e la Borsa – Consob</w:t>
      </w:r>
      <w:r w:rsidRPr="00CB2C31">
        <w:rPr>
          <w:lang w:val="en-US"/>
        </w:rPr>
        <w:t>) or the Italian stock exchange company (</w:t>
      </w:r>
      <w:r w:rsidRPr="00CB2C31">
        <w:rPr>
          <w:i/>
          <w:lang w:val="en-US"/>
        </w:rPr>
        <w:t>Borsa Italiana S.p.A.</w:t>
      </w:r>
      <w:r w:rsidRPr="00CB2C31">
        <w:rPr>
          <w:lang w:val="en-US"/>
        </w:rPr>
        <w:t>) and other regulations and (ii) may voluntarily decide to adopt the non-binding rules of the Italian Public Companies</w:t>
      </w:r>
      <w:r w:rsidR="00593F1F">
        <w:rPr>
          <w:lang w:val="en-US"/>
        </w:rPr>
        <w:t>’</w:t>
      </w:r>
      <w:r w:rsidRPr="00CB2C31">
        <w:rPr>
          <w:lang w:val="en-US"/>
        </w:rPr>
        <w:t xml:space="preserve"> Corporate Governance Code issued by </w:t>
      </w:r>
      <w:r w:rsidRPr="001877C9">
        <w:rPr>
          <w:i/>
          <w:lang w:val="it-IT"/>
        </w:rPr>
        <w:t>Borsa Italiana S.p.A.</w:t>
      </w:r>
      <w:r w:rsidRPr="00CB2C31">
        <w:rPr>
          <w:lang w:val="en-US"/>
        </w:rPr>
        <w:t xml:space="preserve">, most recently </w:t>
      </w:r>
      <w:r w:rsidRPr="00CB2C31">
        <w:rPr>
          <w:lang w:val="en-US" w:eastAsia="en-GB"/>
        </w:rPr>
        <w:t>amended</w:t>
      </w:r>
      <w:r w:rsidRPr="00CB2C31">
        <w:rPr>
          <w:lang w:val="en-US"/>
        </w:rPr>
        <w:t xml:space="preserve"> in July 16, 2018 (the </w:t>
      </w:r>
      <w:r w:rsidR="00203E75" w:rsidRPr="00203E75">
        <w:rPr>
          <w:i/>
          <w:lang w:val="en-US"/>
        </w:rPr>
        <w:t>“</w:t>
      </w:r>
      <w:r w:rsidRPr="00CB2C31">
        <w:rPr>
          <w:b/>
          <w:lang w:val="en-US"/>
        </w:rPr>
        <w:t>Italian Corporate Governance Code</w:t>
      </w:r>
      <w:r w:rsidR="00203E75" w:rsidRPr="00203E75">
        <w:rPr>
          <w:i/>
          <w:lang w:val="en-US"/>
        </w:rPr>
        <w:t>”</w:t>
      </w:r>
      <w:r w:rsidRPr="00CB2C31">
        <w:rPr>
          <w:lang w:val="en-US"/>
        </w:rPr>
        <w:t>).</w:t>
      </w:r>
      <w:r w:rsidRPr="00CB2C31">
        <w:rPr>
          <w:rStyle w:val="FootnoteReference"/>
          <w:lang w:val="en-US"/>
        </w:rPr>
        <w:footnoteReference w:id="193"/>
      </w:r>
      <w:r w:rsidRPr="00CB2C31">
        <w:rPr>
          <w:lang w:val="en-US"/>
        </w:rPr>
        <w:t xml:space="preserve"> </w:t>
      </w:r>
      <w:r w:rsidR="0009628A">
        <w:rPr>
          <w:lang w:val="en-US"/>
        </w:rPr>
        <w:t xml:space="preserve"> </w:t>
      </w:r>
      <w:r w:rsidRPr="00CB2C31">
        <w:rPr>
          <w:lang w:val="en-US"/>
        </w:rPr>
        <w:t xml:space="preserve">The recommended self-regulation corporate governance code is based on the </w:t>
      </w:r>
      <w:r w:rsidR="00593F1F">
        <w:rPr>
          <w:lang w:val="en-US"/>
        </w:rPr>
        <w:t>‘</w:t>
      </w:r>
      <w:r w:rsidRPr="00CB2C31">
        <w:rPr>
          <w:lang w:val="en-US"/>
        </w:rPr>
        <w:t>comply or explain</w:t>
      </w:r>
      <w:r w:rsidR="00593F1F">
        <w:rPr>
          <w:lang w:val="en-US"/>
        </w:rPr>
        <w:t>’</w:t>
      </w:r>
      <w:r w:rsidRPr="00CB2C31">
        <w:rPr>
          <w:lang w:val="en-US"/>
        </w:rPr>
        <w:t xml:space="preserve"> approach.</w:t>
      </w:r>
    </w:p>
    <w:p w14:paraId="03539F23" w14:textId="77777777" w:rsidR="00E8748D" w:rsidRPr="00CB2C31" w:rsidRDefault="001155B8" w:rsidP="00623C41">
      <w:pPr>
        <w:pStyle w:val="DoublePara"/>
        <w:rPr>
          <w:lang w:val="en-US"/>
        </w:rPr>
      </w:pPr>
      <w:r w:rsidRPr="00CB2C31">
        <w:rPr>
          <w:lang w:val="en-US"/>
        </w:rPr>
        <w:t xml:space="preserve">Italy has three types of management structures: (i) a board of directors of at least two members appointed by the shareholders (controlled by </w:t>
      </w:r>
      <w:r w:rsidR="002F6D1B" w:rsidRPr="00CB2C31">
        <w:rPr>
          <w:lang w:val="en-US"/>
        </w:rPr>
        <w:t>a board of statutory auditors)</w:t>
      </w:r>
      <w:r w:rsidRPr="00CB2C31">
        <w:rPr>
          <w:lang w:val="en-US"/>
        </w:rPr>
        <w:t xml:space="preserve">; (ii) a dual system </w:t>
      </w:r>
      <w:r w:rsidRPr="00CB2C31">
        <w:rPr>
          <w:lang w:val="en-US" w:eastAsia="en-GB"/>
        </w:rPr>
        <w:t>with</w:t>
      </w:r>
      <w:r w:rsidRPr="00CB2C31">
        <w:rPr>
          <w:lang w:val="en-US"/>
        </w:rPr>
        <w:t xml:space="preserve"> a management board of at least two members, appointed and controlled by a supervisory board of at least three members (one of which must be an auditor) appointed by the shareholders; and (iii) a monistic system with a board of executive directors appointed by the shareholders and controlled by a supervisory committee of at least three non-executive directors (one of which must be an auditor) appointed by the board of executive directors</w:t>
      </w:r>
      <w:r w:rsidR="0097685E" w:rsidRPr="00CB2C31">
        <w:rPr>
          <w:lang w:val="en-US"/>
        </w:rPr>
        <w:t>.</w:t>
      </w:r>
      <w:r w:rsidR="001363B5" w:rsidRPr="00CB2C31">
        <w:rPr>
          <w:rStyle w:val="FootnoteReference"/>
          <w:lang w:val="en-US"/>
        </w:rPr>
        <w:footnoteReference w:id="194"/>
      </w:r>
      <w:r w:rsidR="0097685E" w:rsidRPr="00CB2C31">
        <w:rPr>
          <w:lang w:val="en-US"/>
        </w:rPr>
        <w:t xml:space="preserve"> </w:t>
      </w:r>
      <w:r w:rsidR="0009628A">
        <w:rPr>
          <w:lang w:val="en-US"/>
        </w:rPr>
        <w:t xml:space="preserve"> </w:t>
      </w:r>
      <w:r w:rsidRPr="00CB2C31">
        <w:rPr>
          <w:lang w:val="en-US"/>
        </w:rPr>
        <w:t>Non-listed S.p.A</w:t>
      </w:r>
      <w:r w:rsidR="00FF59F6">
        <w:rPr>
          <w:lang w:val="en-US"/>
        </w:rPr>
        <w:t>.</w:t>
      </w:r>
      <w:r w:rsidRPr="00CB2C31">
        <w:rPr>
          <w:lang w:val="en-US"/>
        </w:rPr>
        <w:t>s can opt for a single director, while all other models assume at least two directors or any other minimum number otherwise provided for in the articles of association</w:t>
      </w:r>
      <w:r w:rsidR="0097685E" w:rsidRPr="00CB2C31">
        <w:rPr>
          <w:lang w:val="en-US"/>
        </w:rPr>
        <w:t>.</w:t>
      </w:r>
      <w:r w:rsidR="001363B5" w:rsidRPr="00CB2C31">
        <w:rPr>
          <w:rStyle w:val="FootnoteReference"/>
          <w:lang w:val="en-US"/>
        </w:rPr>
        <w:footnoteReference w:id="195"/>
      </w:r>
      <w:r w:rsidR="0097685E" w:rsidRPr="00CB2C31">
        <w:rPr>
          <w:lang w:val="en-US"/>
        </w:rPr>
        <w:t xml:space="preserve"> </w:t>
      </w:r>
      <w:r w:rsidR="0009628A">
        <w:rPr>
          <w:lang w:val="en-US"/>
        </w:rPr>
        <w:t xml:space="preserve"> </w:t>
      </w:r>
      <w:r w:rsidRPr="00CB2C31">
        <w:rPr>
          <w:lang w:val="en-US"/>
        </w:rPr>
        <w:t>There is no upper limit on the number of board or committee members, unless specified otherwise in the articles of association, and there are no restrictions on the appointment of directors ba</w:t>
      </w:r>
      <w:r w:rsidR="002F6D1B" w:rsidRPr="00CB2C31">
        <w:rPr>
          <w:lang w:val="en-US"/>
        </w:rPr>
        <w:t>sed on residency or nationality</w:t>
      </w:r>
      <w:r w:rsidRPr="00CB2C31">
        <w:rPr>
          <w:lang w:val="en-US"/>
        </w:rPr>
        <w:t xml:space="preserve"> or on particular skills</w:t>
      </w:r>
      <w:r w:rsidR="0097685E" w:rsidRPr="00CB2C31">
        <w:rPr>
          <w:lang w:val="en-US"/>
        </w:rPr>
        <w:t>.</w:t>
      </w:r>
      <w:r w:rsidR="00FD42B5" w:rsidRPr="00CB2C31">
        <w:rPr>
          <w:lang w:val="en-US"/>
        </w:rPr>
        <w:t xml:space="preserve"> </w:t>
      </w:r>
      <w:r w:rsidR="0097685E" w:rsidRPr="00CB2C31">
        <w:rPr>
          <w:lang w:val="en-US"/>
        </w:rPr>
        <w:t xml:space="preserve"> </w:t>
      </w:r>
      <w:r w:rsidRPr="00CB2C31">
        <w:rPr>
          <w:lang w:val="en-US"/>
        </w:rPr>
        <w:t xml:space="preserve">Listed companies, however, must </w:t>
      </w:r>
      <w:r w:rsidR="0018328E">
        <w:rPr>
          <w:lang w:val="en-US"/>
        </w:rPr>
        <w:t>ensure particular individuals do not hold too many corporate positions at the same time</w:t>
      </w:r>
      <w:r w:rsidRPr="00CB2C31">
        <w:rPr>
          <w:lang w:val="en-US"/>
        </w:rPr>
        <w:t xml:space="preserve"> and must ensure a balance of skills, experience and independence as well as a mix of executive and non-executive directors (at least two of the non-executive directors must be independent directors).</w:t>
      </w:r>
      <w:r w:rsidR="001363B5" w:rsidRPr="00CB2C31">
        <w:rPr>
          <w:rStyle w:val="FootnoteReference"/>
          <w:lang w:val="en-US"/>
        </w:rPr>
        <w:footnoteReference w:id="196"/>
      </w:r>
    </w:p>
    <w:p w14:paraId="3A0CB8CA" w14:textId="3DF008DF" w:rsidR="00E8748D" w:rsidRPr="00CB2C31" w:rsidRDefault="00E8748D" w:rsidP="00623C41">
      <w:pPr>
        <w:pStyle w:val="DoublePara"/>
        <w:rPr>
          <w:lang w:val="en-US"/>
        </w:rPr>
      </w:pPr>
      <w:r w:rsidRPr="00CB2C31">
        <w:rPr>
          <w:lang w:val="en-US"/>
        </w:rPr>
        <w:t xml:space="preserve">Boards of directors, </w:t>
      </w:r>
      <w:r w:rsidRPr="00CB2C31">
        <w:rPr>
          <w:lang w:val="en-US" w:eastAsia="en-GB"/>
        </w:rPr>
        <w:t>supervisory</w:t>
      </w:r>
      <w:r w:rsidRPr="00CB2C31">
        <w:rPr>
          <w:lang w:val="en-US"/>
        </w:rPr>
        <w:t xml:space="preserve"> boards and boards of executive directors are appointed by the shareholders,</w:t>
      </w:r>
      <w:r w:rsidR="002F6D1B" w:rsidRPr="00CB2C31">
        <w:rPr>
          <w:lang w:val="en-US"/>
        </w:rPr>
        <w:t xml:space="preserve"> </w:t>
      </w:r>
      <w:r w:rsidRPr="00CB2C31">
        <w:rPr>
          <w:lang w:val="en-US"/>
        </w:rPr>
        <w:t>management boards are appointed by the supervisory board and supervisory committees are appointed by the board of executive directors.</w:t>
      </w:r>
      <w:r w:rsidRPr="00CB2C31">
        <w:rPr>
          <w:rStyle w:val="FootnoteReference"/>
          <w:lang w:val="en-US"/>
        </w:rPr>
        <w:footnoteReference w:id="197"/>
      </w:r>
      <w:r w:rsidRPr="00CB2C31">
        <w:rPr>
          <w:lang w:val="en-US"/>
        </w:rPr>
        <w:t xml:space="preserve"> </w:t>
      </w:r>
      <w:r w:rsidR="0009628A">
        <w:rPr>
          <w:lang w:val="en-US"/>
        </w:rPr>
        <w:t xml:space="preserve"> </w:t>
      </w:r>
      <w:r w:rsidRPr="00CB2C31">
        <w:rPr>
          <w:lang w:val="en-US"/>
        </w:rPr>
        <w:t xml:space="preserve">However, regardless of the board structure, members of </w:t>
      </w:r>
      <w:r w:rsidR="002F6D1B" w:rsidRPr="00CB2C31">
        <w:rPr>
          <w:lang w:val="en-US"/>
        </w:rPr>
        <w:t xml:space="preserve">the board </w:t>
      </w:r>
      <w:r w:rsidRPr="00CB2C31">
        <w:rPr>
          <w:lang w:val="en-US"/>
        </w:rPr>
        <w:t>can be removed at any time for any reason, by resolution of the shareholders</w:t>
      </w:r>
      <w:r w:rsidR="00593F1F">
        <w:rPr>
          <w:lang w:val="en-US"/>
        </w:rPr>
        <w:t>’</w:t>
      </w:r>
      <w:r w:rsidRPr="00CB2C31">
        <w:rPr>
          <w:lang w:val="en-US"/>
        </w:rPr>
        <w:t xml:space="preserve"> meeting</w:t>
      </w:r>
      <w:r w:rsidR="00F42D6A" w:rsidRPr="00CB2C31">
        <w:rPr>
          <w:lang w:val="en-US"/>
        </w:rPr>
        <w:t xml:space="preserve">.  </w:t>
      </w:r>
      <w:r w:rsidRPr="00CB2C31">
        <w:rPr>
          <w:lang w:val="en-US"/>
        </w:rPr>
        <w:t xml:space="preserve">Where such revocation is without cause, the </w:t>
      </w:r>
      <w:r w:rsidRPr="00CB2C31">
        <w:rPr>
          <w:lang w:val="en-US" w:eastAsia="en-GB"/>
        </w:rPr>
        <w:t>directors</w:t>
      </w:r>
      <w:r w:rsidRPr="00CB2C31">
        <w:rPr>
          <w:lang w:val="en-US"/>
        </w:rPr>
        <w:t xml:space="preserve"> are entitled to receive an indemnification in principle equal to the remuneration that they would have received had they carried their mandate through its term (the maximum term of office is three years).</w:t>
      </w:r>
      <w:r w:rsidRPr="00CB2C31">
        <w:rPr>
          <w:rStyle w:val="FootnoteReference"/>
          <w:lang w:val="en-US"/>
        </w:rPr>
        <w:footnoteReference w:id="198"/>
      </w:r>
    </w:p>
    <w:p w14:paraId="1519E445" w14:textId="22AD949B" w:rsidR="001155B8" w:rsidRPr="00CB2C31" w:rsidRDefault="001155B8" w:rsidP="00623C41">
      <w:pPr>
        <w:pStyle w:val="DoublePara"/>
        <w:rPr>
          <w:lang w:val="en-US"/>
        </w:rPr>
      </w:pPr>
      <w:r w:rsidRPr="00CB2C31">
        <w:rPr>
          <w:lang w:val="en-US"/>
        </w:rPr>
        <w:t>With regards to gender specifically, on June 28, 2011, Italy adopted a law ensuring the presence of at least 33.33%</w:t>
      </w:r>
      <w:r w:rsidRPr="00CB2C31">
        <w:rPr>
          <w:rStyle w:val="FootnoteReference"/>
          <w:lang w:val="en-US"/>
        </w:rPr>
        <w:footnoteReference w:id="199"/>
      </w:r>
      <w:r w:rsidR="001363B5" w:rsidRPr="00CB2C31">
        <w:rPr>
          <w:lang w:val="en-US"/>
        </w:rPr>
        <w:t xml:space="preserve"> of an </w:t>
      </w:r>
      <w:r w:rsidRPr="00CB2C31">
        <w:rPr>
          <w:lang w:val="en-US"/>
        </w:rPr>
        <w:t>under-represented gender on the board of directors and board of statutory auditors of Italy</w:t>
      </w:r>
      <w:r w:rsidR="00593F1F">
        <w:rPr>
          <w:lang w:val="en-US"/>
        </w:rPr>
        <w:t>’</w:t>
      </w:r>
      <w:r w:rsidRPr="00CB2C31">
        <w:rPr>
          <w:lang w:val="en-US"/>
        </w:rPr>
        <w:t>s publicly listed companies and certain state-own</w:t>
      </w:r>
      <w:r w:rsidR="001363B5" w:rsidRPr="00CB2C31">
        <w:rPr>
          <w:lang w:val="en-US"/>
        </w:rPr>
        <w:t>ed or state-controlled entities</w:t>
      </w:r>
      <w:r w:rsidRPr="00CB2C31">
        <w:rPr>
          <w:lang w:val="en-US"/>
        </w:rPr>
        <w:t xml:space="preserve"> (the </w:t>
      </w:r>
      <w:r w:rsidR="00203E75" w:rsidRPr="00203E75">
        <w:rPr>
          <w:i/>
          <w:lang w:val="en-US"/>
        </w:rPr>
        <w:t>“</w:t>
      </w:r>
      <w:r w:rsidR="001363B5" w:rsidRPr="00CB2C31">
        <w:rPr>
          <w:b/>
          <w:lang w:val="en-US"/>
        </w:rPr>
        <w:t>Gender B</w:t>
      </w:r>
      <w:r w:rsidR="005D755C" w:rsidRPr="00CB2C31">
        <w:rPr>
          <w:b/>
          <w:lang w:val="en-US"/>
        </w:rPr>
        <w:t>alance</w:t>
      </w:r>
      <w:r w:rsidRPr="00CB2C31">
        <w:rPr>
          <w:b/>
          <w:lang w:val="en-US"/>
        </w:rPr>
        <w:t xml:space="preserve"> Law</w:t>
      </w:r>
      <w:r w:rsidR="00203E75" w:rsidRPr="00203E75">
        <w:rPr>
          <w:i/>
          <w:lang w:val="en-US"/>
        </w:rPr>
        <w:t>”</w:t>
      </w:r>
      <w:r w:rsidRPr="00CB2C31">
        <w:rPr>
          <w:lang w:val="en-US"/>
        </w:rPr>
        <w:t>).</w:t>
      </w:r>
      <w:r w:rsidRPr="00CB2C31">
        <w:rPr>
          <w:rStyle w:val="FootnoteReference"/>
          <w:lang w:val="en-US"/>
        </w:rPr>
        <w:footnoteReference w:id="200"/>
      </w:r>
      <w:r w:rsidR="009A19EF" w:rsidRPr="00CB2C31">
        <w:rPr>
          <w:lang w:val="en-US"/>
        </w:rPr>
        <w:t xml:space="preserve"> </w:t>
      </w:r>
      <w:r w:rsidR="0009628A">
        <w:rPr>
          <w:lang w:val="en-US"/>
        </w:rPr>
        <w:t xml:space="preserve"> </w:t>
      </w:r>
      <w:r w:rsidRPr="00CB2C31">
        <w:rPr>
          <w:lang w:val="en-US"/>
        </w:rPr>
        <w:t xml:space="preserve">Interestingly, the </w:t>
      </w:r>
      <w:r w:rsidR="001363B5" w:rsidRPr="00CB2C31">
        <w:rPr>
          <w:lang w:val="en-US"/>
        </w:rPr>
        <w:t>Gender B</w:t>
      </w:r>
      <w:r w:rsidR="005D755C" w:rsidRPr="00CB2C31">
        <w:rPr>
          <w:lang w:val="en-US"/>
        </w:rPr>
        <w:t>alance</w:t>
      </w:r>
      <w:r w:rsidRPr="00CB2C31">
        <w:rPr>
          <w:lang w:val="en-US"/>
        </w:rPr>
        <w:t xml:space="preserve"> Law is intended to apply for only three consecutive renewals of the boards of directors and statutory auditors after August 2012</w:t>
      </w:r>
      <w:r w:rsidR="00F42D6A" w:rsidRPr="00CB2C31">
        <w:rPr>
          <w:lang w:val="en-US"/>
        </w:rPr>
        <w:t xml:space="preserve">.  </w:t>
      </w:r>
      <w:r w:rsidRPr="00CB2C31">
        <w:rPr>
          <w:lang w:val="en-US"/>
        </w:rPr>
        <w:t xml:space="preserve">Given that the duration of a board mandate cannot exceed three years, the </w:t>
      </w:r>
      <w:r w:rsidR="00E8748D" w:rsidRPr="00CB2C31">
        <w:rPr>
          <w:lang w:val="en-US"/>
        </w:rPr>
        <w:t>Gender Balance Law</w:t>
      </w:r>
      <w:r w:rsidRPr="00CB2C31">
        <w:rPr>
          <w:lang w:val="en-US"/>
        </w:rPr>
        <w:t xml:space="preserve"> </w:t>
      </w:r>
      <w:r w:rsidR="002F6D1B" w:rsidRPr="00CB2C31">
        <w:rPr>
          <w:lang w:val="en-US"/>
        </w:rPr>
        <w:t>is expected to expire in 2021.</w:t>
      </w:r>
    </w:p>
    <w:p w14:paraId="1D56EF1B" w14:textId="77777777" w:rsidR="001155B8" w:rsidRPr="00CB2C31" w:rsidRDefault="001155B8" w:rsidP="00623C41">
      <w:pPr>
        <w:pStyle w:val="DoublePara"/>
        <w:rPr>
          <w:lang w:val="en-US"/>
        </w:rPr>
      </w:pPr>
      <w:r w:rsidRPr="00CB2C31">
        <w:rPr>
          <w:lang w:val="en-US"/>
        </w:rPr>
        <w:t xml:space="preserve">The </w:t>
      </w:r>
      <w:r w:rsidR="001363B5" w:rsidRPr="00CB2C31">
        <w:rPr>
          <w:lang w:val="en-US"/>
        </w:rPr>
        <w:t>Gender B</w:t>
      </w:r>
      <w:r w:rsidR="005D755C" w:rsidRPr="00CB2C31">
        <w:rPr>
          <w:lang w:val="en-US"/>
        </w:rPr>
        <w:t>alance</w:t>
      </w:r>
      <w:r w:rsidRPr="00CB2C31">
        <w:rPr>
          <w:lang w:val="en-US"/>
        </w:rPr>
        <w:t xml:space="preserve"> Law provides for a system of multi-tier sanctions as follows for publicly traded companies that fail to comply with the </w:t>
      </w:r>
      <w:r w:rsidR="00E8748D" w:rsidRPr="00CB2C31">
        <w:rPr>
          <w:lang w:val="en-US"/>
        </w:rPr>
        <w:t>Gender Balance Law</w:t>
      </w:r>
      <w:r w:rsidRPr="00CB2C31">
        <w:rPr>
          <w:lang w:val="en-US"/>
        </w:rPr>
        <w:t xml:space="preserve">: (i) Consob would issue a warning notice requiring them to comply </w:t>
      </w:r>
      <w:r w:rsidRPr="00CB2C31">
        <w:rPr>
          <w:lang w:val="en-US" w:eastAsia="en-GB"/>
        </w:rPr>
        <w:t>within</w:t>
      </w:r>
      <w:r w:rsidRPr="00CB2C31">
        <w:rPr>
          <w:lang w:val="en-US"/>
        </w:rPr>
        <w:t xml:space="preserve"> four months; (ii) any companies still non-compliant after such four months would be fined up to </w:t>
      </w:r>
      <w:r w:rsidRPr="00CB2C31">
        <w:rPr>
          <w:rStyle w:val="Citation"/>
          <w:u w:val="none"/>
          <w:lang w:val="en-US"/>
        </w:rPr>
        <w:t xml:space="preserve">€1,000,000 for non-compliant boards of directors and up to €200,000 for non-compliant boards of statutory auditors and be issued a further warning notice from Consob to comply within a subsequent three-month period; and (iii) the appointments to the boards of directors or statutory auditors of </w:t>
      </w:r>
      <w:r w:rsidRPr="00CB2C31">
        <w:rPr>
          <w:lang w:val="en-US"/>
        </w:rPr>
        <w:t>any companies still non-compliant after such subsequent three months would become null and void.</w:t>
      </w:r>
      <w:r w:rsidR="001363B5" w:rsidRPr="00CB2C31">
        <w:rPr>
          <w:rStyle w:val="FootnoteReference"/>
          <w:lang w:val="en-US"/>
        </w:rPr>
        <w:footnoteReference w:id="201"/>
      </w:r>
    </w:p>
    <w:p w14:paraId="2B1F8F97" w14:textId="25149297" w:rsidR="001155B8" w:rsidRPr="00CB2C31" w:rsidRDefault="001363B5" w:rsidP="00623C41">
      <w:pPr>
        <w:pStyle w:val="DoublePara"/>
        <w:rPr>
          <w:lang w:val="en-US"/>
        </w:rPr>
      </w:pPr>
      <w:r w:rsidRPr="00CB2C31">
        <w:rPr>
          <w:lang w:val="en-US"/>
        </w:rPr>
        <w:t>Although the effects of the legislation are temporary, the Borsa Italiana S.p.A. issued an amendment of the</w:t>
      </w:r>
      <w:r w:rsidR="001155B8" w:rsidRPr="00CB2C31">
        <w:rPr>
          <w:lang w:val="en-US"/>
        </w:rPr>
        <w:t xml:space="preserve"> Italian Corporate Governance Code</w:t>
      </w:r>
      <w:r w:rsidRPr="00CB2C31">
        <w:rPr>
          <w:lang w:val="en-US"/>
        </w:rPr>
        <w:t xml:space="preserve"> in July 2018, to </w:t>
      </w:r>
      <w:r w:rsidR="00203E75" w:rsidRPr="00203E75">
        <w:rPr>
          <w:i/>
          <w:lang w:val="en-US"/>
        </w:rPr>
        <w:t>“</w:t>
      </w:r>
      <w:r w:rsidR="001155B8" w:rsidRPr="00CB2C31">
        <w:rPr>
          <w:i/>
          <w:lang w:val="en-US"/>
        </w:rPr>
        <w:t>safeguard the positive effects</w:t>
      </w:r>
      <w:r w:rsidR="00203E75" w:rsidRPr="00203E75">
        <w:rPr>
          <w:i/>
          <w:lang w:val="en-US"/>
        </w:rPr>
        <w:t>”</w:t>
      </w:r>
      <w:r w:rsidR="001155B8" w:rsidRPr="00CB2C31">
        <w:rPr>
          <w:lang w:val="en-US"/>
        </w:rPr>
        <w:t xml:space="preserve"> of the </w:t>
      </w:r>
      <w:r w:rsidRPr="00CB2C31">
        <w:rPr>
          <w:lang w:val="en-US" w:eastAsia="en-GB"/>
        </w:rPr>
        <w:t>Gender B</w:t>
      </w:r>
      <w:r w:rsidR="005D755C" w:rsidRPr="00CB2C31">
        <w:rPr>
          <w:lang w:val="en-US" w:eastAsia="en-GB"/>
        </w:rPr>
        <w:t>alance</w:t>
      </w:r>
      <w:r w:rsidR="001155B8" w:rsidRPr="00CB2C31">
        <w:rPr>
          <w:lang w:val="en-US"/>
        </w:rPr>
        <w:t xml:space="preserve"> Law.</w:t>
      </w:r>
      <w:r w:rsidR="001155B8" w:rsidRPr="00CB2C31">
        <w:rPr>
          <w:rStyle w:val="FootnoteReference"/>
          <w:lang w:val="en-US"/>
        </w:rPr>
        <w:footnoteReference w:id="202"/>
      </w:r>
      <w:r w:rsidR="00A94622" w:rsidRPr="00CB2C31">
        <w:rPr>
          <w:lang w:val="en-US"/>
        </w:rPr>
        <w:t xml:space="preserve"> </w:t>
      </w:r>
      <w:r w:rsidR="0009628A">
        <w:rPr>
          <w:lang w:val="en-US"/>
        </w:rPr>
        <w:t xml:space="preserve"> </w:t>
      </w:r>
      <w:r w:rsidR="001155B8" w:rsidRPr="00CB2C31">
        <w:rPr>
          <w:lang w:val="en-US"/>
        </w:rPr>
        <w:t xml:space="preserve">It recommends that companies </w:t>
      </w:r>
      <w:r w:rsidR="00203E75" w:rsidRPr="00203E75">
        <w:rPr>
          <w:i/>
          <w:lang w:val="en-US"/>
        </w:rPr>
        <w:t>“</w:t>
      </w:r>
      <w:r w:rsidR="001155B8" w:rsidRPr="00CB2C31">
        <w:rPr>
          <w:i/>
          <w:lang w:val="en-US"/>
        </w:rPr>
        <w:t>appl[y] diversity criteria, including those related to gender</w:t>
      </w:r>
      <w:r w:rsidR="00203E75" w:rsidRPr="00203E75">
        <w:rPr>
          <w:i/>
          <w:lang w:val="en-US"/>
        </w:rPr>
        <w:t>”</w:t>
      </w:r>
      <w:r w:rsidR="001155B8" w:rsidRPr="00CB2C31">
        <w:rPr>
          <w:lang w:val="en-US"/>
        </w:rPr>
        <w:t xml:space="preserve"> in the composition of both the board of directors and the board of statu</w:t>
      </w:r>
      <w:r w:rsidR="00CA0DC4" w:rsidRPr="00CB2C31">
        <w:rPr>
          <w:lang w:val="en-US"/>
        </w:rPr>
        <w:t xml:space="preserve">tory auditors and </w:t>
      </w:r>
      <w:r w:rsidR="002F6D1B" w:rsidRPr="00CB2C31">
        <w:rPr>
          <w:lang w:val="en-US"/>
        </w:rPr>
        <w:t>amend their articles of association to impose a voluntary</w:t>
      </w:r>
      <w:r w:rsidR="00CA0DC4" w:rsidRPr="00CB2C31">
        <w:rPr>
          <w:lang w:val="en-US"/>
        </w:rPr>
        <w:t xml:space="preserve"> one-</w:t>
      </w:r>
      <w:r w:rsidRPr="00CB2C31">
        <w:rPr>
          <w:lang w:val="en-US"/>
        </w:rPr>
        <w:t>third quota of an</w:t>
      </w:r>
      <w:r w:rsidR="001155B8" w:rsidRPr="00CB2C31">
        <w:rPr>
          <w:lang w:val="en-US"/>
        </w:rPr>
        <w:t xml:space="preserve"> under-represented gender on the board of directors and </w:t>
      </w:r>
      <w:r w:rsidR="002F6D1B" w:rsidRPr="00CB2C31">
        <w:rPr>
          <w:lang w:val="en-US"/>
        </w:rPr>
        <w:t>the board of statutory auditors,</w:t>
      </w:r>
      <w:r w:rsidR="001155B8" w:rsidRPr="00CB2C31">
        <w:rPr>
          <w:lang w:val="en-US"/>
        </w:rPr>
        <w:t xml:space="preserve"> </w:t>
      </w:r>
      <w:r w:rsidR="002F6D1B" w:rsidRPr="00CB2C31">
        <w:rPr>
          <w:lang w:val="en-US"/>
        </w:rPr>
        <w:t>or issue</w:t>
      </w:r>
      <w:r w:rsidR="001155B8" w:rsidRPr="00CB2C31">
        <w:rPr>
          <w:lang w:val="en-US"/>
        </w:rPr>
        <w:t xml:space="preserve"> diversity policies or board guidelines</w:t>
      </w:r>
      <w:r w:rsidR="002F6D1B" w:rsidRPr="00CB2C31">
        <w:rPr>
          <w:lang w:val="en-US"/>
        </w:rPr>
        <w:t xml:space="preserve"> to address gender balance</w:t>
      </w:r>
      <w:r w:rsidR="001155B8" w:rsidRPr="00CB2C31">
        <w:rPr>
          <w:lang w:val="en-US"/>
        </w:rPr>
        <w:t>.</w:t>
      </w:r>
      <w:r w:rsidR="001155B8" w:rsidRPr="00CB2C31">
        <w:rPr>
          <w:rStyle w:val="FootnoteReference"/>
          <w:lang w:val="en-US"/>
        </w:rPr>
        <w:footnoteReference w:id="203"/>
      </w:r>
      <w:r w:rsidR="00A94622" w:rsidRPr="00CB2C31">
        <w:rPr>
          <w:lang w:val="en-US"/>
        </w:rPr>
        <w:t xml:space="preserve"> </w:t>
      </w:r>
      <w:r w:rsidR="0009628A">
        <w:rPr>
          <w:lang w:val="en-US"/>
        </w:rPr>
        <w:t xml:space="preserve"> </w:t>
      </w:r>
      <w:r w:rsidR="001155B8" w:rsidRPr="00CB2C31">
        <w:rPr>
          <w:lang w:val="en-US"/>
        </w:rPr>
        <w:t>The Italian Corporate Governance Code also recommends self-assessment as to the diversity of professional and managerial skills, as well as gender, age and seniority.</w:t>
      </w:r>
      <w:r w:rsidR="001155B8" w:rsidRPr="00CB2C31">
        <w:rPr>
          <w:rStyle w:val="FootnoteReference"/>
          <w:lang w:val="en-US"/>
        </w:rPr>
        <w:footnoteReference w:id="204"/>
      </w:r>
      <w:r w:rsidR="00A94622" w:rsidRPr="00CB2C31">
        <w:rPr>
          <w:lang w:val="en-US"/>
        </w:rPr>
        <w:t xml:space="preserve"> </w:t>
      </w:r>
      <w:r w:rsidR="0009628A">
        <w:rPr>
          <w:lang w:val="en-US"/>
        </w:rPr>
        <w:t xml:space="preserve"> </w:t>
      </w:r>
      <w:r w:rsidR="001155B8" w:rsidRPr="00CB2C31">
        <w:rPr>
          <w:lang w:val="en-US"/>
        </w:rPr>
        <w:t xml:space="preserve">Listed companies are </w:t>
      </w:r>
      <w:r w:rsidR="002F6D1B" w:rsidRPr="00CB2C31">
        <w:rPr>
          <w:lang w:val="en-US"/>
        </w:rPr>
        <w:t>encouraged</w:t>
      </w:r>
      <w:r w:rsidR="001155B8" w:rsidRPr="00CB2C31">
        <w:rPr>
          <w:lang w:val="en-US"/>
        </w:rPr>
        <w:t xml:space="preserve"> to apply the</w:t>
      </w:r>
      <w:r w:rsidR="002F6D1B" w:rsidRPr="00CB2C31">
        <w:rPr>
          <w:lang w:val="en-US"/>
        </w:rPr>
        <w:t>se</w:t>
      </w:r>
      <w:r w:rsidR="001155B8" w:rsidRPr="00CB2C31">
        <w:rPr>
          <w:lang w:val="en-US"/>
        </w:rPr>
        <w:t xml:space="preserve"> recommendations starting from</w:t>
      </w:r>
      <w:r w:rsidR="002F6D1B" w:rsidRPr="00CB2C31">
        <w:rPr>
          <w:lang w:val="en-US"/>
        </w:rPr>
        <w:t xml:space="preserve"> their first board</w:t>
      </w:r>
      <w:r w:rsidR="001155B8" w:rsidRPr="00CB2C31">
        <w:rPr>
          <w:lang w:val="en-US"/>
        </w:rPr>
        <w:t xml:space="preserve"> renewal after expiry of the </w:t>
      </w:r>
      <w:r w:rsidR="00E8748D" w:rsidRPr="00CB2C31">
        <w:rPr>
          <w:lang w:val="en-US"/>
        </w:rPr>
        <w:t>Gender Balance Law</w:t>
      </w:r>
      <w:r w:rsidR="001155B8" w:rsidRPr="00CB2C31">
        <w:rPr>
          <w:lang w:val="en-US"/>
        </w:rPr>
        <w:t xml:space="preserve"> (i.e.</w:t>
      </w:r>
      <w:r w:rsidR="001816F9">
        <w:rPr>
          <w:lang w:val="en-US"/>
        </w:rPr>
        <w:t>,</w:t>
      </w:r>
      <w:r w:rsidR="001155B8" w:rsidRPr="00CB2C31">
        <w:rPr>
          <w:lang w:val="en-US"/>
        </w:rPr>
        <w:t xml:space="preserve"> after the third renewal of corporate boards starting from August 12, 2012).</w:t>
      </w:r>
      <w:r w:rsidR="001155B8" w:rsidRPr="00CB2C31">
        <w:rPr>
          <w:rStyle w:val="FootnoteReference"/>
          <w:lang w:val="en-US"/>
        </w:rPr>
        <w:footnoteReference w:id="205"/>
      </w:r>
      <w:r w:rsidR="00B328FD" w:rsidRPr="00CB2C31">
        <w:rPr>
          <w:lang w:val="en-US"/>
        </w:rPr>
        <w:t xml:space="preserve"> </w:t>
      </w:r>
    </w:p>
    <w:p w14:paraId="74D450D8" w14:textId="77777777" w:rsidR="001155B8" w:rsidRPr="00D900CE" w:rsidRDefault="001155B8" w:rsidP="00623C41">
      <w:pPr>
        <w:pStyle w:val="LegalCombo4"/>
        <w:keepNext/>
        <w:rPr>
          <w:b/>
        </w:rPr>
      </w:pPr>
      <w:bookmarkStart w:id="257" w:name="_Toc15027262"/>
      <w:bookmarkStart w:id="258" w:name="_Toc15027653"/>
      <w:bookmarkStart w:id="259" w:name="_Toc15027931"/>
      <w:r w:rsidRPr="00D900CE">
        <w:rPr>
          <w:b/>
        </w:rPr>
        <w:t>Conclusion and Best Practice Analysis</w:t>
      </w:r>
      <w:bookmarkEnd w:id="257"/>
      <w:bookmarkEnd w:id="258"/>
      <w:bookmarkEnd w:id="259"/>
      <w:r w:rsidR="007A4AC7" w:rsidRPr="00D900CE">
        <w:rPr>
          <w:b/>
        </w:rPr>
        <w:t>:</w:t>
      </w:r>
      <w:r w:rsidR="00593F1F" w:rsidRPr="00D900CE">
        <w:rPr>
          <w:b/>
        </w:rPr>
        <w:t xml:space="preserve"> </w:t>
      </w:r>
      <w:r w:rsidR="007A4AC7" w:rsidRPr="00D900CE">
        <w:rPr>
          <w:b/>
        </w:rPr>
        <w:t>Italy</w:t>
      </w:r>
    </w:p>
    <w:p w14:paraId="102E6921" w14:textId="77777777" w:rsidR="006751AB" w:rsidRPr="00CB2C31" w:rsidRDefault="001155B8" w:rsidP="00623C41">
      <w:pPr>
        <w:pStyle w:val="DoublePara"/>
        <w:rPr>
          <w:lang w:val="en-US"/>
        </w:rPr>
      </w:pPr>
      <w:r w:rsidRPr="00CB2C31">
        <w:rPr>
          <w:lang w:val="en-US"/>
        </w:rPr>
        <w:t>Italy</w:t>
      </w:r>
      <w:r w:rsidR="00593F1F">
        <w:rPr>
          <w:lang w:val="en-US"/>
        </w:rPr>
        <w:t>’</w:t>
      </w:r>
      <w:r w:rsidRPr="00CB2C31">
        <w:rPr>
          <w:lang w:val="en-US"/>
        </w:rPr>
        <w:t>s approach to</w:t>
      </w:r>
      <w:r w:rsidRPr="00D900CE">
        <w:rPr>
          <w:b/>
          <w:lang w:val="en-US"/>
        </w:rPr>
        <w:t xml:space="preserve"> mandatory gender quota laws</w:t>
      </w:r>
      <w:r w:rsidRPr="00CB2C31">
        <w:rPr>
          <w:lang w:val="en-US"/>
        </w:rPr>
        <w:t xml:space="preserve"> is unusual in that it provides for </w:t>
      </w:r>
      <w:r w:rsidRPr="00D900CE">
        <w:rPr>
          <w:b/>
          <w:lang w:val="en-US"/>
        </w:rPr>
        <w:t>severe penalties</w:t>
      </w:r>
      <w:r w:rsidRPr="00CB2C31">
        <w:rPr>
          <w:lang w:val="en-US"/>
        </w:rPr>
        <w:t xml:space="preserve">, yet provides for a </w:t>
      </w:r>
      <w:r w:rsidRPr="00D900CE">
        <w:rPr>
          <w:b/>
          <w:lang w:val="en-US"/>
        </w:rPr>
        <w:t>sunset provision</w:t>
      </w:r>
      <w:r w:rsidR="00F42D6A" w:rsidRPr="00D900CE">
        <w:rPr>
          <w:b/>
          <w:lang w:val="en-US"/>
        </w:rPr>
        <w:t>.</w:t>
      </w:r>
      <w:r w:rsidR="00F42D6A" w:rsidRPr="00CB2C31">
        <w:rPr>
          <w:lang w:val="en-US"/>
        </w:rPr>
        <w:t xml:space="preserve">  </w:t>
      </w:r>
      <w:r w:rsidRPr="00CB2C31">
        <w:rPr>
          <w:lang w:val="en-US"/>
        </w:rPr>
        <w:t xml:space="preserve">The expressed intention is to bring about a culture shift and initial indications are that progress in gender diversity on corporate boards has been very significant since the </w:t>
      </w:r>
      <w:r w:rsidR="001363B5" w:rsidRPr="00CB2C31">
        <w:rPr>
          <w:lang w:val="en-US"/>
        </w:rPr>
        <w:t>Gender B</w:t>
      </w:r>
      <w:r w:rsidR="005D755C" w:rsidRPr="00CB2C31">
        <w:rPr>
          <w:lang w:val="en-US"/>
        </w:rPr>
        <w:t>alance</w:t>
      </w:r>
      <w:r w:rsidRPr="00CB2C31">
        <w:rPr>
          <w:lang w:val="en-US"/>
        </w:rPr>
        <w:t xml:space="preserve"> Law was implemented</w:t>
      </w:r>
      <w:r w:rsidR="00F42D6A" w:rsidRPr="00CB2C31">
        <w:rPr>
          <w:lang w:val="en-US"/>
        </w:rPr>
        <w:t xml:space="preserve">.  </w:t>
      </w:r>
      <w:r w:rsidRPr="00CB2C31">
        <w:rPr>
          <w:lang w:val="en-US"/>
        </w:rPr>
        <w:t xml:space="preserve">The percentage of women on corporate boards </w:t>
      </w:r>
      <w:r w:rsidRPr="00CB2C31">
        <w:rPr>
          <w:lang w:val="en-US" w:eastAsia="en-GB"/>
        </w:rPr>
        <w:t>has</w:t>
      </w:r>
      <w:r w:rsidRPr="00CB2C31">
        <w:rPr>
          <w:lang w:val="en-US"/>
        </w:rPr>
        <w:t xml:space="preserve"> increased from under 4% in 2010 </w:t>
      </w:r>
      <w:r w:rsidR="002F6D1B" w:rsidRPr="00CB2C31">
        <w:rPr>
          <w:lang w:val="en-US"/>
        </w:rPr>
        <w:t>(</w:t>
      </w:r>
      <w:r w:rsidRPr="00CB2C31">
        <w:rPr>
          <w:lang w:val="en-US"/>
        </w:rPr>
        <w:t xml:space="preserve">immediately before the </w:t>
      </w:r>
      <w:r w:rsidR="001363B5" w:rsidRPr="00CB2C31">
        <w:rPr>
          <w:lang w:val="en-US"/>
        </w:rPr>
        <w:t>Gender B</w:t>
      </w:r>
      <w:r w:rsidR="005D755C" w:rsidRPr="00CB2C31">
        <w:rPr>
          <w:lang w:val="en-US"/>
        </w:rPr>
        <w:t>alance</w:t>
      </w:r>
      <w:r w:rsidR="001363B5" w:rsidRPr="00CB2C31">
        <w:rPr>
          <w:lang w:val="en-US"/>
        </w:rPr>
        <w:t xml:space="preserve"> Law came into effect</w:t>
      </w:r>
      <w:r w:rsidR="002F6D1B" w:rsidRPr="00CB2C31">
        <w:rPr>
          <w:lang w:val="en-US"/>
        </w:rPr>
        <w:t>)</w:t>
      </w:r>
      <w:r w:rsidR="001363B5" w:rsidRPr="00CB2C31">
        <w:rPr>
          <w:lang w:val="en-US"/>
        </w:rPr>
        <w:t>, to</w:t>
      </w:r>
      <w:r w:rsidRPr="00CB2C31">
        <w:rPr>
          <w:lang w:val="en-US"/>
        </w:rPr>
        <w:t xml:space="preserve"> 36.5% as at July 31, 2018.</w:t>
      </w:r>
      <w:r w:rsidRPr="00CB2C31">
        <w:rPr>
          <w:rStyle w:val="FootnoteReference"/>
          <w:lang w:val="en-US"/>
        </w:rPr>
        <w:footnoteReference w:id="206"/>
      </w:r>
      <w:r w:rsidR="00FC6A21" w:rsidRPr="00CB2C31">
        <w:rPr>
          <w:lang w:val="en-US"/>
        </w:rPr>
        <w:t xml:space="preserve"> </w:t>
      </w:r>
      <w:r w:rsidR="0009628A">
        <w:rPr>
          <w:lang w:val="en-US"/>
        </w:rPr>
        <w:t xml:space="preserve"> </w:t>
      </w:r>
      <w:r w:rsidRPr="00CB2C31">
        <w:rPr>
          <w:lang w:val="en-US"/>
        </w:rPr>
        <w:t>According to the Consob report of September 2018 on board</w:t>
      </w:r>
      <w:r w:rsidR="006751AB" w:rsidRPr="00CB2C31">
        <w:rPr>
          <w:lang w:val="en-US"/>
        </w:rPr>
        <w:t>room gender diversity in Italy,</w:t>
      </w:r>
      <w:r w:rsidR="00086BB4" w:rsidRPr="00CB2C31">
        <w:rPr>
          <w:lang w:val="en-US"/>
        </w:rPr>
        <w:t xml:space="preserve"> </w:t>
      </w:r>
      <w:r w:rsidRPr="00CB2C31">
        <w:rPr>
          <w:lang w:val="en-US"/>
        </w:rPr>
        <w:t>the breakdown of Italian companies according to the term of application of gender quotas shows that most companies have already enacted the one-third gender quota</w:t>
      </w:r>
      <w:r w:rsidR="00F42D6A" w:rsidRPr="00CB2C31">
        <w:rPr>
          <w:lang w:val="en-US"/>
        </w:rPr>
        <w:t xml:space="preserve">.  </w:t>
      </w:r>
      <w:r w:rsidRPr="00CB2C31">
        <w:rPr>
          <w:lang w:val="en-US"/>
        </w:rPr>
        <w:t>Indeed</w:t>
      </w:r>
      <w:r w:rsidR="006751AB" w:rsidRPr="00CB2C31">
        <w:rPr>
          <w:lang w:val="en-US"/>
        </w:rPr>
        <w:t>,</w:t>
      </w:r>
      <w:r w:rsidRPr="00CB2C31">
        <w:rPr>
          <w:lang w:val="en-US"/>
        </w:rPr>
        <w:t xml:space="preserve"> the percentage of board seats held by women in the companies that have undergone the second and third appointment under the new law largely exceeds the mandated one-third quota (37.2% and 39.6% of total bo</w:t>
      </w:r>
      <w:r w:rsidR="00CA0DC4" w:rsidRPr="00CB2C31">
        <w:rPr>
          <w:lang w:val="en-US"/>
        </w:rPr>
        <w:t>ard size, respectively).</w:t>
      </w:r>
      <w:r w:rsidRPr="00CB2C31">
        <w:rPr>
          <w:rStyle w:val="FootnoteReference"/>
          <w:lang w:val="en-US"/>
        </w:rPr>
        <w:footnoteReference w:id="207"/>
      </w:r>
    </w:p>
    <w:p w14:paraId="5F83D7CD" w14:textId="77777777" w:rsidR="003F32DA" w:rsidRPr="00CB2C31" w:rsidRDefault="00E8748D" w:rsidP="00623C41">
      <w:pPr>
        <w:pStyle w:val="DoublePara"/>
        <w:rPr>
          <w:lang w:val="en-US"/>
        </w:rPr>
      </w:pPr>
      <w:r w:rsidRPr="00CB2C31">
        <w:rPr>
          <w:lang w:val="en-US"/>
        </w:rPr>
        <w:t>Interestingly, the report shows that the performance of companies improves where women</w:t>
      </w:r>
      <w:r w:rsidR="00593F1F">
        <w:rPr>
          <w:lang w:val="en-US"/>
        </w:rPr>
        <w:t>’</w:t>
      </w:r>
      <w:r w:rsidRPr="00CB2C31">
        <w:rPr>
          <w:lang w:val="en-US"/>
        </w:rPr>
        <w:t>s participation</w:t>
      </w:r>
      <w:r w:rsidR="002F6D1B" w:rsidRPr="00CB2C31">
        <w:rPr>
          <w:lang w:val="en-US"/>
        </w:rPr>
        <w:t xml:space="preserve"> on boards is greater than 20%, and</w:t>
      </w:r>
      <w:r w:rsidR="001155B8" w:rsidRPr="00CB2C31">
        <w:rPr>
          <w:lang w:val="en-US"/>
        </w:rPr>
        <w:t xml:space="preserve"> concludes that the </w:t>
      </w:r>
      <w:r w:rsidRPr="00CB2C31">
        <w:rPr>
          <w:lang w:val="en-US"/>
        </w:rPr>
        <w:t>Gender B</w:t>
      </w:r>
      <w:r w:rsidR="005D755C" w:rsidRPr="00CB2C31">
        <w:rPr>
          <w:lang w:val="en-US"/>
        </w:rPr>
        <w:t>alance</w:t>
      </w:r>
      <w:r w:rsidR="001155B8" w:rsidRPr="00CB2C31">
        <w:rPr>
          <w:lang w:val="en-US"/>
        </w:rPr>
        <w:t xml:space="preserve"> Law has made boards more </w:t>
      </w:r>
      <w:r w:rsidR="001C52BA">
        <w:rPr>
          <w:lang w:val="en-US"/>
        </w:rPr>
        <w:t>inclusive</w:t>
      </w:r>
      <w:r w:rsidR="001155B8" w:rsidRPr="00CB2C31">
        <w:rPr>
          <w:lang w:val="en-US"/>
        </w:rPr>
        <w:t xml:space="preserve"> in terms of age and professional background, with a reduced average age and an increased average degree of formal education.</w:t>
      </w:r>
    </w:p>
    <w:p w14:paraId="5FFAB1E1" w14:textId="77777777" w:rsidR="007D51CE" w:rsidRPr="002E5273" w:rsidRDefault="007D51CE" w:rsidP="00623C41">
      <w:pPr>
        <w:pStyle w:val="LegalCombo3"/>
        <w:rPr>
          <w:b w:val="0"/>
        </w:rPr>
      </w:pPr>
      <w:bookmarkStart w:id="260" w:name="_Toc15027227"/>
      <w:bookmarkStart w:id="261" w:name="_Toc15027618"/>
      <w:bookmarkStart w:id="262" w:name="_Toc15027896"/>
      <w:bookmarkStart w:id="263" w:name="_Toc16692491"/>
      <w:bookmarkStart w:id="264" w:name="_Toc22904996"/>
      <w:bookmarkStart w:id="265" w:name="_Toc24114395"/>
      <w:bookmarkStart w:id="266" w:name="_Toc15027281"/>
      <w:bookmarkStart w:id="267" w:name="_Toc15027672"/>
      <w:bookmarkStart w:id="268" w:name="_Toc15027950"/>
      <w:r w:rsidRPr="002E5273">
        <w:t>Latvia</w:t>
      </w:r>
      <w:bookmarkEnd w:id="260"/>
      <w:bookmarkEnd w:id="261"/>
      <w:bookmarkEnd w:id="262"/>
      <w:bookmarkEnd w:id="263"/>
      <w:bookmarkEnd w:id="264"/>
      <w:bookmarkEnd w:id="265"/>
    </w:p>
    <w:p w14:paraId="2F86FFD9" w14:textId="77777777" w:rsidR="007D51CE" w:rsidRPr="00CB2C31" w:rsidRDefault="007D51CE" w:rsidP="00623C41">
      <w:pPr>
        <w:pStyle w:val="LegalCombo4"/>
        <w:keepNext/>
      </w:pPr>
      <w:bookmarkStart w:id="269" w:name="_Toc9264257"/>
      <w:bookmarkStart w:id="270" w:name="_Toc9325672"/>
      <w:bookmarkStart w:id="271" w:name="_Toc15027228"/>
      <w:bookmarkStart w:id="272" w:name="_Toc15027619"/>
      <w:bookmarkStart w:id="273" w:name="_Toc15027897"/>
      <w:r w:rsidRPr="00CB2C31">
        <w:t>Introduction</w:t>
      </w:r>
      <w:bookmarkEnd w:id="269"/>
      <w:bookmarkEnd w:id="270"/>
      <w:bookmarkEnd w:id="271"/>
      <w:bookmarkEnd w:id="272"/>
      <w:bookmarkEnd w:id="273"/>
    </w:p>
    <w:p w14:paraId="6911EC04" w14:textId="77777777" w:rsidR="007D51CE" w:rsidRPr="00CB2C31" w:rsidRDefault="007D51CE" w:rsidP="00623C41">
      <w:pPr>
        <w:pStyle w:val="DoublePara"/>
        <w:rPr>
          <w:lang w:val="en-US"/>
        </w:rPr>
      </w:pPr>
      <w:r w:rsidRPr="00CB2C31">
        <w:rPr>
          <w:lang w:val="en-US"/>
        </w:rPr>
        <w:t>Latvia has addressed the challenge of gender diversity primarily th</w:t>
      </w:r>
      <w:r w:rsidR="005102FD" w:rsidRPr="00CB2C31">
        <w:rPr>
          <w:lang w:val="en-US"/>
        </w:rPr>
        <w:t>r</w:t>
      </w:r>
      <w:r w:rsidRPr="00CB2C31">
        <w:rPr>
          <w:lang w:val="en-US"/>
        </w:rPr>
        <w:t xml:space="preserve">ough </w:t>
      </w:r>
      <w:r w:rsidR="009B65E1">
        <w:rPr>
          <w:lang w:val="en-US"/>
        </w:rPr>
        <w:t xml:space="preserve">promoting equal opportunities in the economic market </w:t>
      </w:r>
      <w:r w:rsidRPr="00CB2C31">
        <w:rPr>
          <w:lang w:val="en-US"/>
        </w:rPr>
        <w:t>rather than legislative measures</w:t>
      </w:r>
      <w:r w:rsidR="00F42D6A" w:rsidRPr="00CB2C31">
        <w:rPr>
          <w:lang w:val="en-US"/>
        </w:rPr>
        <w:t xml:space="preserve">.  </w:t>
      </w:r>
      <w:r w:rsidRPr="00CB2C31">
        <w:rPr>
          <w:lang w:val="en-US"/>
        </w:rPr>
        <w:t xml:space="preserve">In </w:t>
      </w:r>
      <w:r w:rsidR="001C52BA">
        <w:rPr>
          <w:lang w:val="en-US"/>
        </w:rPr>
        <w:t>fact</w:t>
      </w:r>
      <w:r w:rsidRPr="00CB2C31">
        <w:rPr>
          <w:lang w:val="en-US"/>
        </w:rPr>
        <w:t xml:space="preserve">, the country has vocally rejected the introduction of gender quotas. </w:t>
      </w:r>
    </w:p>
    <w:p w14:paraId="6F983A87" w14:textId="77777777" w:rsidR="007D51CE" w:rsidRPr="00CB2C31" w:rsidRDefault="007D51CE" w:rsidP="00623C41">
      <w:pPr>
        <w:pStyle w:val="LegalCombo4"/>
        <w:keepNext/>
      </w:pPr>
      <w:r w:rsidRPr="00CB2C31">
        <w:t>Corporate Governance</w:t>
      </w:r>
    </w:p>
    <w:p w14:paraId="3E0A4E85" w14:textId="75B1D619" w:rsidR="005102FD" w:rsidRPr="00CB2C31" w:rsidRDefault="005102FD" w:rsidP="00623C41">
      <w:pPr>
        <w:pStyle w:val="DoublePara"/>
        <w:rPr>
          <w:lang w:val="en-US"/>
        </w:rPr>
      </w:pPr>
      <w:r w:rsidRPr="00CB2C31">
        <w:rPr>
          <w:lang w:val="en-US"/>
        </w:rPr>
        <w:t>Corporate governance rules in Latvia stem from the G20/OECD Principles of Corporate Governance,</w:t>
      </w:r>
      <w:r w:rsidRPr="00CB2C31">
        <w:rPr>
          <w:rStyle w:val="FootnoteReference"/>
          <w:lang w:val="en-US"/>
        </w:rPr>
        <w:footnoteReference w:id="208"/>
      </w:r>
      <w:r w:rsidRPr="00CB2C31">
        <w:rPr>
          <w:lang w:val="en-US"/>
        </w:rPr>
        <w:t xml:space="preserve"> the OECD Guidelines on Corporate Governance of State-Owned Enterprises,</w:t>
      </w:r>
      <w:r w:rsidRPr="00CB2C31">
        <w:rPr>
          <w:rStyle w:val="FootnoteReference"/>
          <w:lang w:val="en-US"/>
        </w:rPr>
        <w:footnoteReference w:id="209"/>
      </w:r>
      <w:r w:rsidRPr="00CB2C31">
        <w:rPr>
          <w:lang w:val="en-US"/>
        </w:rPr>
        <w:t xml:space="preserve"> the Nasdaq Riga</w:t>
      </w:r>
      <w:r w:rsidR="00593F1F">
        <w:rPr>
          <w:lang w:val="en-US"/>
        </w:rPr>
        <w:t>’</w:t>
      </w:r>
      <w:r w:rsidR="0088777B" w:rsidRPr="00CB2C31">
        <w:rPr>
          <w:lang w:val="en-US"/>
        </w:rPr>
        <w:t>s Rules on Listing and Trading</w:t>
      </w:r>
      <w:r w:rsidRPr="00CB2C31">
        <w:rPr>
          <w:rStyle w:val="FootnoteReference"/>
          <w:lang w:val="en-US"/>
        </w:rPr>
        <w:footnoteReference w:id="210"/>
      </w:r>
      <w:r w:rsidRPr="00CB2C31">
        <w:rPr>
          <w:lang w:val="en-US"/>
        </w:rPr>
        <w:t xml:space="preserve"> and the Nasdaq Principles of Corporate Governance and Recommendations on their Implementation</w:t>
      </w:r>
      <w:r w:rsidRPr="00CB2C31">
        <w:rPr>
          <w:rStyle w:val="FootnoteReference"/>
          <w:lang w:val="en-US"/>
        </w:rPr>
        <w:footnoteReference w:id="211"/>
      </w:r>
      <w:r w:rsidRPr="00CB2C31">
        <w:rPr>
          <w:lang w:val="en-US"/>
        </w:rPr>
        <w:t xml:space="preserve"> (the </w:t>
      </w:r>
      <w:r w:rsidR="00203E75" w:rsidRPr="00203E75">
        <w:rPr>
          <w:i/>
          <w:lang w:val="en-US"/>
        </w:rPr>
        <w:t>“</w:t>
      </w:r>
      <w:r w:rsidRPr="00CB2C31">
        <w:rPr>
          <w:b/>
          <w:lang w:val="en-US"/>
        </w:rPr>
        <w:t>Nasdaq Principles</w:t>
      </w:r>
      <w:r w:rsidR="00203E75" w:rsidRPr="00203E75">
        <w:rPr>
          <w:i/>
          <w:lang w:val="en-US"/>
        </w:rPr>
        <w:t>”</w:t>
      </w:r>
      <w:r w:rsidRPr="00CB2C31">
        <w:rPr>
          <w:lang w:val="en-US"/>
        </w:rPr>
        <w:t xml:space="preserve">). </w:t>
      </w:r>
    </w:p>
    <w:p w14:paraId="2C73195D" w14:textId="77777777" w:rsidR="00D27A1A" w:rsidRPr="00CB2C31" w:rsidRDefault="007D51CE" w:rsidP="00623C41">
      <w:pPr>
        <w:pStyle w:val="DoublePara"/>
        <w:rPr>
          <w:lang w:val="en-US"/>
        </w:rPr>
      </w:pPr>
      <w:r w:rsidRPr="00CB2C31">
        <w:rPr>
          <w:lang w:val="en-US"/>
        </w:rPr>
        <w:t>Latvian companies operate through a two-tier system of supervisory boards and management boards</w:t>
      </w:r>
      <w:r w:rsidR="00F42D6A" w:rsidRPr="00CB2C31">
        <w:rPr>
          <w:lang w:val="en-US"/>
        </w:rPr>
        <w:t xml:space="preserve">.  </w:t>
      </w:r>
      <w:r w:rsidRPr="00CB2C31">
        <w:rPr>
          <w:lang w:val="en-US"/>
        </w:rPr>
        <w:t xml:space="preserve">Supervisory </w:t>
      </w:r>
      <w:r w:rsidRPr="00CB2C31">
        <w:rPr>
          <w:lang w:val="en-US" w:eastAsia="en-GB"/>
        </w:rPr>
        <w:t>boards</w:t>
      </w:r>
      <w:r w:rsidRPr="00CB2C31">
        <w:rPr>
          <w:lang w:val="en-US"/>
        </w:rPr>
        <w:t xml:space="preserve"> consist of between three members (for private companies) and five members (for publicly listed companies) and a maximum of 20 members</w:t>
      </w:r>
      <w:r w:rsidR="00EB2AFD">
        <w:rPr>
          <w:lang w:val="en-US"/>
        </w:rPr>
        <w:t>.</w:t>
      </w:r>
      <w:r w:rsidRPr="00CB2C31">
        <w:rPr>
          <w:rStyle w:val="FootnoteReference"/>
          <w:lang w:val="en-US"/>
        </w:rPr>
        <w:footnoteReference w:id="212"/>
      </w:r>
      <w:r w:rsidR="00F42D6A" w:rsidRPr="00CB2C31">
        <w:rPr>
          <w:lang w:val="en-US"/>
        </w:rPr>
        <w:t xml:space="preserve">  </w:t>
      </w:r>
      <w:r w:rsidRPr="00CB2C31">
        <w:rPr>
          <w:lang w:val="en-US"/>
        </w:rPr>
        <w:t>Supervisory board members cannot simultaneously serve on the same company</w:t>
      </w:r>
      <w:r w:rsidR="00593F1F">
        <w:rPr>
          <w:lang w:val="en-US"/>
        </w:rPr>
        <w:t>’</w:t>
      </w:r>
      <w:r w:rsidRPr="00CB2C31">
        <w:rPr>
          <w:lang w:val="en-US"/>
        </w:rPr>
        <w:t>s management board and that of any dependent company</w:t>
      </w:r>
      <w:r w:rsidR="00F42D6A" w:rsidRPr="00CB2C31">
        <w:rPr>
          <w:lang w:val="en-US"/>
        </w:rPr>
        <w:t xml:space="preserve">.  </w:t>
      </w:r>
      <w:r w:rsidRPr="00CB2C31">
        <w:rPr>
          <w:lang w:val="en-US"/>
        </w:rPr>
        <w:t>There are no specific statutory requirements related to director independence, although the Nasdaq Principles recommend independence measures for the supervisory boards of listed companies</w:t>
      </w:r>
      <w:r w:rsidR="00F42D6A" w:rsidRPr="00CB2C31">
        <w:rPr>
          <w:lang w:val="en-US"/>
        </w:rPr>
        <w:t xml:space="preserve">.  </w:t>
      </w:r>
      <w:r w:rsidR="00D27A1A" w:rsidRPr="00CB2C31">
        <w:rPr>
          <w:lang w:val="en-US"/>
        </w:rPr>
        <w:t>With regards to gender, Latvia rejected the European Commission</w:t>
      </w:r>
      <w:r w:rsidR="00593F1F">
        <w:rPr>
          <w:lang w:val="en-US"/>
        </w:rPr>
        <w:t>’</w:t>
      </w:r>
      <w:r w:rsidR="00D27A1A" w:rsidRPr="00CB2C31">
        <w:rPr>
          <w:lang w:val="en-US"/>
        </w:rPr>
        <w:t>s proposed target for women to represent 40% of non-</w:t>
      </w:r>
      <w:r w:rsidR="00D27A1A" w:rsidRPr="00CB2C31">
        <w:rPr>
          <w:lang w:val="en-US" w:eastAsia="en-GB"/>
        </w:rPr>
        <w:t>executive</w:t>
      </w:r>
      <w:r w:rsidR="00D27A1A" w:rsidRPr="00CB2C31">
        <w:rPr>
          <w:lang w:val="en-US"/>
        </w:rPr>
        <w:t xml:space="preserve"> directors in listed companies by 2020.</w:t>
      </w:r>
      <w:r w:rsidR="00D27A1A" w:rsidRPr="00CB2C31">
        <w:rPr>
          <w:rStyle w:val="FootnoteReference"/>
          <w:lang w:val="en-US"/>
        </w:rPr>
        <w:footnoteReference w:id="213"/>
      </w:r>
      <w:r w:rsidR="00D27A1A" w:rsidRPr="00CB2C31">
        <w:rPr>
          <w:lang w:val="en-US"/>
        </w:rPr>
        <w:t xml:space="preserve"> </w:t>
      </w:r>
      <w:r w:rsidR="0009628A">
        <w:rPr>
          <w:lang w:val="en-US"/>
        </w:rPr>
        <w:t xml:space="preserve"> </w:t>
      </w:r>
      <w:r w:rsidRPr="00CB2C31">
        <w:rPr>
          <w:lang w:val="en-US"/>
        </w:rPr>
        <w:t xml:space="preserve">The board of directors is elected by </w:t>
      </w:r>
      <w:r w:rsidR="00EB2AFD">
        <w:rPr>
          <w:lang w:val="en-US"/>
        </w:rPr>
        <w:t xml:space="preserve">a </w:t>
      </w:r>
      <w:r w:rsidRPr="00CB2C31">
        <w:rPr>
          <w:lang w:val="en-US"/>
        </w:rPr>
        <w:t>simple majority of votes by the general meeting of shareholders</w:t>
      </w:r>
      <w:r w:rsidR="00F42D6A" w:rsidRPr="00CB2C31">
        <w:rPr>
          <w:lang w:val="en-US"/>
        </w:rPr>
        <w:t xml:space="preserve">.  </w:t>
      </w:r>
      <w:r w:rsidR="00EB2AFD">
        <w:rPr>
          <w:lang w:val="en-US"/>
        </w:rPr>
        <w:t xml:space="preserve">Each </w:t>
      </w:r>
      <w:r w:rsidR="001F419C">
        <w:rPr>
          <w:lang w:val="en-US"/>
        </w:rPr>
        <w:t>d</w:t>
      </w:r>
      <w:r w:rsidR="00EB2AFD">
        <w:rPr>
          <w:lang w:val="en-US"/>
        </w:rPr>
        <w:t>irector</w:t>
      </w:r>
      <w:r w:rsidR="00593F1F">
        <w:rPr>
          <w:lang w:val="en-US"/>
        </w:rPr>
        <w:t>’</w:t>
      </w:r>
      <w:r w:rsidR="00EB2AFD">
        <w:rPr>
          <w:lang w:val="en-US"/>
        </w:rPr>
        <w:t>s</w:t>
      </w:r>
      <w:r w:rsidR="00EB2AFD" w:rsidRPr="00CB2C31">
        <w:rPr>
          <w:lang w:val="en-US"/>
        </w:rPr>
        <w:t xml:space="preserve"> </w:t>
      </w:r>
      <w:r w:rsidR="0007459E" w:rsidRPr="00CB2C31">
        <w:rPr>
          <w:lang w:val="en-US"/>
        </w:rPr>
        <w:t xml:space="preserve">term of service </w:t>
      </w:r>
      <w:r w:rsidRPr="00CB2C31">
        <w:rPr>
          <w:lang w:val="en-US"/>
        </w:rPr>
        <w:t>must not exceed five</w:t>
      </w:r>
      <w:r w:rsidR="005102FD" w:rsidRPr="00CB2C31">
        <w:rPr>
          <w:lang w:val="en-US"/>
        </w:rPr>
        <w:t xml:space="preserve"> years</w:t>
      </w:r>
      <w:r w:rsidR="005102FD" w:rsidRPr="00CB2C31">
        <w:rPr>
          <w:rStyle w:val="FootnoteReference"/>
          <w:lang w:val="en-US"/>
        </w:rPr>
        <w:footnoteReference w:id="214"/>
      </w:r>
      <w:r w:rsidR="005102FD" w:rsidRPr="00CB2C31">
        <w:rPr>
          <w:lang w:val="en-US"/>
        </w:rPr>
        <w:t xml:space="preserve"> and me</w:t>
      </w:r>
      <w:r w:rsidRPr="00CB2C31">
        <w:rPr>
          <w:lang w:val="en-US"/>
        </w:rPr>
        <w:t>mbers of the board can be removed by shareholders.</w:t>
      </w:r>
      <w:r w:rsidRPr="00CB2C31">
        <w:rPr>
          <w:rStyle w:val="FootnoteReference"/>
          <w:lang w:val="en-US"/>
        </w:rPr>
        <w:footnoteReference w:id="215"/>
      </w:r>
      <w:r w:rsidRPr="00CB2C31">
        <w:rPr>
          <w:lang w:val="en-US"/>
        </w:rPr>
        <w:t xml:space="preserve"> </w:t>
      </w:r>
    </w:p>
    <w:p w14:paraId="56A0BE7B" w14:textId="77777777" w:rsidR="00D27A1A" w:rsidRPr="00CB2C31" w:rsidRDefault="00D27A1A" w:rsidP="00623C41">
      <w:pPr>
        <w:pStyle w:val="DoublePara"/>
        <w:rPr>
          <w:lang w:val="en-US"/>
        </w:rPr>
      </w:pPr>
      <w:r w:rsidRPr="00CB2C31">
        <w:rPr>
          <w:lang w:val="en-US"/>
        </w:rPr>
        <w:t xml:space="preserve">Instead of using quotas to </w:t>
      </w:r>
      <w:r w:rsidRPr="00CB2C31">
        <w:rPr>
          <w:lang w:val="en-US" w:eastAsia="en-GB"/>
        </w:rPr>
        <w:t>achieve</w:t>
      </w:r>
      <w:r w:rsidRPr="00CB2C31">
        <w:rPr>
          <w:lang w:val="en-US"/>
        </w:rPr>
        <w:t xml:space="preserve"> high levels of female representati</w:t>
      </w:r>
      <w:r w:rsidR="00B550AE" w:rsidRPr="00CB2C31">
        <w:rPr>
          <w:lang w:val="en-US"/>
        </w:rPr>
        <w:t xml:space="preserve">on on corporate boards, Latvia uses </w:t>
      </w:r>
      <w:r w:rsidR="009B65E1">
        <w:rPr>
          <w:lang w:val="en-US"/>
        </w:rPr>
        <w:t xml:space="preserve">more subtle </w:t>
      </w:r>
      <w:r w:rsidR="00B550AE" w:rsidRPr="00CB2C31">
        <w:rPr>
          <w:lang w:val="en-US"/>
        </w:rPr>
        <w:t xml:space="preserve">measures </w:t>
      </w:r>
      <w:r w:rsidRPr="00CB2C31">
        <w:rPr>
          <w:lang w:val="en-US"/>
        </w:rPr>
        <w:t>such as</w:t>
      </w:r>
      <w:r w:rsidR="000E5E4A" w:rsidRPr="00CB2C31">
        <w:rPr>
          <w:lang w:val="en-US"/>
        </w:rPr>
        <w:t xml:space="preserve"> publishing </w:t>
      </w:r>
      <w:r w:rsidRPr="00CB2C31">
        <w:rPr>
          <w:lang w:val="en-US"/>
        </w:rPr>
        <w:t>the Gender Equality Action Plan 2012-2014</w:t>
      </w:r>
      <w:r w:rsidRPr="00CB2C31">
        <w:rPr>
          <w:rStyle w:val="FootnoteReference"/>
          <w:lang w:val="en-US"/>
        </w:rPr>
        <w:footnoteReference w:id="216"/>
      </w:r>
      <w:r w:rsidRPr="00CB2C31">
        <w:rPr>
          <w:lang w:val="en-US"/>
        </w:rPr>
        <w:t xml:space="preserve"> devel</w:t>
      </w:r>
      <w:r w:rsidR="00B550AE" w:rsidRPr="00CB2C31">
        <w:rPr>
          <w:lang w:val="en-US"/>
        </w:rPr>
        <w:t xml:space="preserve">oped by the Ministry of Welfare which focuses on </w:t>
      </w:r>
      <w:r w:rsidRPr="00CB2C31">
        <w:rPr>
          <w:lang w:val="en-US"/>
        </w:rPr>
        <w:t>promoting equal opportunities in the economic market.</w:t>
      </w:r>
    </w:p>
    <w:p w14:paraId="6FB84946" w14:textId="77777777" w:rsidR="007D51CE" w:rsidRPr="00D900CE" w:rsidRDefault="007D51CE" w:rsidP="00623C41">
      <w:pPr>
        <w:pStyle w:val="LegalCombo4"/>
        <w:keepNext/>
        <w:rPr>
          <w:b/>
        </w:rPr>
      </w:pPr>
      <w:bookmarkStart w:id="274" w:name="_Toc15027231"/>
      <w:bookmarkStart w:id="275" w:name="_Toc15027622"/>
      <w:bookmarkStart w:id="276" w:name="_Toc15027900"/>
      <w:r w:rsidRPr="00D900CE">
        <w:rPr>
          <w:b/>
        </w:rPr>
        <w:t>Conclusion and Best Practice Analysis</w:t>
      </w:r>
      <w:bookmarkEnd w:id="274"/>
      <w:bookmarkEnd w:id="275"/>
      <w:bookmarkEnd w:id="276"/>
      <w:r w:rsidR="007A4AC7" w:rsidRPr="00D900CE">
        <w:rPr>
          <w:b/>
        </w:rPr>
        <w:t>:</w:t>
      </w:r>
      <w:r w:rsidR="00593F1F" w:rsidRPr="00D900CE">
        <w:rPr>
          <w:b/>
        </w:rPr>
        <w:t xml:space="preserve"> </w:t>
      </w:r>
      <w:r w:rsidR="007A4AC7" w:rsidRPr="00D900CE">
        <w:rPr>
          <w:b/>
        </w:rPr>
        <w:t>Latvia</w:t>
      </w:r>
    </w:p>
    <w:p w14:paraId="0BE00568" w14:textId="7ABF6F32" w:rsidR="007D51CE" w:rsidRPr="00CB2C31" w:rsidRDefault="007D51CE" w:rsidP="00623C41">
      <w:pPr>
        <w:pStyle w:val="DoublePara"/>
        <w:rPr>
          <w:lang w:val="en-US"/>
        </w:rPr>
      </w:pPr>
      <w:r w:rsidRPr="00CB2C31">
        <w:rPr>
          <w:lang w:val="en-US"/>
        </w:rPr>
        <w:t xml:space="preserve">Despite Latvia opting out of the use of gender quotas, the representation of women in business is quite high compared to </w:t>
      </w:r>
      <w:r w:rsidR="00B550AE" w:rsidRPr="00CB2C31">
        <w:rPr>
          <w:lang w:val="en-US"/>
        </w:rPr>
        <w:t>other European</w:t>
      </w:r>
      <w:r w:rsidRPr="00CB2C31">
        <w:rPr>
          <w:lang w:val="en-US"/>
        </w:rPr>
        <w:t xml:space="preserve"> countries</w:t>
      </w:r>
      <w:r w:rsidR="00EC6E7C">
        <w:rPr>
          <w:lang w:val="en-US"/>
        </w:rPr>
        <w:t>, likely due to the</w:t>
      </w:r>
      <w:r w:rsidR="00EC6E7C" w:rsidRPr="00EC6E7C">
        <w:rPr>
          <w:b/>
          <w:lang w:val="en-US"/>
        </w:rPr>
        <w:t xml:space="preserve"> Gender Equality Action Plan </w:t>
      </w:r>
      <w:r w:rsidR="00EC6E7C" w:rsidRPr="00CB2C31">
        <w:rPr>
          <w:lang w:val="en-US"/>
        </w:rPr>
        <w:t>2012-2014</w:t>
      </w:r>
      <w:r w:rsidR="00F42D6A" w:rsidRPr="00CB2C31">
        <w:rPr>
          <w:lang w:val="en-US"/>
        </w:rPr>
        <w:t xml:space="preserve">.  </w:t>
      </w:r>
      <w:r w:rsidRPr="00CB2C31">
        <w:rPr>
          <w:lang w:val="en-US"/>
        </w:rPr>
        <w:t>For example, the share of women in decision-making positions in publicly listed</w:t>
      </w:r>
      <w:r w:rsidR="00870CF7" w:rsidRPr="00CB2C31">
        <w:rPr>
          <w:lang w:val="en-US"/>
        </w:rPr>
        <w:t xml:space="preserve"> companies was</w:t>
      </w:r>
      <w:r w:rsidR="00B26ABA">
        <w:rPr>
          <w:lang w:val="en-US"/>
        </w:rPr>
        <w:t xml:space="preserve"> 29</w:t>
      </w:r>
      <w:r w:rsidRPr="00CB2C31">
        <w:rPr>
          <w:lang w:val="en-US"/>
        </w:rPr>
        <w:t>%</w:t>
      </w:r>
      <w:r w:rsidR="00B26ABA">
        <w:rPr>
          <w:lang w:val="en-US"/>
        </w:rPr>
        <w:t xml:space="preserve"> in 2018</w:t>
      </w:r>
      <w:r w:rsidRPr="00CB2C31">
        <w:rPr>
          <w:lang w:val="en-US"/>
        </w:rPr>
        <w:t xml:space="preserve">, </w:t>
      </w:r>
      <w:r w:rsidR="00ED7080" w:rsidRPr="00CB2C31">
        <w:rPr>
          <w:lang w:val="en-US"/>
        </w:rPr>
        <w:t xml:space="preserve">compared to the </w:t>
      </w:r>
      <w:r w:rsidR="009A3C15">
        <w:rPr>
          <w:lang w:val="en-US"/>
        </w:rPr>
        <w:t>European</w:t>
      </w:r>
      <w:r w:rsidR="00EB2AFD">
        <w:rPr>
          <w:lang w:val="en-US"/>
        </w:rPr>
        <w:t xml:space="preserve"> </w:t>
      </w:r>
      <w:r w:rsidR="00B26ABA">
        <w:rPr>
          <w:lang w:val="en-US"/>
        </w:rPr>
        <w:t>average of 26.7</w:t>
      </w:r>
      <w:r w:rsidRPr="00CB2C31">
        <w:rPr>
          <w:lang w:val="en-US"/>
        </w:rPr>
        <w:t>%.</w:t>
      </w:r>
      <w:r w:rsidRPr="00CB2C31">
        <w:rPr>
          <w:rStyle w:val="FootnoteReference"/>
          <w:lang w:val="en-US"/>
        </w:rPr>
        <w:footnoteReference w:id="217"/>
      </w:r>
      <w:r w:rsidRPr="00CB2C31">
        <w:rPr>
          <w:lang w:val="en-US"/>
        </w:rPr>
        <w:t xml:space="preserve"> </w:t>
      </w:r>
      <w:r w:rsidR="0009628A">
        <w:rPr>
          <w:lang w:val="en-US"/>
        </w:rPr>
        <w:t xml:space="preserve"> </w:t>
      </w:r>
      <w:r w:rsidRPr="00CB2C31">
        <w:rPr>
          <w:lang w:val="en-US"/>
        </w:rPr>
        <w:t>Some progress has also been made in the political sphere due to the increased gender balance in the regional assemblies, where women represent</w:t>
      </w:r>
      <w:r w:rsidR="00870CF7" w:rsidRPr="00CB2C31">
        <w:rPr>
          <w:lang w:val="en-US"/>
        </w:rPr>
        <w:t>ed</w:t>
      </w:r>
      <w:r w:rsidR="00ED7080" w:rsidRPr="00CB2C31">
        <w:rPr>
          <w:lang w:val="en-US"/>
        </w:rPr>
        <w:t xml:space="preserve"> 26</w:t>
      </w:r>
      <w:r w:rsidRPr="00CB2C31">
        <w:rPr>
          <w:lang w:val="en-US"/>
        </w:rPr>
        <w:t>% of members</w:t>
      </w:r>
      <w:r w:rsidR="00B26ABA">
        <w:rPr>
          <w:lang w:val="en-US"/>
        </w:rPr>
        <w:t xml:space="preserve"> in 2018</w:t>
      </w:r>
      <w:r w:rsidRPr="00CB2C31">
        <w:rPr>
          <w:lang w:val="en-US"/>
        </w:rPr>
        <w:t>, compared to 21% in 2010.</w:t>
      </w:r>
      <w:r w:rsidRPr="00CB2C31">
        <w:rPr>
          <w:rStyle w:val="FootnoteReference"/>
          <w:lang w:val="en-US"/>
        </w:rPr>
        <w:footnoteReference w:id="218"/>
      </w:r>
    </w:p>
    <w:p w14:paraId="2C3C2DBD" w14:textId="3E0A0F4B" w:rsidR="007D51CE" w:rsidRPr="00CB2C31" w:rsidRDefault="007D51CE" w:rsidP="00623C41">
      <w:pPr>
        <w:pStyle w:val="DoublePara"/>
        <w:rPr>
          <w:lang w:val="en-US"/>
        </w:rPr>
      </w:pPr>
      <w:r w:rsidRPr="00CB2C31">
        <w:rPr>
          <w:lang w:val="en-US"/>
        </w:rPr>
        <w:t xml:space="preserve">In the World Bank </w:t>
      </w:r>
      <w:r w:rsidRPr="00CB2C31">
        <w:rPr>
          <w:i/>
          <w:lang w:val="en-US"/>
        </w:rPr>
        <w:t xml:space="preserve">Women, Business and the Law </w:t>
      </w:r>
      <w:r w:rsidRPr="00CB2C31">
        <w:rPr>
          <w:lang w:val="en-US"/>
        </w:rPr>
        <w:t>2019 Report,</w:t>
      </w:r>
      <w:r w:rsidRPr="00CB2C31">
        <w:rPr>
          <w:rStyle w:val="FootnoteReference"/>
          <w:lang w:val="en-US"/>
        </w:rPr>
        <w:footnoteReference w:id="219"/>
      </w:r>
      <w:r w:rsidRPr="00CB2C31">
        <w:rPr>
          <w:lang w:val="en-US"/>
        </w:rPr>
        <w:t xml:space="preserve"> Latvia scored 100 in the eight different indicators which </w:t>
      </w:r>
      <w:r w:rsidRPr="00CB2C31">
        <w:rPr>
          <w:lang w:val="en-US" w:eastAsia="en-GB"/>
        </w:rPr>
        <w:t>make</w:t>
      </w:r>
      <w:r w:rsidRPr="00CB2C31">
        <w:rPr>
          <w:lang w:val="en-US"/>
        </w:rPr>
        <w:t xml:space="preserve"> up the </w:t>
      </w:r>
      <w:r w:rsidR="00D858DE">
        <w:rPr>
          <w:lang w:val="en-US"/>
        </w:rPr>
        <w:t>WBL</w:t>
      </w:r>
      <w:r w:rsidRPr="00CB2C31">
        <w:rPr>
          <w:lang w:val="en-US"/>
        </w:rPr>
        <w:t xml:space="preserve"> index</w:t>
      </w:r>
      <w:r w:rsidR="00F42D6A" w:rsidRPr="00CB2C31">
        <w:rPr>
          <w:lang w:val="en-US"/>
        </w:rPr>
        <w:t xml:space="preserve">.  </w:t>
      </w:r>
      <w:r w:rsidRPr="00CB2C31">
        <w:rPr>
          <w:lang w:val="en-US"/>
        </w:rPr>
        <w:t xml:space="preserve">These indicators include </w:t>
      </w:r>
      <w:r w:rsidR="00593F1F">
        <w:rPr>
          <w:lang w:val="en-US"/>
        </w:rPr>
        <w:t>‘</w:t>
      </w:r>
      <w:r w:rsidRPr="00CB2C31">
        <w:rPr>
          <w:i/>
          <w:lang w:val="en-US"/>
        </w:rPr>
        <w:t>going places</w:t>
      </w:r>
      <w:r w:rsidR="001816F9" w:rsidRPr="00141FF7">
        <w:rPr>
          <w:lang w:val="en-US"/>
        </w:rPr>
        <w:t>,</w:t>
      </w:r>
      <w:r w:rsidR="00593F1F" w:rsidRPr="00141FF7">
        <w:rPr>
          <w:lang w:val="en-US"/>
        </w:rPr>
        <w:t>’</w:t>
      </w:r>
      <w:r w:rsidRPr="00CB2C31">
        <w:rPr>
          <w:lang w:val="en-US"/>
        </w:rPr>
        <w:t xml:space="preserve"> </w:t>
      </w:r>
      <w:r w:rsidR="00593F1F">
        <w:rPr>
          <w:lang w:val="en-US"/>
        </w:rPr>
        <w:t>‘</w:t>
      </w:r>
      <w:r w:rsidRPr="00CB2C31">
        <w:rPr>
          <w:i/>
          <w:lang w:val="en-US"/>
        </w:rPr>
        <w:t>running a business</w:t>
      </w:r>
      <w:r w:rsidR="00593F1F">
        <w:rPr>
          <w:lang w:val="en-US"/>
        </w:rPr>
        <w:t>’</w:t>
      </w:r>
      <w:r w:rsidRPr="00CB2C31">
        <w:rPr>
          <w:lang w:val="en-US"/>
        </w:rPr>
        <w:t xml:space="preserve"> and </w:t>
      </w:r>
      <w:r w:rsidR="00593F1F">
        <w:rPr>
          <w:lang w:val="en-US"/>
        </w:rPr>
        <w:t>‘</w:t>
      </w:r>
      <w:r w:rsidRPr="00CB2C31">
        <w:rPr>
          <w:i/>
          <w:lang w:val="en-US"/>
        </w:rPr>
        <w:t>managing assets</w:t>
      </w:r>
      <w:r w:rsidR="001816F9" w:rsidRPr="00141FF7">
        <w:rPr>
          <w:lang w:val="en-US"/>
        </w:rPr>
        <w:t>,</w:t>
      </w:r>
      <w:r w:rsidR="00593F1F">
        <w:rPr>
          <w:lang w:val="en-US"/>
        </w:rPr>
        <w:t>’</w:t>
      </w:r>
      <w:r w:rsidRPr="00CB2C31">
        <w:rPr>
          <w:lang w:val="en-US"/>
        </w:rPr>
        <w:t xml:space="preserve"> and Latvia</w:t>
      </w:r>
      <w:r w:rsidR="00593F1F">
        <w:rPr>
          <w:lang w:val="en-US"/>
        </w:rPr>
        <w:t>’</w:t>
      </w:r>
      <w:r w:rsidRPr="00CB2C31">
        <w:rPr>
          <w:lang w:val="en-US"/>
        </w:rPr>
        <w:t xml:space="preserve">s high scoring in the WBL index suggests that women are on equal legal standing with men across all eight indicators in the economy. </w:t>
      </w:r>
      <w:bookmarkStart w:id="277" w:name="_Toc513198733"/>
      <w:bookmarkStart w:id="278" w:name="_Toc513199222"/>
      <w:bookmarkStart w:id="279" w:name="_Toc513200317"/>
      <w:bookmarkStart w:id="280" w:name="_Toc513200491"/>
      <w:bookmarkStart w:id="281" w:name="_Toc513208152"/>
      <w:bookmarkEnd w:id="277"/>
      <w:bookmarkEnd w:id="278"/>
      <w:bookmarkEnd w:id="279"/>
      <w:bookmarkEnd w:id="280"/>
      <w:bookmarkEnd w:id="281"/>
    </w:p>
    <w:p w14:paraId="1BB38607" w14:textId="77777777" w:rsidR="004F2997" w:rsidRPr="00CB2C31" w:rsidRDefault="0085317F" w:rsidP="00623C41">
      <w:pPr>
        <w:pStyle w:val="LegalCombo2"/>
      </w:pPr>
      <w:bookmarkStart w:id="282" w:name="_Toc16692492"/>
      <w:bookmarkStart w:id="283" w:name="_Toc22904997"/>
      <w:bookmarkStart w:id="284" w:name="_Toc24114396"/>
      <w:r w:rsidRPr="00CB2C31">
        <w:t xml:space="preserve">MIDDLE EAST AND </w:t>
      </w:r>
      <w:bookmarkEnd w:id="266"/>
      <w:bookmarkEnd w:id="267"/>
      <w:bookmarkEnd w:id="268"/>
      <w:r w:rsidRPr="00CB2C31">
        <w:t>AFRICA</w:t>
      </w:r>
      <w:bookmarkEnd w:id="282"/>
      <w:bookmarkEnd w:id="283"/>
      <w:bookmarkEnd w:id="284"/>
    </w:p>
    <w:p w14:paraId="51297044" w14:textId="77777777" w:rsidR="00312EB0" w:rsidRPr="00CB2C31" w:rsidRDefault="008407E0" w:rsidP="00623C41">
      <w:pPr>
        <w:pStyle w:val="DoublePara"/>
        <w:rPr>
          <w:lang w:val="en-US"/>
        </w:rPr>
      </w:pPr>
      <w:r w:rsidRPr="00CB2C31">
        <w:rPr>
          <w:lang w:val="en-US"/>
        </w:rPr>
        <w:t xml:space="preserve">Initiatives to promote </w:t>
      </w:r>
      <w:r w:rsidR="005D755C" w:rsidRPr="00CB2C31">
        <w:rPr>
          <w:lang w:val="en-US"/>
        </w:rPr>
        <w:t>gender balance</w:t>
      </w:r>
      <w:r w:rsidRPr="00CB2C31">
        <w:rPr>
          <w:lang w:val="en-US"/>
        </w:rPr>
        <w:t xml:space="preserve"> vary widely across the Middle East and Africa.  While the majority of countries in the region tend to lag behind, there are noteworthy best practices that can be found </w:t>
      </w:r>
      <w:r w:rsidR="00333249" w:rsidRPr="00CB2C31">
        <w:rPr>
          <w:lang w:val="en-US"/>
        </w:rPr>
        <w:t>in Israel and Rwanda.</w:t>
      </w:r>
      <w:r w:rsidRPr="00CB2C31">
        <w:rPr>
          <w:lang w:val="en-US"/>
        </w:rPr>
        <w:t xml:space="preserve">  </w:t>
      </w:r>
    </w:p>
    <w:p w14:paraId="3DC4C39C" w14:textId="77777777" w:rsidR="004F2997" w:rsidRPr="002E5273" w:rsidRDefault="004F2997" w:rsidP="00623C41">
      <w:pPr>
        <w:pStyle w:val="LegalCombo3"/>
        <w:rPr>
          <w:b w:val="0"/>
        </w:rPr>
      </w:pPr>
      <w:bookmarkStart w:id="285" w:name="_Toc15027282"/>
      <w:bookmarkStart w:id="286" w:name="_Toc15027673"/>
      <w:bookmarkStart w:id="287" w:name="_Toc15027951"/>
      <w:bookmarkStart w:id="288" w:name="_Toc16692493"/>
      <w:bookmarkStart w:id="289" w:name="_Toc22904998"/>
      <w:bookmarkStart w:id="290" w:name="_Toc24114397"/>
      <w:r w:rsidRPr="002E5273">
        <w:t>Israel</w:t>
      </w:r>
      <w:bookmarkEnd w:id="285"/>
      <w:bookmarkEnd w:id="286"/>
      <w:bookmarkEnd w:id="287"/>
      <w:bookmarkEnd w:id="288"/>
      <w:bookmarkEnd w:id="289"/>
      <w:bookmarkEnd w:id="290"/>
    </w:p>
    <w:p w14:paraId="40910885" w14:textId="77777777" w:rsidR="004F2997" w:rsidRPr="00CB2C31" w:rsidRDefault="004F2997" w:rsidP="00623C41">
      <w:pPr>
        <w:pStyle w:val="LegalCombo4"/>
        <w:keepNext/>
      </w:pPr>
      <w:bookmarkStart w:id="291" w:name="_Toc15027283"/>
      <w:bookmarkStart w:id="292" w:name="_Toc15027674"/>
      <w:bookmarkStart w:id="293" w:name="_Toc15027952"/>
      <w:r w:rsidRPr="00CB2C31">
        <w:t xml:space="preserve">Introduction </w:t>
      </w:r>
      <w:bookmarkEnd w:id="291"/>
      <w:bookmarkEnd w:id="292"/>
      <w:bookmarkEnd w:id="293"/>
    </w:p>
    <w:p w14:paraId="1700AFC9" w14:textId="77777777" w:rsidR="004F2997" w:rsidRPr="00CB2C31" w:rsidRDefault="004F2997" w:rsidP="00623C41">
      <w:pPr>
        <w:pStyle w:val="DoublePara"/>
        <w:rPr>
          <w:lang w:val="en-US"/>
        </w:rPr>
      </w:pPr>
      <w:r w:rsidRPr="00CB2C31">
        <w:rPr>
          <w:lang w:val="en-US"/>
        </w:rPr>
        <w:t xml:space="preserve">Israel is one of the few countries </w:t>
      </w:r>
      <w:r w:rsidR="00935846" w:rsidRPr="00CB2C31">
        <w:rPr>
          <w:lang w:val="en-US"/>
        </w:rPr>
        <w:t xml:space="preserve">in this region </w:t>
      </w:r>
      <w:r w:rsidRPr="00CB2C31">
        <w:rPr>
          <w:lang w:val="en-US"/>
        </w:rPr>
        <w:t xml:space="preserve">that has imposed quotas for the representation </w:t>
      </w:r>
      <w:r w:rsidR="000E45E2" w:rsidRPr="00CB2C31">
        <w:rPr>
          <w:lang w:val="en-US"/>
        </w:rPr>
        <w:t>of women on boards of directors</w:t>
      </w:r>
      <w:r w:rsidRPr="00CB2C31">
        <w:rPr>
          <w:rStyle w:val="FootnoteReference"/>
          <w:rFonts w:cstheme="minorHAnsi"/>
          <w:lang w:val="en-US"/>
        </w:rPr>
        <w:footnoteReference w:id="220"/>
      </w:r>
      <w:r w:rsidRPr="00CB2C31">
        <w:rPr>
          <w:lang w:val="en-US"/>
        </w:rPr>
        <w:t xml:space="preserve"> and has a high proportion of women with directorships compared to the rest of the world. </w:t>
      </w:r>
    </w:p>
    <w:p w14:paraId="106460DA" w14:textId="77777777" w:rsidR="004F2997" w:rsidRPr="00CB2C31" w:rsidRDefault="00B328FD" w:rsidP="00623C41">
      <w:pPr>
        <w:pStyle w:val="LegalCombo4"/>
        <w:keepNext/>
      </w:pPr>
      <w:r w:rsidRPr="00CB2C31">
        <w:t>Corporate Governance</w:t>
      </w:r>
    </w:p>
    <w:p w14:paraId="75E452D3" w14:textId="77777777" w:rsidR="004F2997" w:rsidRPr="00CB2C31" w:rsidRDefault="004F2997" w:rsidP="00623C41">
      <w:pPr>
        <w:pStyle w:val="DoublePara"/>
        <w:rPr>
          <w:lang w:val="en-US"/>
        </w:rPr>
      </w:pPr>
      <w:r w:rsidRPr="00CB2C31">
        <w:rPr>
          <w:lang w:val="en-US"/>
        </w:rPr>
        <w:t>Israel has passed legislation for the inclusion of women as directors on the boards of public and government companies</w:t>
      </w:r>
      <w:r w:rsidR="00F42D6A" w:rsidRPr="00CB2C31">
        <w:rPr>
          <w:lang w:val="en-US"/>
        </w:rPr>
        <w:t xml:space="preserve">.  </w:t>
      </w:r>
      <w:r w:rsidRPr="00CB2C31">
        <w:rPr>
          <w:lang w:val="en-US" w:eastAsia="en-GB"/>
        </w:rPr>
        <w:t>However</w:t>
      </w:r>
      <w:r w:rsidRPr="00CB2C31">
        <w:rPr>
          <w:lang w:val="en-US"/>
        </w:rPr>
        <w:t>, private companies remain unregulated in this respect</w:t>
      </w:r>
      <w:r w:rsidR="00F42D6A" w:rsidRPr="00CB2C31">
        <w:rPr>
          <w:lang w:val="en-US"/>
        </w:rPr>
        <w:t xml:space="preserve">.  </w:t>
      </w:r>
      <w:r w:rsidR="00935846" w:rsidRPr="00CB2C31">
        <w:rPr>
          <w:lang w:val="en-US"/>
        </w:rPr>
        <w:t>The composition of public company boards is heavily regulated in Israel</w:t>
      </w:r>
      <w:r w:rsidR="007C1578">
        <w:rPr>
          <w:lang w:val="en-US"/>
        </w:rPr>
        <w:t>.</w:t>
      </w:r>
      <w:r w:rsidR="00593F1F">
        <w:rPr>
          <w:lang w:val="en-US"/>
        </w:rPr>
        <w:t xml:space="preserve">  </w:t>
      </w:r>
      <w:r w:rsidR="00935846" w:rsidRPr="00CB2C31">
        <w:rPr>
          <w:lang w:val="en-US"/>
        </w:rPr>
        <w:t xml:space="preserve">All listed companies are required to appoint at least </w:t>
      </w:r>
      <w:r w:rsidR="00935846" w:rsidRPr="00CB2C31">
        <w:rPr>
          <w:lang w:val="en-US" w:eastAsia="en-GB"/>
        </w:rPr>
        <w:t>two</w:t>
      </w:r>
      <w:r w:rsidR="007C1578">
        <w:rPr>
          <w:lang w:val="en-US"/>
        </w:rPr>
        <w:t xml:space="preserve"> outside</w:t>
      </w:r>
      <w:r w:rsidR="00935846" w:rsidRPr="00CB2C31">
        <w:rPr>
          <w:lang w:val="en-US"/>
        </w:rPr>
        <w:t xml:space="preserve"> directors, and </w:t>
      </w:r>
      <w:r w:rsidR="0007459E" w:rsidRPr="00CB2C31">
        <w:rPr>
          <w:lang w:val="en-US"/>
        </w:rPr>
        <w:t xml:space="preserve">their </w:t>
      </w:r>
      <w:r w:rsidR="00935846" w:rsidRPr="00CB2C31">
        <w:rPr>
          <w:lang w:val="en-US"/>
        </w:rPr>
        <w:t xml:space="preserve">election and re-election </w:t>
      </w:r>
      <w:r w:rsidR="0007459E" w:rsidRPr="00CB2C31">
        <w:rPr>
          <w:lang w:val="en-US"/>
        </w:rPr>
        <w:t>are</w:t>
      </w:r>
      <w:r w:rsidR="00935846" w:rsidRPr="00CB2C31">
        <w:rPr>
          <w:lang w:val="en-US"/>
        </w:rPr>
        <w:t xml:space="preserve"> subject to unaffiliated shareholder approval</w:t>
      </w:r>
      <w:r w:rsidR="00F42D6A" w:rsidRPr="00CB2C31">
        <w:rPr>
          <w:lang w:val="en-US"/>
        </w:rPr>
        <w:t>.</w:t>
      </w:r>
      <w:r w:rsidR="00593F1F">
        <w:rPr>
          <w:lang w:val="en-US"/>
        </w:rPr>
        <w:t xml:space="preserve">  </w:t>
      </w:r>
      <w:r w:rsidR="007C1578" w:rsidRPr="00CB2C31">
        <w:rPr>
          <w:lang w:val="en-US"/>
        </w:rPr>
        <w:t>An outside director</w:t>
      </w:r>
      <w:r w:rsidR="00593F1F">
        <w:rPr>
          <w:lang w:val="en-US"/>
        </w:rPr>
        <w:t>’</w:t>
      </w:r>
      <w:r w:rsidR="007C1578" w:rsidRPr="00CB2C31">
        <w:rPr>
          <w:lang w:val="en-US"/>
        </w:rPr>
        <w:t>s term of office is set at three years, with a maximum tenure of three terms.</w:t>
      </w:r>
      <w:r w:rsidR="00593F1F">
        <w:rPr>
          <w:lang w:val="en-US"/>
        </w:rPr>
        <w:t xml:space="preserve">  </w:t>
      </w:r>
      <w:r w:rsidR="00935846" w:rsidRPr="00CB2C31">
        <w:rPr>
          <w:lang w:val="en-US"/>
        </w:rPr>
        <w:t>In contrast, the appointment of independent directors to public companies is voluntary and independent directors are not subject to special election requirements and t</w:t>
      </w:r>
      <w:r w:rsidR="000E45E2" w:rsidRPr="00CB2C31">
        <w:rPr>
          <w:lang w:val="en-US"/>
        </w:rPr>
        <w:t>heir tenure is not limited</w:t>
      </w:r>
      <w:r w:rsidR="00935846" w:rsidRPr="00CB2C31">
        <w:rPr>
          <w:lang w:val="en-US"/>
        </w:rPr>
        <w:t>.</w:t>
      </w:r>
      <w:r w:rsidR="00935846" w:rsidRPr="00CB2C31">
        <w:rPr>
          <w:rStyle w:val="FootnoteReference"/>
          <w:lang w:val="en-US"/>
        </w:rPr>
        <w:footnoteReference w:id="221"/>
      </w:r>
    </w:p>
    <w:p w14:paraId="534A5B5E" w14:textId="6C322698" w:rsidR="004F2997" w:rsidRPr="00CB2C31" w:rsidRDefault="004F2997" w:rsidP="00623C41">
      <w:pPr>
        <w:pStyle w:val="DoublePara"/>
        <w:rPr>
          <w:rFonts w:cstheme="minorHAnsi"/>
          <w:lang w:val="en-US"/>
        </w:rPr>
      </w:pPr>
      <w:r w:rsidRPr="00CB2C31">
        <w:rPr>
          <w:rFonts w:cstheme="minorHAnsi"/>
          <w:lang w:val="en-US"/>
        </w:rPr>
        <w:t>Israel</w:t>
      </w:r>
      <w:r w:rsidR="00593F1F">
        <w:rPr>
          <w:rFonts w:cstheme="minorHAnsi"/>
          <w:lang w:val="en-US"/>
        </w:rPr>
        <w:t>’</w:t>
      </w:r>
      <w:r w:rsidRPr="00CB2C31">
        <w:rPr>
          <w:rFonts w:cstheme="minorHAnsi"/>
          <w:lang w:val="en-US"/>
        </w:rPr>
        <w:t xml:space="preserve">s Companies Law (1999) mandates that </w:t>
      </w:r>
      <w:r w:rsidR="00203E75" w:rsidRPr="00203E75">
        <w:rPr>
          <w:rFonts w:cstheme="minorHAnsi"/>
          <w:i/>
          <w:lang w:val="en-US"/>
        </w:rPr>
        <w:t>“</w:t>
      </w:r>
      <w:r w:rsidRPr="00CB2C31">
        <w:rPr>
          <w:lang w:val="en-US"/>
        </w:rPr>
        <w:t>[i]n a company in which, on the date of appointment of an outside director, all members of the board of directors of the company are of one gender, the outside director appoint</w:t>
      </w:r>
      <w:r w:rsidR="00DA063C" w:rsidRPr="00CB2C31">
        <w:rPr>
          <w:lang w:val="en-US"/>
        </w:rPr>
        <w:t>ed shall be of the other gender</w:t>
      </w:r>
      <w:r w:rsidR="007276F8">
        <w:rPr>
          <w:lang w:val="en-US"/>
        </w:rPr>
        <w:t>.</w:t>
      </w:r>
      <w:r w:rsidR="00203E75" w:rsidRPr="00203E75">
        <w:rPr>
          <w:i/>
          <w:lang w:val="en-US"/>
        </w:rPr>
        <w:t>”</w:t>
      </w:r>
      <w:r w:rsidRPr="00CB2C31">
        <w:rPr>
          <w:rStyle w:val="FootnoteReference"/>
          <w:rFonts w:cstheme="minorHAnsi"/>
          <w:lang w:val="en-US"/>
        </w:rPr>
        <w:footnoteReference w:id="222"/>
      </w:r>
      <w:r w:rsidR="000E45E2" w:rsidRPr="00CB2C31">
        <w:rPr>
          <w:rFonts w:cstheme="minorHAnsi"/>
          <w:lang w:val="en-US"/>
        </w:rPr>
        <w:t xml:space="preserve"> </w:t>
      </w:r>
      <w:r w:rsidR="0009628A">
        <w:rPr>
          <w:rFonts w:cstheme="minorHAnsi"/>
          <w:lang w:val="en-US"/>
        </w:rPr>
        <w:t xml:space="preserve"> </w:t>
      </w:r>
      <w:r w:rsidR="000E45E2" w:rsidRPr="00CB2C31">
        <w:rPr>
          <w:rFonts w:cstheme="minorHAnsi"/>
          <w:lang w:val="en-US"/>
        </w:rPr>
        <w:t>This legislation has</w:t>
      </w:r>
      <w:r w:rsidRPr="00CB2C31">
        <w:rPr>
          <w:rFonts w:cstheme="minorHAnsi"/>
          <w:lang w:val="en-US"/>
        </w:rPr>
        <w:t xml:space="preserve"> ensured that every public company board has at least one woman occupying a board seat</w:t>
      </w:r>
      <w:r w:rsidR="00F42D6A" w:rsidRPr="00CB2C31">
        <w:rPr>
          <w:rFonts w:cstheme="minorHAnsi"/>
          <w:lang w:val="en-US"/>
        </w:rPr>
        <w:t xml:space="preserve">.  </w:t>
      </w:r>
      <w:r w:rsidR="00935846" w:rsidRPr="00CB2C31">
        <w:rPr>
          <w:rFonts w:cstheme="minorHAnsi"/>
          <w:lang w:val="en-US"/>
        </w:rPr>
        <w:t xml:space="preserve">Interestingly, in </w:t>
      </w:r>
      <w:r w:rsidRPr="00CB2C31">
        <w:rPr>
          <w:rFonts w:cstheme="minorHAnsi"/>
          <w:lang w:val="en-US"/>
        </w:rPr>
        <w:t xml:space="preserve">cases where there is a female controlling shareholder and she and her family members are sitting on </w:t>
      </w:r>
      <w:r w:rsidRPr="00CB2C31">
        <w:rPr>
          <w:lang w:val="en-US" w:eastAsia="en-GB"/>
        </w:rPr>
        <w:t>the</w:t>
      </w:r>
      <w:r w:rsidRPr="00CB2C31">
        <w:rPr>
          <w:rFonts w:cstheme="minorHAnsi"/>
          <w:lang w:val="en-US"/>
        </w:rPr>
        <w:t xml:space="preserve"> board of directors, </w:t>
      </w:r>
      <w:r w:rsidR="00935846" w:rsidRPr="00CB2C31">
        <w:rPr>
          <w:rFonts w:cstheme="minorHAnsi"/>
          <w:lang w:val="en-US"/>
        </w:rPr>
        <w:t xml:space="preserve">these members are excluded from </w:t>
      </w:r>
      <w:r w:rsidRPr="00CB2C31">
        <w:rPr>
          <w:rFonts w:cstheme="minorHAnsi"/>
          <w:lang w:val="en-US"/>
        </w:rPr>
        <w:t>the diversity evaluation</w:t>
      </w:r>
      <w:r w:rsidR="00935846" w:rsidRPr="00CB2C31">
        <w:rPr>
          <w:rFonts w:cstheme="minorHAnsi"/>
          <w:lang w:val="en-US"/>
        </w:rPr>
        <w:t>, such that if</w:t>
      </w:r>
      <w:r w:rsidRPr="00CB2C31">
        <w:rPr>
          <w:rFonts w:cstheme="minorHAnsi"/>
          <w:lang w:val="en-US"/>
        </w:rPr>
        <w:t xml:space="preserve"> the</w:t>
      </w:r>
      <w:r w:rsidR="00935846" w:rsidRPr="00CB2C31">
        <w:rPr>
          <w:rFonts w:cstheme="minorHAnsi"/>
          <w:lang w:val="en-US"/>
        </w:rPr>
        <w:t xml:space="preserve"> remaining </w:t>
      </w:r>
      <w:r w:rsidRPr="00CB2C31">
        <w:rPr>
          <w:rFonts w:cstheme="minorHAnsi"/>
          <w:lang w:val="en-US"/>
        </w:rPr>
        <w:t xml:space="preserve">directors are all men, then a woman </w:t>
      </w:r>
      <w:r w:rsidR="00AD2B28" w:rsidRPr="00CB2C31">
        <w:rPr>
          <w:rFonts w:cstheme="minorHAnsi"/>
          <w:lang w:val="en-US"/>
        </w:rPr>
        <w:t>would need to</w:t>
      </w:r>
      <w:r w:rsidRPr="00CB2C31">
        <w:rPr>
          <w:rFonts w:cstheme="minorHAnsi"/>
          <w:lang w:val="en-US"/>
        </w:rPr>
        <w:t xml:space="preserve"> be appointed as the </w:t>
      </w:r>
      <w:r w:rsidR="00AD2B28" w:rsidRPr="00CB2C31">
        <w:rPr>
          <w:rFonts w:cstheme="minorHAnsi"/>
          <w:lang w:val="en-US"/>
        </w:rPr>
        <w:t xml:space="preserve">next </w:t>
      </w:r>
      <w:r w:rsidRPr="00CB2C31">
        <w:rPr>
          <w:rFonts w:cstheme="minorHAnsi"/>
          <w:lang w:val="en-US"/>
        </w:rPr>
        <w:t>incoming director.</w:t>
      </w:r>
      <w:r w:rsidRPr="00CB2C31">
        <w:rPr>
          <w:rStyle w:val="FootnoteReference"/>
          <w:rFonts w:cstheme="minorHAnsi"/>
          <w:lang w:val="en-US"/>
        </w:rPr>
        <w:footnoteReference w:id="223"/>
      </w:r>
      <w:r w:rsidRPr="00CB2C31">
        <w:rPr>
          <w:rFonts w:cstheme="minorHAnsi"/>
          <w:lang w:val="en-US"/>
        </w:rPr>
        <w:t xml:space="preserve"> </w:t>
      </w:r>
      <w:r w:rsidR="0009628A">
        <w:rPr>
          <w:rFonts w:cstheme="minorHAnsi"/>
          <w:lang w:val="en-US"/>
        </w:rPr>
        <w:t xml:space="preserve"> </w:t>
      </w:r>
      <w:r w:rsidR="00AD2B28" w:rsidRPr="00CB2C31">
        <w:rPr>
          <w:rFonts w:cstheme="minorHAnsi"/>
          <w:lang w:val="en-US"/>
        </w:rPr>
        <w:t xml:space="preserve">In 2011, an </w:t>
      </w:r>
      <w:r w:rsidRPr="00CB2C31">
        <w:rPr>
          <w:rFonts w:cstheme="minorHAnsi"/>
          <w:lang w:val="en-US"/>
        </w:rPr>
        <w:t xml:space="preserve">amendment to the statute conferred on </w:t>
      </w:r>
      <w:r w:rsidR="0020030E" w:rsidRPr="00CB2C31">
        <w:rPr>
          <w:rFonts w:cstheme="minorHAnsi"/>
          <w:lang w:val="en-US"/>
        </w:rPr>
        <w:t>the Israel Securities Authority</w:t>
      </w:r>
      <w:r w:rsidRPr="00CB2C31">
        <w:rPr>
          <w:rFonts w:cstheme="minorHAnsi"/>
          <w:lang w:val="en-US"/>
        </w:rPr>
        <w:t xml:space="preserve"> the power to impose monetary penalties on th</w:t>
      </w:r>
      <w:r w:rsidR="00AD2B28" w:rsidRPr="00CB2C31">
        <w:rPr>
          <w:rFonts w:cstheme="minorHAnsi"/>
          <w:lang w:val="en-US"/>
        </w:rPr>
        <w:t>ose companies that violated the country</w:t>
      </w:r>
      <w:r w:rsidR="00593F1F">
        <w:rPr>
          <w:rFonts w:cstheme="minorHAnsi"/>
          <w:lang w:val="en-US"/>
        </w:rPr>
        <w:t>’</w:t>
      </w:r>
      <w:r w:rsidR="00AD2B28" w:rsidRPr="00CB2C31">
        <w:rPr>
          <w:rFonts w:cstheme="minorHAnsi"/>
          <w:lang w:val="en-US"/>
        </w:rPr>
        <w:t>s Companies L</w:t>
      </w:r>
      <w:r w:rsidRPr="00CB2C31">
        <w:rPr>
          <w:rFonts w:cstheme="minorHAnsi"/>
          <w:lang w:val="en-US"/>
        </w:rPr>
        <w:t>aw.</w:t>
      </w:r>
      <w:r w:rsidRPr="00CB2C31">
        <w:rPr>
          <w:rStyle w:val="FootnoteReference"/>
          <w:rFonts w:cstheme="minorHAnsi"/>
          <w:lang w:val="en-US"/>
        </w:rPr>
        <w:footnoteReference w:id="224"/>
      </w:r>
    </w:p>
    <w:p w14:paraId="66A00295" w14:textId="77777777" w:rsidR="004F2997" w:rsidRPr="00CB2C31" w:rsidRDefault="004F2997" w:rsidP="00623C41">
      <w:pPr>
        <w:pStyle w:val="DoublePara"/>
        <w:rPr>
          <w:lang w:val="en-US"/>
        </w:rPr>
      </w:pPr>
      <w:r w:rsidRPr="00CB2C31">
        <w:rPr>
          <w:lang w:val="en-US"/>
        </w:rPr>
        <w:t>As of March 2016, women occupied 25% of board seats in the 25 most traded companies on</w:t>
      </w:r>
      <w:r w:rsidR="0020030E" w:rsidRPr="00CB2C31">
        <w:rPr>
          <w:lang w:val="en-US"/>
        </w:rPr>
        <w:t xml:space="preserve"> the Tel Aviv Stock Exchange</w:t>
      </w:r>
      <w:r w:rsidRPr="00CB2C31">
        <w:rPr>
          <w:lang w:val="en-US"/>
        </w:rPr>
        <w:t xml:space="preserve"> and chaired 12% of such boards.</w:t>
      </w:r>
      <w:bookmarkStart w:id="294" w:name="_Ref16185532"/>
      <w:r w:rsidRPr="00CB2C31">
        <w:rPr>
          <w:rStyle w:val="FootnoteReference"/>
          <w:rFonts w:cstheme="minorHAnsi"/>
          <w:lang w:val="en-US"/>
        </w:rPr>
        <w:footnoteReference w:id="225"/>
      </w:r>
      <w:bookmarkEnd w:id="294"/>
      <w:r w:rsidRPr="00CB2C31">
        <w:rPr>
          <w:lang w:val="en-US"/>
        </w:rPr>
        <w:t xml:space="preserve"> </w:t>
      </w:r>
      <w:r w:rsidR="0009628A">
        <w:rPr>
          <w:lang w:val="en-US"/>
        </w:rPr>
        <w:t xml:space="preserve"> </w:t>
      </w:r>
      <w:r w:rsidRPr="00CB2C31">
        <w:rPr>
          <w:lang w:val="en-US"/>
        </w:rPr>
        <w:t>According to the 2013 Israel Census, women occupied 17.2% of board seats and chaired 2% of the companies</w:t>
      </w:r>
      <w:r w:rsidR="00593F1F">
        <w:rPr>
          <w:lang w:val="en-US"/>
        </w:rPr>
        <w:t>’</w:t>
      </w:r>
      <w:r w:rsidRPr="00CB2C31">
        <w:rPr>
          <w:lang w:val="en-US"/>
        </w:rPr>
        <w:t xml:space="preserve"> boards.</w:t>
      </w:r>
      <w:r w:rsidRPr="00CB2C31">
        <w:rPr>
          <w:rStyle w:val="FootnoteReference"/>
          <w:rFonts w:cstheme="minorHAnsi"/>
          <w:lang w:val="en-US"/>
        </w:rPr>
        <w:footnoteReference w:id="226"/>
      </w:r>
      <w:r w:rsidRPr="00CB2C31">
        <w:rPr>
          <w:lang w:val="en-US"/>
        </w:rPr>
        <w:t xml:space="preserve"> </w:t>
      </w:r>
      <w:r w:rsidR="0009628A">
        <w:rPr>
          <w:lang w:val="en-US"/>
        </w:rPr>
        <w:t xml:space="preserve"> </w:t>
      </w:r>
      <w:r w:rsidRPr="00CB2C31">
        <w:rPr>
          <w:lang w:val="en-US"/>
        </w:rPr>
        <w:t xml:space="preserve">It is therefore evident that </w:t>
      </w:r>
      <w:r w:rsidR="005D755C" w:rsidRPr="00CB2C31">
        <w:rPr>
          <w:lang w:val="en-US"/>
        </w:rPr>
        <w:t>gender balance</w:t>
      </w:r>
      <w:r w:rsidRPr="00CB2C31">
        <w:rPr>
          <w:lang w:val="en-US"/>
        </w:rPr>
        <w:t xml:space="preserve"> has not yet been achieved in directorships despite Israeli corporate law</w:t>
      </w:r>
      <w:r w:rsidR="00593F1F">
        <w:rPr>
          <w:lang w:val="en-US"/>
        </w:rPr>
        <w:t>’</w:t>
      </w:r>
      <w:r w:rsidRPr="00CB2C31">
        <w:rPr>
          <w:lang w:val="en-US"/>
        </w:rPr>
        <w:t>s gender equality provisions, as many public companies merely fulfil</w:t>
      </w:r>
      <w:r w:rsidR="00FF59F6">
        <w:rPr>
          <w:lang w:val="en-US"/>
        </w:rPr>
        <w:t>l</w:t>
      </w:r>
      <w:r w:rsidRPr="00CB2C31">
        <w:rPr>
          <w:lang w:val="en-US"/>
        </w:rPr>
        <w:t xml:space="preserve"> the minimum the law requires by appointing a single woman on their board of directors.</w:t>
      </w:r>
      <w:r w:rsidR="00502ADF" w:rsidRPr="00CB2C31">
        <w:rPr>
          <w:rStyle w:val="FootnoteReference"/>
          <w:lang w:val="en-US"/>
        </w:rPr>
        <w:footnoteReference w:id="227"/>
      </w:r>
      <w:r w:rsidRPr="00CB2C31">
        <w:rPr>
          <w:lang w:val="en-US"/>
        </w:rPr>
        <w:t xml:space="preserve"> </w:t>
      </w:r>
      <w:r w:rsidR="0009628A">
        <w:rPr>
          <w:lang w:val="en-US"/>
        </w:rPr>
        <w:t xml:space="preserve"> </w:t>
      </w:r>
      <w:r w:rsidRPr="00CB2C31">
        <w:rPr>
          <w:lang w:val="en-US"/>
        </w:rPr>
        <w:t>Nonetheless, the legal framework adopted in Israel has likely contributed substantially to the increase in women</w:t>
      </w:r>
      <w:r w:rsidR="00593F1F">
        <w:rPr>
          <w:lang w:val="en-US"/>
        </w:rPr>
        <w:t>’</w:t>
      </w:r>
      <w:r w:rsidRPr="00CB2C31">
        <w:rPr>
          <w:lang w:val="en-US"/>
        </w:rPr>
        <w:t xml:space="preserve">s appointments on boards of directors generally. </w:t>
      </w:r>
    </w:p>
    <w:p w14:paraId="238FFB60" w14:textId="26D21AAD" w:rsidR="004F2997" w:rsidRPr="00CB2C31" w:rsidRDefault="000E45E2" w:rsidP="00623C41">
      <w:pPr>
        <w:pStyle w:val="DoublePara"/>
        <w:rPr>
          <w:lang w:val="en-US"/>
        </w:rPr>
      </w:pPr>
      <w:r w:rsidRPr="00CB2C31">
        <w:rPr>
          <w:lang w:val="en-US"/>
        </w:rPr>
        <w:t xml:space="preserve">In contrast, </w:t>
      </w:r>
      <w:r w:rsidR="00F01388" w:rsidRPr="00CB2C31">
        <w:rPr>
          <w:lang w:val="en-US"/>
        </w:rPr>
        <w:t>Israel requires a much higher percentage of women on boards of government companies</w:t>
      </w:r>
      <w:r w:rsidR="001877C9" w:rsidRPr="00CB2C31">
        <w:rPr>
          <w:lang w:val="en-US"/>
        </w:rPr>
        <w:t xml:space="preserve">.  </w:t>
      </w:r>
      <w:r w:rsidR="004F2997" w:rsidRPr="00CB2C31">
        <w:rPr>
          <w:lang w:val="en-US"/>
        </w:rPr>
        <w:t xml:space="preserve">Government companies are defined in the Government Companies Act (1975) (the </w:t>
      </w:r>
      <w:r w:rsidR="00203E75" w:rsidRPr="00203E75">
        <w:rPr>
          <w:i/>
          <w:lang w:val="en-US"/>
        </w:rPr>
        <w:t>“</w:t>
      </w:r>
      <w:r w:rsidR="004F2997" w:rsidRPr="00CB2C31">
        <w:rPr>
          <w:b/>
          <w:lang w:val="en-US"/>
        </w:rPr>
        <w:t>GCA</w:t>
      </w:r>
      <w:r w:rsidR="00203E75" w:rsidRPr="00203E75">
        <w:rPr>
          <w:i/>
          <w:lang w:val="en-US"/>
        </w:rPr>
        <w:t>”</w:t>
      </w:r>
      <w:r w:rsidR="004F2997" w:rsidRPr="00CB2C31">
        <w:rPr>
          <w:lang w:val="en-US"/>
        </w:rPr>
        <w:t xml:space="preserve">) as those where the state or the state together with such company has </w:t>
      </w:r>
      <w:r w:rsidR="00203E75" w:rsidRPr="00203E75">
        <w:rPr>
          <w:i/>
          <w:lang w:val="en-US"/>
        </w:rPr>
        <w:t>“</w:t>
      </w:r>
      <w:r w:rsidR="004F2997" w:rsidRPr="00CB2C31">
        <w:rPr>
          <w:i/>
          <w:lang w:val="en-US"/>
        </w:rPr>
        <w:t>more than half of the voting power at general meetings or the right to appoint more th</w:t>
      </w:r>
      <w:r w:rsidR="00DA063C" w:rsidRPr="00CB2C31">
        <w:rPr>
          <w:i/>
          <w:lang w:val="en-US"/>
        </w:rPr>
        <w:t>an half the number of directors</w:t>
      </w:r>
      <w:r w:rsidR="007276F8">
        <w:rPr>
          <w:lang w:val="en-US"/>
        </w:rPr>
        <w:t>.</w:t>
      </w:r>
      <w:r w:rsidR="00203E75" w:rsidRPr="00203E75">
        <w:rPr>
          <w:i/>
          <w:lang w:val="en-US"/>
        </w:rPr>
        <w:t>”</w:t>
      </w:r>
      <w:r w:rsidR="004F2997" w:rsidRPr="00CB2C31">
        <w:rPr>
          <w:rStyle w:val="FootnoteReference"/>
          <w:rFonts w:cstheme="minorHAnsi"/>
          <w:lang w:val="en-US"/>
        </w:rPr>
        <w:footnoteReference w:id="228"/>
      </w:r>
      <w:r w:rsidR="004F2997" w:rsidRPr="00CB2C31">
        <w:rPr>
          <w:lang w:val="en-US"/>
        </w:rPr>
        <w:t xml:space="preserve"> </w:t>
      </w:r>
      <w:r w:rsidR="0009628A">
        <w:rPr>
          <w:lang w:val="en-US"/>
        </w:rPr>
        <w:t xml:space="preserve"> </w:t>
      </w:r>
      <w:r w:rsidR="004F2997" w:rsidRPr="00CB2C31">
        <w:rPr>
          <w:lang w:val="en-US"/>
        </w:rPr>
        <w:t xml:space="preserve">According to a 1993 </w:t>
      </w:r>
      <w:r w:rsidR="004F2997" w:rsidRPr="00CB2C31">
        <w:rPr>
          <w:lang w:val="en-US" w:eastAsia="en-GB"/>
        </w:rPr>
        <w:t>amendment</w:t>
      </w:r>
      <w:r w:rsidR="004F2997" w:rsidRPr="00CB2C31">
        <w:rPr>
          <w:lang w:val="en-US"/>
        </w:rPr>
        <w:t xml:space="preserve"> of the GCA, government companies must have adequate representation of both men and women on their boards of directors.</w:t>
      </w:r>
      <w:r w:rsidR="004F2997" w:rsidRPr="00CB2C31">
        <w:rPr>
          <w:rStyle w:val="FootnoteReference"/>
          <w:rFonts w:cstheme="minorHAnsi"/>
          <w:lang w:val="en-US"/>
        </w:rPr>
        <w:footnoteReference w:id="229"/>
      </w:r>
      <w:r w:rsidR="0009628A">
        <w:rPr>
          <w:lang w:val="en-US"/>
        </w:rPr>
        <w:t xml:space="preserve"> </w:t>
      </w:r>
      <w:r w:rsidR="004F2997" w:rsidRPr="00CB2C31">
        <w:rPr>
          <w:lang w:val="en-US"/>
        </w:rPr>
        <w:t xml:space="preserve"> In 2007, a resolution was passed requiring equal gender representation on boards of directors of such government companies.</w:t>
      </w:r>
      <w:r w:rsidR="004F2997" w:rsidRPr="00CB2C31">
        <w:rPr>
          <w:rStyle w:val="FootnoteReference"/>
          <w:rFonts w:cstheme="minorHAnsi"/>
          <w:lang w:val="en-US"/>
        </w:rPr>
        <w:footnoteReference w:id="230"/>
      </w:r>
      <w:r w:rsidR="004F2997" w:rsidRPr="00CB2C31">
        <w:rPr>
          <w:lang w:val="en-US"/>
        </w:rPr>
        <w:t xml:space="preserve"> </w:t>
      </w:r>
    </w:p>
    <w:p w14:paraId="65AB6545" w14:textId="77777777" w:rsidR="00AF2B7E" w:rsidRPr="008C64F9" w:rsidRDefault="00AF2B7E" w:rsidP="00623C41">
      <w:pPr>
        <w:pStyle w:val="LegalCombo4"/>
        <w:keepNext/>
        <w:rPr>
          <w:b/>
        </w:rPr>
      </w:pPr>
      <w:r w:rsidRPr="008C64F9">
        <w:rPr>
          <w:b/>
        </w:rPr>
        <w:t>Conclusion and Best Practice</w:t>
      </w:r>
      <w:r w:rsidR="007A4AC7" w:rsidRPr="008C64F9">
        <w:rPr>
          <w:b/>
        </w:rPr>
        <w:t>:</w:t>
      </w:r>
      <w:r w:rsidR="00593F1F" w:rsidRPr="008C64F9">
        <w:rPr>
          <w:b/>
        </w:rPr>
        <w:t xml:space="preserve"> </w:t>
      </w:r>
      <w:r w:rsidR="007A4AC7" w:rsidRPr="008C64F9">
        <w:rPr>
          <w:b/>
        </w:rPr>
        <w:t>Israel</w:t>
      </w:r>
    </w:p>
    <w:p w14:paraId="7B58E845" w14:textId="77777777" w:rsidR="009B6438" w:rsidRPr="00CB2C31" w:rsidRDefault="009B6438" w:rsidP="00623C41">
      <w:pPr>
        <w:pStyle w:val="DoublePara"/>
        <w:rPr>
          <w:lang w:val="en-US"/>
        </w:rPr>
      </w:pPr>
      <w:r w:rsidRPr="00CB2C31">
        <w:rPr>
          <w:lang w:val="en-US"/>
        </w:rPr>
        <w:t xml:space="preserve">Israel is one of the more progressive jurisdictions in terms of women directorships compared to the rest of the world, and the cause is likely to be its approach of implementing </w:t>
      </w:r>
      <w:r w:rsidR="00EA64F0" w:rsidRPr="008C64F9">
        <w:rPr>
          <w:b/>
          <w:lang w:val="en-US"/>
        </w:rPr>
        <w:t xml:space="preserve">mandatory </w:t>
      </w:r>
      <w:r w:rsidRPr="008C64F9">
        <w:rPr>
          <w:b/>
          <w:lang w:val="en-US"/>
        </w:rPr>
        <w:t>gender quotas</w:t>
      </w:r>
      <w:r w:rsidR="00F42D6A" w:rsidRPr="00CB2C31">
        <w:rPr>
          <w:lang w:val="en-US"/>
        </w:rPr>
        <w:t xml:space="preserve">.  </w:t>
      </w:r>
      <w:r w:rsidRPr="00CB2C31">
        <w:rPr>
          <w:lang w:val="en-US"/>
        </w:rPr>
        <w:t>As a result of the legislation, in Israel all boards have at least one woman director, and 54.5% of Israeli companies have three or more women on the board.</w:t>
      </w:r>
      <w:r w:rsidRPr="00CB2C31">
        <w:rPr>
          <w:rStyle w:val="FootnoteReference"/>
          <w:lang w:val="en-US"/>
        </w:rPr>
        <w:footnoteReference w:id="231"/>
      </w:r>
      <w:r w:rsidR="000E45E2" w:rsidRPr="00CB2C31">
        <w:rPr>
          <w:lang w:val="en-US"/>
        </w:rPr>
        <w:t xml:space="preserve"> </w:t>
      </w:r>
    </w:p>
    <w:p w14:paraId="1CD3A7F6" w14:textId="77777777" w:rsidR="00016418" w:rsidRPr="002E5273" w:rsidRDefault="00016418" w:rsidP="00623C41">
      <w:pPr>
        <w:pStyle w:val="LegalCombo3"/>
        <w:rPr>
          <w:b w:val="0"/>
        </w:rPr>
      </w:pPr>
      <w:bookmarkStart w:id="295" w:name="_Toc15027292"/>
      <w:bookmarkStart w:id="296" w:name="_Toc15027683"/>
      <w:bookmarkStart w:id="297" w:name="_Toc15027961"/>
      <w:bookmarkStart w:id="298" w:name="_Toc16692495"/>
      <w:bookmarkStart w:id="299" w:name="_Toc22904999"/>
      <w:bookmarkStart w:id="300" w:name="_Toc24114398"/>
      <w:bookmarkStart w:id="301" w:name="_Toc15027302"/>
      <w:bookmarkStart w:id="302" w:name="_Toc15027693"/>
      <w:bookmarkStart w:id="303" w:name="_Toc15027971"/>
      <w:r w:rsidRPr="002E5273">
        <w:t>Rwanda</w:t>
      </w:r>
      <w:bookmarkEnd w:id="295"/>
      <w:bookmarkEnd w:id="296"/>
      <w:bookmarkEnd w:id="297"/>
      <w:bookmarkEnd w:id="298"/>
      <w:bookmarkEnd w:id="299"/>
      <w:bookmarkEnd w:id="300"/>
    </w:p>
    <w:p w14:paraId="7EDF5CCF" w14:textId="77777777" w:rsidR="00016418" w:rsidRPr="00CB2C31" w:rsidRDefault="00016418" w:rsidP="00623C41">
      <w:pPr>
        <w:pStyle w:val="LegalCombo4"/>
        <w:keepNext/>
      </w:pPr>
      <w:bookmarkStart w:id="304" w:name="_Toc9264288"/>
      <w:bookmarkStart w:id="305" w:name="_Toc9325705"/>
      <w:bookmarkStart w:id="306" w:name="_Toc15027293"/>
      <w:bookmarkStart w:id="307" w:name="_Toc15027684"/>
      <w:bookmarkStart w:id="308" w:name="_Toc15027962"/>
      <w:r w:rsidRPr="00CB2C31">
        <w:t xml:space="preserve">Introduction </w:t>
      </w:r>
      <w:bookmarkEnd w:id="304"/>
      <w:bookmarkEnd w:id="305"/>
      <w:bookmarkEnd w:id="306"/>
      <w:bookmarkEnd w:id="307"/>
      <w:bookmarkEnd w:id="308"/>
    </w:p>
    <w:p w14:paraId="59F8663C" w14:textId="77777777" w:rsidR="00016418" w:rsidRPr="00CB2C31" w:rsidRDefault="00016418" w:rsidP="00623C41">
      <w:pPr>
        <w:pStyle w:val="DoublePara"/>
        <w:rPr>
          <w:lang w:val="en-US"/>
        </w:rPr>
      </w:pPr>
      <w:r w:rsidRPr="00CB2C31">
        <w:rPr>
          <w:lang w:val="en-US"/>
        </w:rPr>
        <w:t xml:space="preserve">The Rwandan government has taken a mostly legislative approach to the question of </w:t>
      </w:r>
      <w:r w:rsidR="00E20CF6">
        <w:rPr>
          <w:lang w:val="en-US"/>
        </w:rPr>
        <w:t xml:space="preserve">gender </w:t>
      </w:r>
      <w:r w:rsidRPr="00CB2C31">
        <w:rPr>
          <w:lang w:val="en-US"/>
        </w:rPr>
        <w:t>diversity on boar</w:t>
      </w:r>
      <w:r w:rsidR="00377B20" w:rsidRPr="00CB2C31">
        <w:rPr>
          <w:lang w:val="en-US"/>
        </w:rPr>
        <w:t xml:space="preserve">ds and </w:t>
      </w:r>
      <w:r w:rsidR="0007459E" w:rsidRPr="00CB2C31">
        <w:rPr>
          <w:lang w:val="en-US"/>
        </w:rPr>
        <w:t xml:space="preserve">in </w:t>
      </w:r>
      <w:r w:rsidR="00377B20" w:rsidRPr="00CB2C31">
        <w:rPr>
          <w:lang w:val="en-US"/>
        </w:rPr>
        <w:t>other elected positions</w:t>
      </w:r>
      <w:r w:rsidR="00F42D6A" w:rsidRPr="00CB2C31">
        <w:rPr>
          <w:lang w:val="en-US"/>
        </w:rPr>
        <w:t xml:space="preserve">.  </w:t>
      </w:r>
      <w:r w:rsidR="00377B20" w:rsidRPr="00CB2C31">
        <w:rPr>
          <w:lang w:val="en-US"/>
        </w:rPr>
        <w:t xml:space="preserve">This </w:t>
      </w:r>
      <w:r w:rsidRPr="00CB2C31">
        <w:rPr>
          <w:lang w:val="en-US"/>
        </w:rPr>
        <w:t xml:space="preserve">has been very </w:t>
      </w:r>
      <w:r w:rsidRPr="00CB2C31">
        <w:rPr>
          <w:lang w:val="en-US" w:eastAsia="en-GB"/>
        </w:rPr>
        <w:t>successful</w:t>
      </w:r>
      <w:r w:rsidR="00377B20" w:rsidRPr="00CB2C31">
        <w:rPr>
          <w:lang w:val="en-US"/>
        </w:rPr>
        <w:t xml:space="preserve"> in</w:t>
      </w:r>
      <w:r w:rsidRPr="00CB2C31">
        <w:rPr>
          <w:lang w:val="en-US"/>
        </w:rPr>
        <w:t xml:space="preserve"> the polit</w:t>
      </w:r>
      <w:r w:rsidR="00377B20" w:rsidRPr="00CB2C31">
        <w:rPr>
          <w:lang w:val="en-US"/>
        </w:rPr>
        <w:t>ical sphere and also appears to have had a positive influence in the private sector.</w:t>
      </w:r>
    </w:p>
    <w:p w14:paraId="29770183" w14:textId="77777777" w:rsidR="00016418" w:rsidRPr="00CB2C31" w:rsidRDefault="00B328FD" w:rsidP="00623C41">
      <w:pPr>
        <w:pStyle w:val="LegalCombo4"/>
        <w:keepNext/>
      </w:pPr>
      <w:r w:rsidRPr="00CB2C31">
        <w:t>Corporate Governance</w:t>
      </w:r>
    </w:p>
    <w:p w14:paraId="5581BFC7" w14:textId="77777777" w:rsidR="00016418" w:rsidRPr="00CB2C31" w:rsidRDefault="00016418" w:rsidP="00623C41">
      <w:pPr>
        <w:pStyle w:val="DoublePara"/>
        <w:rPr>
          <w:lang w:val="en-US"/>
        </w:rPr>
      </w:pPr>
      <w:r w:rsidRPr="00CB2C31">
        <w:rPr>
          <w:lang w:val="en-US"/>
        </w:rPr>
        <w:t>Boards in Rwanda consist of a balance of executive and non-executive directors.</w:t>
      </w:r>
      <w:r w:rsidRPr="00CB2C31">
        <w:rPr>
          <w:rStyle w:val="FootnoteReference"/>
          <w:lang w:val="en-US"/>
        </w:rPr>
        <w:footnoteReference w:id="232"/>
      </w:r>
      <w:r w:rsidRPr="00CB2C31">
        <w:rPr>
          <w:lang w:val="en-US"/>
        </w:rPr>
        <w:t xml:space="preserve"> </w:t>
      </w:r>
      <w:r w:rsidR="0009628A">
        <w:rPr>
          <w:lang w:val="en-US"/>
        </w:rPr>
        <w:t xml:space="preserve"> </w:t>
      </w:r>
      <w:r w:rsidRPr="00CB2C31">
        <w:rPr>
          <w:lang w:val="en-US"/>
        </w:rPr>
        <w:t xml:space="preserve">The </w:t>
      </w:r>
      <w:r w:rsidR="00245722" w:rsidRPr="00CB2C31">
        <w:rPr>
          <w:lang w:val="en-US"/>
        </w:rPr>
        <w:t xml:space="preserve">term of </w:t>
      </w:r>
      <w:r w:rsidR="006E4B5E" w:rsidRPr="00CB2C31">
        <w:rPr>
          <w:lang w:val="en-US"/>
        </w:rPr>
        <w:t>office</w:t>
      </w:r>
      <w:r w:rsidRPr="00CB2C31">
        <w:rPr>
          <w:lang w:val="en-US"/>
        </w:rPr>
        <w:t xml:space="preserve"> </w:t>
      </w:r>
      <w:r w:rsidR="00245722" w:rsidRPr="00CB2C31">
        <w:rPr>
          <w:lang w:val="en-US"/>
        </w:rPr>
        <w:t>of</w:t>
      </w:r>
      <w:r w:rsidRPr="00CB2C31">
        <w:rPr>
          <w:lang w:val="en-US"/>
        </w:rPr>
        <w:t xml:space="preserve"> executive directors should not exceed three years, but their term is renewable if approved by the shareholders</w:t>
      </w:r>
      <w:r w:rsidR="00F42D6A" w:rsidRPr="00CB2C31">
        <w:rPr>
          <w:lang w:val="en-US"/>
        </w:rPr>
        <w:t xml:space="preserve">.  </w:t>
      </w:r>
      <w:r w:rsidRPr="00CB2C31">
        <w:rPr>
          <w:lang w:val="en-US"/>
        </w:rPr>
        <w:t xml:space="preserve">A private company must have at least one director, and a public </w:t>
      </w:r>
      <w:r w:rsidRPr="00CB2C31">
        <w:rPr>
          <w:lang w:val="en-US" w:eastAsia="en-GB"/>
        </w:rPr>
        <w:t>company</w:t>
      </w:r>
      <w:r w:rsidRPr="00CB2C31">
        <w:rPr>
          <w:lang w:val="en-US"/>
        </w:rPr>
        <w:t xml:space="preserve"> shall have at least two directors.</w:t>
      </w:r>
      <w:r w:rsidRPr="00CB2C31">
        <w:rPr>
          <w:rStyle w:val="FootnoteReference"/>
          <w:lang w:val="en-US"/>
        </w:rPr>
        <w:footnoteReference w:id="233"/>
      </w:r>
      <w:r w:rsidRPr="00CB2C31">
        <w:rPr>
          <w:lang w:val="en-US"/>
        </w:rPr>
        <w:t xml:space="preserve"> </w:t>
      </w:r>
      <w:r w:rsidR="0009628A">
        <w:rPr>
          <w:lang w:val="en-US"/>
        </w:rPr>
        <w:t xml:space="preserve"> </w:t>
      </w:r>
      <w:r w:rsidRPr="00CB2C31">
        <w:rPr>
          <w:lang w:val="en-US"/>
        </w:rPr>
        <w:t>Directors may be appointed to the board by election by the shareholders in a shareholders</w:t>
      </w:r>
      <w:r w:rsidR="00593F1F">
        <w:rPr>
          <w:lang w:val="en-US"/>
        </w:rPr>
        <w:t>’</w:t>
      </w:r>
      <w:r w:rsidRPr="00CB2C31">
        <w:rPr>
          <w:lang w:val="en-US"/>
        </w:rPr>
        <w:t xml:space="preserve"> general meeting.</w:t>
      </w:r>
      <w:r w:rsidRPr="00CB2C31">
        <w:rPr>
          <w:rStyle w:val="FootnoteReference"/>
          <w:lang w:val="en-US"/>
        </w:rPr>
        <w:footnoteReference w:id="234"/>
      </w:r>
      <w:r w:rsidRPr="00CB2C31">
        <w:rPr>
          <w:lang w:val="en-US"/>
        </w:rPr>
        <w:t xml:space="preserve"> </w:t>
      </w:r>
      <w:r w:rsidR="0009628A">
        <w:rPr>
          <w:lang w:val="en-US"/>
        </w:rPr>
        <w:t xml:space="preserve"> </w:t>
      </w:r>
      <w:r w:rsidRPr="00CB2C31">
        <w:rPr>
          <w:lang w:val="en-US"/>
        </w:rPr>
        <w:t xml:space="preserve">At least one director on each company </w:t>
      </w:r>
      <w:r w:rsidRPr="00CB2C31">
        <w:rPr>
          <w:lang w:val="en-US" w:eastAsia="en-GB"/>
        </w:rPr>
        <w:t>board</w:t>
      </w:r>
      <w:r w:rsidRPr="00CB2C31">
        <w:rPr>
          <w:lang w:val="en-US"/>
        </w:rPr>
        <w:t xml:space="preserve"> must reside in Rwanda,</w:t>
      </w:r>
      <w:r w:rsidRPr="00CB2C31">
        <w:rPr>
          <w:rStyle w:val="FootnoteReference"/>
          <w:lang w:val="en-US"/>
        </w:rPr>
        <w:footnoteReference w:id="235"/>
      </w:r>
      <w:r w:rsidRPr="00CB2C31">
        <w:rPr>
          <w:lang w:val="en-US"/>
        </w:rPr>
        <w:t xml:space="preserve"> and in public companies, at least one-third of the directors should be independent directors.</w:t>
      </w:r>
      <w:r w:rsidRPr="00CB2C31">
        <w:rPr>
          <w:rStyle w:val="FootnoteReference"/>
          <w:lang w:val="en-US"/>
        </w:rPr>
        <w:footnoteReference w:id="236"/>
      </w:r>
      <w:r w:rsidRPr="00CB2C31">
        <w:rPr>
          <w:lang w:val="en-US"/>
        </w:rPr>
        <w:t xml:space="preserve"> </w:t>
      </w:r>
      <w:r w:rsidR="0009628A">
        <w:rPr>
          <w:lang w:val="en-US"/>
        </w:rPr>
        <w:t xml:space="preserve"> </w:t>
      </w:r>
      <w:r w:rsidRPr="00CB2C31">
        <w:rPr>
          <w:lang w:val="en-US"/>
        </w:rPr>
        <w:t>A company may remove a director before the expiration of their term of office by an ordinary resolution passed at a shareholders</w:t>
      </w:r>
      <w:r w:rsidR="00593F1F">
        <w:rPr>
          <w:lang w:val="en-US"/>
        </w:rPr>
        <w:t>’</w:t>
      </w:r>
      <w:r w:rsidRPr="00CB2C31">
        <w:rPr>
          <w:lang w:val="en-US"/>
        </w:rPr>
        <w:t xml:space="preserve"> meeting, with or without a stated cause.</w:t>
      </w:r>
      <w:r w:rsidRPr="00CB2C31">
        <w:rPr>
          <w:rStyle w:val="FootnoteReference"/>
          <w:lang w:val="en-US"/>
        </w:rPr>
        <w:footnoteReference w:id="237"/>
      </w:r>
    </w:p>
    <w:p w14:paraId="6DA7102E" w14:textId="77777777" w:rsidR="00377B20" w:rsidRPr="00CB2C31" w:rsidRDefault="00377B20" w:rsidP="00623C41">
      <w:pPr>
        <w:pStyle w:val="DoublePara"/>
        <w:rPr>
          <w:lang w:val="en-US"/>
        </w:rPr>
      </w:pPr>
      <w:r w:rsidRPr="00CB2C31">
        <w:rPr>
          <w:lang w:val="en-US"/>
        </w:rPr>
        <w:t>No gender requirements are set out in the Rwandan Law Governing Companies of 2018, but the 2003 Constitution generally provide</w:t>
      </w:r>
      <w:r w:rsidR="00FF59F6">
        <w:rPr>
          <w:lang w:val="en-US"/>
        </w:rPr>
        <w:t>s</w:t>
      </w:r>
      <w:r w:rsidRPr="00CB2C31">
        <w:rPr>
          <w:lang w:val="en-US"/>
        </w:rPr>
        <w:t xml:space="preserve"> for gender equality and sets a 30% quota for women in elected positions</w:t>
      </w:r>
      <w:r w:rsidR="007C1578">
        <w:rPr>
          <w:lang w:val="en-US"/>
        </w:rPr>
        <w:t xml:space="preserve"> in decision-making organs, the chambers of deputies and the senate</w:t>
      </w:r>
      <w:r w:rsidRPr="00CB2C31">
        <w:rPr>
          <w:lang w:val="en-US"/>
        </w:rPr>
        <w:t>.</w:t>
      </w:r>
      <w:r w:rsidRPr="00CB2C31">
        <w:rPr>
          <w:rStyle w:val="FootnoteReference"/>
          <w:lang w:val="en-US"/>
        </w:rPr>
        <w:footnoteReference w:id="238"/>
      </w:r>
      <w:r w:rsidR="00122163" w:rsidRPr="00CB2C31">
        <w:rPr>
          <w:lang w:val="en-US"/>
        </w:rPr>
        <w:t xml:space="preserve"> </w:t>
      </w:r>
    </w:p>
    <w:p w14:paraId="3D249B37" w14:textId="77777777" w:rsidR="00016418" w:rsidRPr="008C64F9" w:rsidRDefault="00016418" w:rsidP="00623C41">
      <w:pPr>
        <w:pStyle w:val="LegalCombo4"/>
        <w:keepNext/>
        <w:rPr>
          <w:b/>
        </w:rPr>
      </w:pPr>
      <w:bookmarkStart w:id="309" w:name="_Toc15027296"/>
      <w:bookmarkStart w:id="310" w:name="_Toc15027687"/>
      <w:bookmarkStart w:id="311" w:name="_Toc15027965"/>
      <w:r w:rsidRPr="008C64F9">
        <w:rPr>
          <w:b/>
        </w:rPr>
        <w:t>Conclusion and Best Practice Analysis</w:t>
      </w:r>
      <w:bookmarkEnd w:id="309"/>
      <w:bookmarkEnd w:id="310"/>
      <w:bookmarkEnd w:id="311"/>
      <w:r w:rsidR="007A4AC7" w:rsidRPr="008C64F9">
        <w:rPr>
          <w:b/>
        </w:rPr>
        <w:t>:</w:t>
      </w:r>
      <w:r w:rsidR="00593F1F" w:rsidRPr="008C64F9">
        <w:rPr>
          <w:b/>
        </w:rPr>
        <w:t xml:space="preserve"> </w:t>
      </w:r>
      <w:r w:rsidR="007A4AC7" w:rsidRPr="008C64F9">
        <w:rPr>
          <w:b/>
        </w:rPr>
        <w:t>Rwanda</w:t>
      </w:r>
    </w:p>
    <w:p w14:paraId="4063530A" w14:textId="62ADAEE3" w:rsidR="00016418" w:rsidRPr="00CB2C31" w:rsidRDefault="00016418" w:rsidP="00623C41">
      <w:pPr>
        <w:pStyle w:val="DoublePara"/>
        <w:rPr>
          <w:lang w:val="en-US"/>
        </w:rPr>
      </w:pPr>
      <w:r w:rsidRPr="00CB2C31">
        <w:rPr>
          <w:lang w:val="en-US"/>
        </w:rPr>
        <w:t xml:space="preserve">As </w:t>
      </w:r>
      <w:r w:rsidR="00122163" w:rsidRPr="00CB2C31">
        <w:rPr>
          <w:lang w:val="en-US"/>
        </w:rPr>
        <w:t>noted</w:t>
      </w:r>
      <w:r w:rsidRPr="00CB2C31">
        <w:rPr>
          <w:lang w:val="en-US"/>
        </w:rPr>
        <w:t xml:space="preserve"> above, the 2003 Rwandan Constitution sets a </w:t>
      </w:r>
      <w:r w:rsidRPr="008C64F9">
        <w:rPr>
          <w:b/>
          <w:lang w:val="en-US"/>
        </w:rPr>
        <w:t>30% quota for women</w:t>
      </w:r>
      <w:r w:rsidRPr="00CB2C31">
        <w:rPr>
          <w:lang w:val="en-US"/>
        </w:rPr>
        <w:t xml:space="preserve"> </w:t>
      </w:r>
      <w:r w:rsidRPr="008C64F9">
        <w:rPr>
          <w:b/>
          <w:lang w:val="en-US"/>
        </w:rPr>
        <w:t>in all elected positions</w:t>
      </w:r>
      <w:r w:rsidR="00F42D6A" w:rsidRPr="00CB2C31">
        <w:rPr>
          <w:lang w:val="en-US"/>
        </w:rPr>
        <w:t xml:space="preserve">.  </w:t>
      </w:r>
      <w:r w:rsidRPr="00CB2C31">
        <w:rPr>
          <w:lang w:val="en-US"/>
        </w:rPr>
        <w:t xml:space="preserve">In the political sphere, this quota has been surpassed, with the 2013 Rwandan Parliamentary elections resulting in female </w:t>
      </w:r>
      <w:r w:rsidRPr="00CB2C31">
        <w:rPr>
          <w:lang w:val="en-US" w:eastAsia="en-GB"/>
        </w:rPr>
        <w:t>candidates</w:t>
      </w:r>
      <w:r w:rsidRPr="00CB2C31">
        <w:rPr>
          <w:lang w:val="en-US"/>
        </w:rPr>
        <w:t xml:space="preserve"> holding 64% of seats.</w:t>
      </w:r>
      <w:r w:rsidRPr="00CB2C31">
        <w:rPr>
          <w:rStyle w:val="FootnoteReference"/>
          <w:lang w:val="en-US"/>
        </w:rPr>
        <w:footnoteReference w:id="239"/>
      </w:r>
      <w:r w:rsidRPr="00CB2C31">
        <w:rPr>
          <w:lang w:val="en-US"/>
        </w:rPr>
        <w:t xml:space="preserve"> </w:t>
      </w:r>
      <w:r w:rsidR="0009628A">
        <w:rPr>
          <w:lang w:val="en-US"/>
        </w:rPr>
        <w:t xml:space="preserve"> </w:t>
      </w:r>
      <w:r w:rsidR="00122163" w:rsidRPr="00CB2C31">
        <w:rPr>
          <w:lang w:val="en-US"/>
        </w:rPr>
        <w:t xml:space="preserve">Although there are no quotas in the private sector, the </w:t>
      </w:r>
      <w:r w:rsidR="00122163" w:rsidRPr="00F51DEA">
        <w:rPr>
          <w:b/>
          <w:lang w:val="en-US"/>
        </w:rPr>
        <w:t>legislative commitment to gender balance</w:t>
      </w:r>
      <w:r w:rsidR="00122163" w:rsidRPr="00CB2C31">
        <w:rPr>
          <w:lang w:val="en-US"/>
        </w:rPr>
        <w:t xml:space="preserve"> appears to be driving equality</w:t>
      </w:r>
      <w:r w:rsidR="00F42D6A" w:rsidRPr="00CB2C31">
        <w:rPr>
          <w:lang w:val="en-US"/>
        </w:rPr>
        <w:t xml:space="preserve">.  </w:t>
      </w:r>
      <w:r w:rsidR="00122163" w:rsidRPr="00CB2C31">
        <w:rPr>
          <w:lang w:val="en-US"/>
        </w:rPr>
        <w:t>In the private sector,</w:t>
      </w:r>
      <w:r w:rsidRPr="00CB2C31">
        <w:rPr>
          <w:lang w:val="en-US"/>
        </w:rPr>
        <w:t xml:space="preserve"> women repr</w:t>
      </w:r>
      <w:r w:rsidR="00122163" w:rsidRPr="00CB2C31">
        <w:rPr>
          <w:lang w:val="en-US"/>
        </w:rPr>
        <w:t>esent more than 30% of the make-</w:t>
      </w:r>
      <w:r w:rsidRPr="00CB2C31">
        <w:rPr>
          <w:lang w:val="en-US"/>
        </w:rPr>
        <w:t>up of boards</w:t>
      </w:r>
      <w:r w:rsidR="00122163" w:rsidRPr="00CB2C31">
        <w:rPr>
          <w:lang w:val="en-US"/>
        </w:rPr>
        <w:t>.</w:t>
      </w:r>
      <w:r w:rsidRPr="00CB2C31">
        <w:rPr>
          <w:rStyle w:val="FootnoteReference"/>
          <w:lang w:val="en-US"/>
        </w:rPr>
        <w:footnoteReference w:id="240"/>
      </w:r>
      <w:r w:rsidRPr="00CB2C31">
        <w:rPr>
          <w:lang w:val="en-US"/>
        </w:rPr>
        <w:t xml:space="preserve"> </w:t>
      </w:r>
      <w:r w:rsidR="0009628A">
        <w:rPr>
          <w:lang w:val="en-US"/>
        </w:rPr>
        <w:t xml:space="preserve"> </w:t>
      </w:r>
      <w:r w:rsidR="00122163" w:rsidRPr="00CB2C31">
        <w:rPr>
          <w:lang w:val="en-US"/>
        </w:rPr>
        <w:t>The country is regarded as t</w:t>
      </w:r>
      <w:r w:rsidRPr="00CB2C31">
        <w:rPr>
          <w:lang w:val="en-US"/>
        </w:rPr>
        <w:t xml:space="preserve">he </w:t>
      </w:r>
      <w:r w:rsidR="00FF59F6">
        <w:rPr>
          <w:lang w:val="en-US"/>
        </w:rPr>
        <w:t>sixth</w:t>
      </w:r>
      <w:r w:rsidR="00FF59F6" w:rsidRPr="00CB2C31">
        <w:rPr>
          <w:lang w:val="en-US"/>
        </w:rPr>
        <w:t xml:space="preserve"> </w:t>
      </w:r>
      <w:r w:rsidRPr="00CB2C31">
        <w:rPr>
          <w:lang w:val="en-US"/>
        </w:rPr>
        <w:t>most gender-equal country on the globe in the World Economic Forum</w:t>
      </w:r>
      <w:r w:rsidR="00593F1F">
        <w:rPr>
          <w:lang w:val="en-US"/>
        </w:rPr>
        <w:t>’</w:t>
      </w:r>
      <w:r w:rsidRPr="00CB2C31">
        <w:rPr>
          <w:lang w:val="en-US"/>
        </w:rPr>
        <w:t>s 2018 Global Gender Gap Report,</w:t>
      </w:r>
      <w:r w:rsidRPr="00CB2C31">
        <w:rPr>
          <w:rStyle w:val="FootnoteReference"/>
          <w:lang w:val="en-US"/>
        </w:rPr>
        <w:footnoteReference w:id="241"/>
      </w:r>
      <w:r w:rsidR="00122163" w:rsidRPr="00CB2C31">
        <w:rPr>
          <w:lang w:val="en-US"/>
        </w:rPr>
        <w:t xml:space="preserve"> and</w:t>
      </w:r>
      <w:r w:rsidRPr="00CB2C31">
        <w:rPr>
          <w:lang w:val="en-US"/>
        </w:rPr>
        <w:t xml:space="preserve"> has closed more than 80% of its gender pay gap.</w:t>
      </w:r>
      <w:r w:rsidR="00245722" w:rsidRPr="00CB2C31">
        <w:rPr>
          <w:lang w:val="en-US"/>
        </w:rPr>
        <w:t xml:space="preserve">  It is </w:t>
      </w:r>
      <w:r w:rsidR="004D0006">
        <w:rPr>
          <w:lang w:val="en-US"/>
        </w:rPr>
        <w:t>anticipated</w:t>
      </w:r>
      <w:r w:rsidR="00245722" w:rsidRPr="00CB2C31">
        <w:rPr>
          <w:lang w:val="en-US"/>
        </w:rPr>
        <w:t xml:space="preserve"> that this will translate into greater parti</w:t>
      </w:r>
      <w:r w:rsidR="006E4B5E" w:rsidRPr="00CB2C31">
        <w:rPr>
          <w:lang w:val="en-US"/>
        </w:rPr>
        <w:t>cipation of women in boardrooms.</w:t>
      </w:r>
    </w:p>
    <w:p w14:paraId="3D757A1A" w14:textId="77777777" w:rsidR="00881938" w:rsidRPr="00CB2C31" w:rsidRDefault="00881938" w:rsidP="00623C41">
      <w:pPr>
        <w:pStyle w:val="LegalCombo2"/>
      </w:pPr>
      <w:bookmarkStart w:id="312" w:name="_Toc16692497"/>
      <w:bookmarkStart w:id="313" w:name="_Toc22905000"/>
      <w:bookmarkStart w:id="314" w:name="_Toc24114399"/>
      <w:r w:rsidRPr="00CB2C31">
        <w:t>THE PACIFIC</w:t>
      </w:r>
      <w:r w:rsidR="00660D34" w:rsidRPr="00CB2C31">
        <w:t xml:space="preserve"> and ASIA</w:t>
      </w:r>
      <w:bookmarkEnd w:id="301"/>
      <w:bookmarkEnd w:id="302"/>
      <w:bookmarkEnd w:id="303"/>
      <w:bookmarkEnd w:id="312"/>
      <w:bookmarkEnd w:id="313"/>
      <w:bookmarkEnd w:id="314"/>
    </w:p>
    <w:p w14:paraId="5EDA1E9F" w14:textId="77777777" w:rsidR="00016418" w:rsidRPr="00CB2C31" w:rsidRDefault="00EF4808" w:rsidP="00623C41">
      <w:pPr>
        <w:pStyle w:val="DoublePara"/>
        <w:rPr>
          <w:lang w:val="en-US"/>
        </w:rPr>
      </w:pPr>
      <w:r w:rsidRPr="00CB2C31">
        <w:rPr>
          <w:lang w:val="en-US"/>
        </w:rPr>
        <w:t xml:space="preserve">Countries in this region have adopted a broad range of </w:t>
      </w:r>
      <w:r w:rsidR="005D755C" w:rsidRPr="00CB2C31">
        <w:rPr>
          <w:lang w:val="en-US"/>
        </w:rPr>
        <w:t>gender balance</w:t>
      </w:r>
      <w:r w:rsidRPr="00CB2C31">
        <w:rPr>
          <w:lang w:val="en-US"/>
        </w:rPr>
        <w:t xml:space="preserve"> initiatives.  In this section, we focus on best practices found in New Zealand,</w:t>
      </w:r>
      <w:r w:rsidR="00FD3559" w:rsidRPr="00CB2C31">
        <w:rPr>
          <w:lang w:val="en-US"/>
        </w:rPr>
        <w:t xml:space="preserve"> India, Malaysia and Hong Kong.</w:t>
      </w:r>
    </w:p>
    <w:p w14:paraId="70D5982B" w14:textId="77777777" w:rsidR="00660D34" w:rsidRPr="002E5273" w:rsidRDefault="00660D34" w:rsidP="00623C41">
      <w:pPr>
        <w:pStyle w:val="LegalCombo3"/>
        <w:rPr>
          <w:b w:val="0"/>
        </w:rPr>
      </w:pPr>
      <w:bookmarkStart w:id="315" w:name="_Toc15027303"/>
      <w:bookmarkStart w:id="316" w:name="_Toc15027694"/>
      <w:bookmarkStart w:id="317" w:name="_Toc15027972"/>
      <w:bookmarkStart w:id="318" w:name="_Toc16692498"/>
      <w:bookmarkStart w:id="319" w:name="_Toc22905001"/>
      <w:bookmarkStart w:id="320" w:name="_Toc24114400"/>
      <w:r w:rsidRPr="002E5273">
        <w:t>New Zealand</w:t>
      </w:r>
      <w:bookmarkEnd w:id="315"/>
      <w:bookmarkEnd w:id="316"/>
      <w:bookmarkEnd w:id="317"/>
      <w:bookmarkEnd w:id="318"/>
      <w:bookmarkEnd w:id="319"/>
      <w:bookmarkEnd w:id="320"/>
    </w:p>
    <w:p w14:paraId="4D3BA4BA" w14:textId="77777777" w:rsidR="00660D34" w:rsidRPr="00CB2C31" w:rsidRDefault="001B2447" w:rsidP="00623C41">
      <w:pPr>
        <w:pStyle w:val="LegalCombo4"/>
        <w:keepNext/>
      </w:pPr>
      <w:bookmarkStart w:id="321" w:name="_Toc15027304"/>
      <w:bookmarkStart w:id="322" w:name="_Toc15027695"/>
      <w:bookmarkStart w:id="323" w:name="_Toc15027973"/>
      <w:r w:rsidRPr="00CB2C31">
        <w:t xml:space="preserve">Introduction </w:t>
      </w:r>
      <w:bookmarkEnd w:id="321"/>
      <w:bookmarkEnd w:id="322"/>
      <w:bookmarkEnd w:id="323"/>
    </w:p>
    <w:p w14:paraId="042B5E32" w14:textId="77777777" w:rsidR="001B2447" w:rsidRPr="00CB2C31" w:rsidRDefault="00D40F49" w:rsidP="00623C41">
      <w:pPr>
        <w:pStyle w:val="DoublePara"/>
        <w:rPr>
          <w:lang w:val="en-US"/>
        </w:rPr>
      </w:pPr>
      <w:r w:rsidRPr="00CB2C31">
        <w:rPr>
          <w:lang w:val="en-US"/>
        </w:rPr>
        <w:t>I</w:t>
      </w:r>
      <w:r w:rsidR="00444956" w:rsidRPr="00CB2C31">
        <w:rPr>
          <w:lang w:val="en-US"/>
        </w:rPr>
        <w:t xml:space="preserve">n New Zealand, regulators have sought to address </w:t>
      </w:r>
      <w:r w:rsidR="00E20CF6">
        <w:rPr>
          <w:lang w:val="en-US"/>
        </w:rPr>
        <w:t xml:space="preserve">gender </w:t>
      </w:r>
      <w:r w:rsidR="00444956" w:rsidRPr="00CB2C31">
        <w:rPr>
          <w:lang w:val="en-US" w:eastAsia="en-GB"/>
        </w:rPr>
        <w:t>diversity</w:t>
      </w:r>
      <w:r w:rsidR="009B65E1">
        <w:rPr>
          <w:lang w:val="en-US"/>
        </w:rPr>
        <w:t xml:space="preserve"> on corporate boards through</w:t>
      </w:r>
      <w:r w:rsidR="00444956" w:rsidRPr="00CB2C31">
        <w:rPr>
          <w:lang w:val="en-US"/>
        </w:rPr>
        <w:t xml:space="preserve"> measures such as publication of diversity data and corporate governance codes for public companies based on </w:t>
      </w:r>
      <w:r w:rsidR="00593F1F">
        <w:rPr>
          <w:lang w:val="en-US"/>
        </w:rPr>
        <w:t>‘</w:t>
      </w:r>
      <w:r w:rsidR="00444956" w:rsidRPr="00CB2C31">
        <w:rPr>
          <w:lang w:val="en-US"/>
        </w:rPr>
        <w:t>comply or explain</w:t>
      </w:r>
      <w:r w:rsidR="00593F1F">
        <w:rPr>
          <w:lang w:val="en-US"/>
        </w:rPr>
        <w:t>’</w:t>
      </w:r>
      <w:r w:rsidR="00444956" w:rsidRPr="00CB2C31">
        <w:rPr>
          <w:lang w:val="en-US"/>
        </w:rPr>
        <w:t xml:space="preserve"> regimes.</w:t>
      </w:r>
    </w:p>
    <w:p w14:paraId="0EC969DA" w14:textId="77777777" w:rsidR="001B2447" w:rsidRPr="00CB2C31" w:rsidRDefault="00B328FD" w:rsidP="00623C41">
      <w:pPr>
        <w:pStyle w:val="LegalCombo4"/>
        <w:keepNext/>
      </w:pPr>
      <w:r w:rsidRPr="00CB2C31">
        <w:t>Corporate Governance</w:t>
      </w:r>
    </w:p>
    <w:p w14:paraId="5FEE80D2" w14:textId="015904DB" w:rsidR="00D40F49" w:rsidRPr="00CB2C31" w:rsidRDefault="00D40F49" w:rsidP="00623C41">
      <w:pPr>
        <w:pStyle w:val="DoublePara"/>
        <w:rPr>
          <w:lang w:val="en-US"/>
        </w:rPr>
      </w:pPr>
      <w:r w:rsidRPr="00CB2C31">
        <w:rPr>
          <w:lang w:val="en-US"/>
        </w:rPr>
        <w:t>The New Zealand Companies Act</w:t>
      </w:r>
      <w:r w:rsidRPr="00CB2C31">
        <w:rPr>
          <w:rStyle w:val="FootnoteReference"/>
          <w:lang w:val="en-US"/>
        </w:rPr>
        <w:footnoteReference w:id="242"/>
      </w:r>
      <w:r w:rsidRPr="00CB2C31">
        <w:rPr>
          <w:lang w:val="en-US"/>
        </w:rPr>
        <w:t xml:space="preserve"> </w:t>
      </w:r>
      <w:r w:rsidR="003354B9" w:rsidRPr="00CB2C31">
        <w:rPr>
          <w:lang w:val="en-US"/>
        </w:rPr>
        <w:t xml:space="preserve">sets out the process for appointing and removing directors as a matter of company law for public and private </w:t>
      </w:r>
      <w:r w:rsidR="003354B9" w:rsidRPr="00CB2C31">
        <w:rPr>
          <w:lang w:val="en-US" w:eastAsia="en-GB"/>
        </w:rPr>
        <w:t>companies</w:t>
      </w:r>
      <w:r w:rsidR="003354B9" w:rsidRPr="00CB2C31">
        <w:rPr>
          <w:lang w:val="en-US"/>
        </w:rPr>
        <w:t xml:space="preserve"> and </w:t>
      </w:r>
      <w:r w:rsidRPr="00CB2C31">
        <w:rPr>
          <w:lang w:val="en-US"/>
        </w:rPr>
        <w:t>provides for a minimum number of directors appointed</w:t>
      </w:r>
      <w:r w:rsidR="00245722" w:rsidRPr="00CB2C31">
        <w:rPr>
          <w:lang w:val="en-US"/>
        </w:rPr>
        <w:t xml:space="preserve"> to the boards of</w:t>
      </w:r>
      <w:r w:rsidRPr="00CB2C31">
        <w:rPr>
          <w:lang w:val="en-US"/>
        </w:rPr>
        <w:t xml:space="preserve"> public and private companies and restrictions on persons who are not fit for office becoming directors.</w:t>
      </w:r>
      <w:r w:rsidR="003354B9" w:rsidRPr="00CB2C31">
        <w:rPr>
          <w:lang w:val="en-US"/>
        </w:rPr>
        <w:t xml:space="preserve">  In 2017, the New Zealand Stock Exchange (</w:t>
      </w:r>
      <w:r w:rsidR="00203E75" w:rsidRPr="00203E75">
        <w:rPr>
          <w:i/>
          <w:lang w:val="en-US"/>
        </w:rPr>
        <w:t>“</w:t>
      </w:r>
      <w:r w:rsidR="003354B9" w:rsidRPr="00CB2C31">
        <w:rPr>
          <w:b/>
          <w:lang w:val="en-US"/>
        </w:rPr>
        <w:t>NZX</w:t>
      </w:r>
      <w:r w:rsidR="00203E75" w:rsidRPr="00203E75">
        <w:rPr>
          <w:i/>
          <w:lang w:val="en-US"/>
        </w:rPr>
        <w:t>”</w:t>
      </w:r>
      <w:r w:rsidR="003354B9" w:rsidRPr="00CB2C31">
        <w:rPr>
          <w:lang w:val="en-US"/>
        </w:rPr>
        <w:t xml:space="preserve">) released a new corporate governance code (the </w:t>
      </w:r>
      <w:r w:rsidR="00203E75" w:rsidRPr="00203E75">
        <w:rPr>
          <w:i/>
          <w:lang w:val="en-US"/>
        </w:rPr>
        <w:t>“</w:t>
      </w:r>
      <w:r w:rsidR="003354B9" w:rsidRPr="00CB2C31">
        <w:rPr>
          <w:b/>
          <w:lang w:val="en-US"/>
        </w:rPr>
        <w:t>NZX</w:t>
      </w:r>
      <w:r w:rsidR="003354B9" w:rsidRPr="00CB2C31">
        <w:rPr>
          <w:lang w:val="en-US"/>
        </w:rPr>
        <w:t xml:space="preserve"> </w:t>
      </w:r>
      <w:r w:rsidR="003354B9" w:rsidRPr="00CB2C31">
        <w:rPr>
          <w:b/>
          <w:lang w:val="en-US"/>
        </w:rPr>
        <w:t>Code</w:t>
      </w:r>
      <w:r w:rsidR="00203E75" w:rsidRPr="00203E75">
        <w:rPr>
          <w:i/>
          <w:lang w:val="en-US"/>
        </w:rPr>
        <w:t>”</w:t>
      </w:r>
      <w:r w:rsidR="003354B9" w:rsidRPr="00CB2C31">
        <w:rPr>
          <w:lang w:val="en-US"/>
        </w:rPr>
        <w:t>)</w:t>
      </w:r>
      <w:r w:rsidR="003354B9" w:rsidRPr="00CB2C31">
        <w:rPr>
          <w:rStyle w:val="FootnoteReference"/>
          <w:lang w:val="en-US"/>
        </w:rPr>
        <w:footnoteReference w:id="243"/>
      </w:r>
      <w:r w:rsidR="003354B9" w:rsidRPr="00CB2C31">
        <w:rPr>
          <w:lang w:val="en-US"/>
        </w:rPr>
        <w:t xml:space="preserve"> and listing rules (the </w:t>
      </w:r>
      <w:r w:rsidR="00203E75" w:rsidRPr="00203E75">
        <w:rPr>
          <w:i/>
          <w:lang w:val="en-US"/>
        </w:rPr>
        <w:t>“</w:t>
      </w:r>
      <w:r w:rsidR="003354B9" w:rsidRPr="00CB2C31">
        <w:rPr>
          <w:b/>
          <w:lang w:val="en-US"/>
        </w:rPr>
        <w:t>NZX Rules</w:t>
      </w:r>
      <w:r w:rsidR="00203E75" w:rsidRPr="00203E75">
        <w:rPr>
          <w:i/>
          <w:lang w:val="en-US"/>
        </w:rPr>
        <w:t>”</w:t>
      </w:r>
      <w:r w:rsidR="003354B9" w:rsidRPr="00CB2C31">
        <w:rPr>
          <w:lang w:val="en-US"/>
        </w:rPr>
        <w:t>)</w:t>
      </w:r>
      <w:r w:rsidR="00245722" w:rsidRPr="00CB2C31">
        <w:rPr>
          <w:lang w:val="en-US"/>
        </w:rPr>
        <w:t>.</w:t>
      </w:r>
      <w:r w:rsidR="003354B9" w:rsidRPr="00CB2C31">
        <w:rPr>
          <w:rStyle w:val="FootnoteReference"/>
          <w:lang w:val="en-US"/>
        </w:rPr>
        <w:footnoteReference w:id="244"/>
      </w:r>
      <w:r w:rsidR="003354B9" w:rsidRPr="00CB2C31">
        <w:rPr>
          <w:lang w:val="en-US"/>
        </w:rPr>
        <w:t xml:space="preserve"> </w:t>
      </w:r>
      <w:r w:rsidRPr="00CB2C31">
        <w:rPr>
          <w:lang w:val="en-US"/>
        </w:rPr>
        <w:t xml:space="preserve"> The NZX Rules provide that an issuer</w:t>
      </w:r>
      <w:r w:rsidR="00593F1F">
        <w:rPr>
          <w:lang w:val="en-US"/>
        </w:rPr>
        <w:t>’</w:t>
      </w:r>
      <w:r w:rsidR="00245722" w:rsidRPr="00CB2C31">
        <w:rPr>
          <w:lang w:val="en-US"/>
        </w:rPr>
        <w:t>s</w:t>
      </w:r>
      <w:r w:rsidRPr="00CB2C31">
        <w:rPr>
          <w:lang w:val="en-US"/>
        </w:rPr>
        <w:t xml:space="preserve"> board must contain at least three directors in total,</w:t>
      </w:r>
      <w:r w:rsidR="00245722" w:rsidRPr="00CB2C31">
        <w:rPr>
          <w:lang w:val="en-US"/>
        </w:rPr>
        <w:t xml:space="preserve"> of whom</w:t>
      </w:r>
      <w:r w:rsidRPr="00CB2C31">
        <w:rPr>
          <w:lang w:val="en-US"/>
        </w:rPr>
        <w:t xml:space="preserve"> at least two </w:t>
      </w:r>
      <w:r w:rsidRPr="00CB2C31">
        <w:rPr>
          <w:lang w:val="en-US" w:eastAsia="en-GB"/>
        </w:rPr>
        <w:t>directors</w:t>
      </w:r>
      <w:r w:rsidRPr="00CB2C31">
        <w:rPr>
          <w:lang w:val="en-US"/>
        </w:rPr>
        <w:t xml:space="preserve"> are resident in New Zealand and at least two directors are independent.</w:t>
      </w:r>
      <w:r w:rsidRPr="00CB2C31">
        <w:rPr>
          <w:rStyle w:val="FootnoteReference"/>
          <w:lang w:val="en-US"/>
        </w:rPr>
        <w:footnoteReference w:id="245"/>
      </w:r>
      <w:r w:rsidRPr="00CB2C31">
        <w:rPr>
          <w:lang w:val="en-US"/>
        </w:rPr>
        <w:t xml:space="preserve"> </w:t>
      </w:r>
    </w:p>
    <w:p w14:paraId="5BD0F412" w14:textId="77777777" w:rsidR="00D40F49" w:rsidRPr="00CB2C31" w:rsidRDefault="003354B9" w:rsidP="00623C41">
      <w:pPr>
        <w:pStyle w:val="DoublePara"/>
        <w:rPr>
          <w:lang w:val="en-US"/>
        </w:rPr>
      </w:pPr>
      <w:r w:rsidRPr="00CB2C31">
        <w:rPr>
          <w:lang w:val="en-US"/>
        </w:rPr>
        <w:t>I</w:t>
      </w:r>
      <w:r w:rsidR="00D40F49" w:rsidRPr="00CB2C31">
        <w:rPr>
          <w:lang w:val="en-US"/>
        </w:rPr>
        <w:t>ssuers on the NZX have additional requirements under the NZX Rules in relation to appointments and removal of directors</w:t>
      </w:r>
      <w:r w:rsidR="00F42D6A" w:rsidRPr="00CB2C31">
        <w:rPr>
          <w:lang w:val="en-US"/>
        </w:rPr>
        <w:t xml:space="preserve">.  </w:t>
      </w:r>
      <w:r w:rsidR="00D40F49" w:rsidRPr="00CB2C31">
        <w:rPr>
          <w:lang w:val="en-US"/>
        </w:rPr>
        <w:t xml:space="preserve">In particular, directors must not hold office for more than three years without standing for re-election (subject to certain exceptions). </w:t>
      </w:r>
    </w:p>
    <w:p w14:paraId="7A303313" w14:textId="3C1B258A" w:rsidR="00EA2E38" w:rsidRPr="00CB2C31" w:rsidRDefault="00444956" w:rsidP="00623C41">
      <w:pPr>
        <w:pStyle w:val="DoublePara"/>
        <w:rPr>
          <w:lang w:val="en-US"/>
        </w:rPr>
      </w:pPr>
      <w:r w:rsidRPr="00CB2C31">
        <w:rPr>
          <w:lang w:val="en-US"/>
        </w:rPr>
        <w:t>The NZX Code and NZX Rules provide a framework of mandatory rules and voluntary codes for issuers on the NZX and do not apply to all priv</w:t>
      </w:r>
      <w:r w:rsidR="0088777B" w:rsidRPr="00CB2C31">
        <w:rPr>
          <w:lang w:val="en-US"/>
        </w:rPr>
        <w:t xml:space="preserve">ate </w:t>
      </w:r>
      <w:r w:rsidR="00FF59F6">
        <w:rPr>
          <w:lang w:val="en-US"/>
        </w:rPr>
        <w:t>corporations</w:t>
      </w:r>
      <w:r w:rsidR="00FF59F6" w:rsidRPr="00CB2C31">
        <w:rPr>
          <w:lang w:val="en-US"/>
        </w:rPr>
        <w:t xml:space="preserve"> </w:t>
      </w:r>
      <w:r w:rsidR="0088777B" w:rsidRPr="00CB2C31">
        <w:rPr>
          <w:lang w:val="en-US"/>
        </w:rPr>
        <w:t>in New Zealand</w:t>
      </w:r>
      <w:r w:rsidR="00F42D6A" w:rsidRPr="00CB2C31">
        <w:rPr>
          <w:lang w:val="en-US"/>
        </w:rPr>
        <w:t xml:space="preserve">.  </w:t>
      </w:r>
      <w:r w:rsidRPr="00CB2C31">
        <w:rPr>
          <w:lang w:val="en-US"/>
        </w:rPr>
        <w:t>In relation to gender diversity, the NZX Rules require certain issuers to report quantitative data on the gender breakdown of their directors and officers and details of their diversity policies (if applicable)</w:t>
      </w:r>
      <w:r w:rsidR="00F42D6A" w:rsidRPr="00CB2C31">
        <w:rPr>
          <w:lang w:val="en-US"/>
        </w:rPr>
        <w:t xml:space="preserve">.  </w:t>
      </w:r>
      <w:r w:rsidRPr="00CB2C31">
        <w:rPr>
          <w:lang w:val="en-US"/>
        </w:rPr>
        <w:t xml:space="preserve">Issuers on the NZX are not required to adopt a diversity policy but the NZX Code does include a recommendation within its </w:t>
      </w:r>
      <w:r w:rsidR="00593F1F">
        <w:rPr>
          <w:lang w:val="en-US"/>
        </w:rPr>
        <w:t>‘</w:t>
      </w:r>
      <w:r w:rsidRPr="00CB2C31">
        <w:rPr>
          <w:lang w:val="en-US"/>
        </w:rPr>
        <w:t>comply or explain</w:t>
      </w:r>
      <w:r w:rsidR="00593F1F">
        <w:rPr>
          <w:lang w:val="en-US"/>
        </w:rPr>
        <w:t>’</w:t>
      </w:r>
      <w:r w:rsidRPr="00CB2C31">
        <w:rPr>
          <w:lang w:val="en-US"/>
        </w:rPr>
        <w:t xml:space="preserve"> regime that issuers draw up a written diversity policy</w:t>
      </w:r>
      <w:r w:rsidR="00F42D6A" w:rsidRPr="00CB2C31">
        <w:rPr>
          <w:lang w:val="en-US"/>
        </w:rPr>
        <w:t xml:space="preserve">.  </w:t>
      </w:r>
      <w:r w:rsidRPr="00CB2C31">
        <w:rPr>
          <w:lang w:val="en-US"/>
        </w:rPr>
        <w:t>If an issuer does have a diversity policy in place, it is required to include a statement from the board in its annual report providing an evaluation of its performance with re</w:t>
      </w:r>
      <w:r w:rsidR="003354B9" w:rsidRPr="00CB2C31">
        <w:rPr>
          <w:lang w:val="en-US"/>
        </w:rPr>
        <w:t xml:space="preserve">spect to its diversity policy. </w:t>
      </w:r>
      <w:r w:rsidRPr="00CB2C31">
        <w:rPr>
          <w:lang w:val="en-US"/>
        </w:rPr>
        <w:t xml:space="preserve"> </w:t>
      </w:r>
    </w:p>
    <w:p w14:paraId="26244642" w14:textId="77777777" w:rsidR="001B2447" w:rsidRPr="008C64F9" w:rsidRDefault="009B6B3F" w:rsidP="00623C41">
      <w:pPr>
        <w:pStyle w:val="LegalCombo4"/>
        <w:keepNext/>
        <w:rPr>
          <w:b/>
        </w:rPr>
      </w:pPr>
      <w:bookmarkStart w:id="324" w:name="_Toc15027307"/>
      <w:bookmarkStart w:id="325" w:name="_Toc15027698"/>
      <w:bookmarkStart w:id="326" w:name="_Toc15027976"/>
      <w:r w:rsidRPr="008C64F9">
        <w:rPr>
          <w:b/>
        </w:rPr>
        <w:t xml:space="preserve">Conclusion and </w:t>
      </w:r>
      <w:r w:rsidR="001B2447" w:rsidRPr="008C64F9">
        <w:rPr>
          <w:b/>
        </w:rPr>
        <w:t>Best Practice Analysis</w:t>
      </w:r>
      <w:bookmarkEnd w:id="324"/>
      <w:bookmarkEnd w:id="325"/>
      <w:bookmarkEnd w:id="326"/>
      <w:r w:rsidR="007A4AC7" w:rsidRPr="008C64F9">
        <w:rPr>
          <w:b/>
        </w:rPr>
        <w:t>:</w:t>
      </w:r>
      <w:r w:rsidR="00593F1F" w:rsidRPr="008C64F9">
        <w:rPr>
          <w:b/>
        </w:rPr>
        <w:t xml:space="preserve"> </w:t>
      </w:r>
      <w:r w:rsidR="007A4AC7" w:rsidRPr="008C64F9">
        <w:rPr>
          <w:b/>
        </w:rPr>
        <w:t>New Zealand</w:t>
      </w:r>
    </w:p>
    <w:p w14:paraId="58A80A3F" w14:textId="77777777" w:rsidR="003354B9" w:rsidRPr="00CB2C31" w:rsidRDefault="003354B9" w:rsidP="00623C41">
      <w:pPr>
        <w:pStyle w:val="DoublePara"/>
        <w:rPr>
          <w:lang w:val="en-US"/>
        </w:rPr>
      </w:pPr>
      <w:bookmarkStart w:id="327" w:name="_Toc511986916"/>
      <w:bookmarkStart w:id="328" w:name="_Toc512156444"/>
      <w:bookmarkStart w:id="329" w:name="_Toc512162808"/>
      <w:bookmarkStart w:id="330" w:name="_Toc512163777"/>
      <w:r w:rsidRPr="00CB2C31">
        <w:rPr>
          <w:lang w:val="en-US"/>
        </w:rPr>
        <w:t xml:space="preserve">Statistics compiled by the NZX </w:t>
      </w:r>
      <w:r w:rsidR="0088777B" w:rsidRPr="00CB2C31">
        <w:rPr>
          <w:lang w:val="en-US"/>
        </w:rPr>
        <w:t>indicate that, by December 2018</w:t>
      </w:r>
      <w:r w:rsidRPr="00CB2C31">
        <w:rPr>
          <w:lang w:val="en-US"/>
        </w:rPr>
        <w:t xml:space="preserve"> the percentage of women on boards o</w:t>
      </w:r>
      <w:r w:rsidR="0088777B" w:rsidRPr="00CB2C31">
        <w:rPr>
          <w:lang w:val="en-US"/>
        </w:rPr>
        <w:t>f issuers was 22.5%</w:t>
      </w:r>
      <w:r w:rsidRPr="00CB2C31">
        <w:rPr>
          <w:lang w:val="en-US"/>
        </w:rPr>
        <w:t xml:space="preserve"> </w:t>
      </w:r>
      <w:r w:rsidR="0088777B" w:rsidRPr="00CB2C31">
        <w:rPr>
          <w:lang w:val="en-US"/>
        </w:rPr>
        <w:t>(up from 16.7% in 2016)</w:t>
      </w:r>
      <w:r w:rsidRPr="00CB2C31">
        <w:rPr>
          <w:vertAlign w:val="superscript"/>
          <w:lang w:val="en-US"/>
        </w:rPr>
        <w:footnoteReference w:id="246"/>
      </w:r>
      <w:r w:rsidRPr="00CB2C31">
        <w:rPr>
          <w:lang w:val="en-US"/>
        </w:rPr>
        <w:t xml:space="preserve"> and 78.3%</w:t>
      </w:r>
      <w:r w:rsidR="00FF59F6">
        <w:rPr>
          <w:lang w:val="en-US"/>
        </w:rPr>
        <w:t xml:space="preserve"> of</w:t>
      </w:r>
      <w:r w:rsidRPr="00CB2C31">
        <w:rPr>
          <w:lang w:val="en-US"/>
        </w:rPr>
        <w:t xml:space="preserve"> issuers had ado</w:t>
      </w:r>
      <w:r w:rsidR="0088777B" w:rsidRPr="00CB2C31">
        <w:rPr>
          <w:lang w:val="en-US"/>
        </w:rPr>
        <w:t>pted a written diversity policy</w:t>
      </w:r>
      <w:r w:rsidRPr="00CB2C31">
        <w:rPr>
          <w:lang w:val="en-US"/>
        </w:rPr>
        <w:t xml:space="preserve"> </w:t>
      </w:r>
      <w:r w:rsidR="0088777B" w:rsidRPr="00CB2C31">
        <w:rPr>
          <w:lang w:val="en-US"/>
        </w:rPr>
        <w:t>(</w:t>
      </w:r>
      <w:r w:rsidRPr="00CB2C31">
        <w:rPr>
          <w:lang w:val="en-US"/>
        </w:rPr>
        <w:t>up from 44.7% in 2016</w:t>
      </w:r>
      <w:r w:rsidR="0088777B" w:rsidRPr="00CB2C31">
        <w:rPr>
          <w:lang w:val="en-US"/>
        </w:rPr>
        <w:t>)</w:t>
      </w:r>
      <w:r w:rsidRPr="00CB2C31">
        <w:rPr>
          <w:lang w:val="en-US"/>
        </w:rPr>
        <w:t>.</w:t>
      </w:r>
      <w:r w:rsidRPr="00CB2C31">
        <w:rPr>
          <w:vertAlign w:val="superscript"/>
          <w:lang w:val="en-US"/>
        </w:rPr>
        <w:footnoteReference w:id="247"/>
      </w:r>
      <w:r w:rsidRPr="00CB2C31">
        <w:rPr>
          <w:lang w:val="en-US"/>
        </w:rPr>
        <w:t xml:space="preserve"> </w:t>
      </w:r>
      <w:r w:rsidR="00EB2AFD">
        <w:rPr>
          <w:lang w:val="en-US"/>
        </w:rPr>
        <w:t xml:space="preserve"> </w:t>
      </w:r>
      <w:r w:rsidRPr="00CB2C31">
        <w:rPr>
          <w:lang w:val="en-US"/>
        </w:rPr>
        <w:t>The data indicates that the adoption</w:t>
      </w:r>
      <w:r w:rsidR="006E4B5E" w:rsidRPr="00CB2C31">
        <w:rPr>
          <w:lang w:val="en-US"/>
        </w:rPr>
        <w:t xml:space="preserve"> of</w:t>
      </w:r>
      <w:r w:rsidRPr="00CB2C31">
        <w:rPr>
          <w:lang w:val="en-US"/>
        </w:rPr>
        <w:t xml:space="preserve"> the revised NZX Rules since 2017 has coincided with an increase in female board representation and a more widespread adoption of diversity policies by NZX issuers. </w:t>
      </w:r>
    </w:p>
    <w:p w14:paraId="419DFC89" w14:textId="77777777" w:rsidR="003354B9" w:rsidRPr="00CB2C31" w:rsidRDefault="003354B9" w:rsidP="00623C41">
      <w:pPr>
        <w:pStyle w:val="DoublePara"/>
        <w:rPr>
          <w:lang w:val="en-US"/>
        </w:rPr>
      </w:pPr>
      <w:r w:rsidRPr="00CB2C31">
        <w:rPr>
          <w:lang w:val="en-US"/>
        </w:rPr>
        <w:t xml:space="preserve">The NZX data supports the notion that policies such as </w:t>
      </w:r>
      <w:r w:rsidRPr="008C64F9">
        <w:rPr>
          <w:b/>
          <w:lang w:val="en-US"/>
        </w:rPr>
        <w:t xml:space="preserve">mandatory reporting of quantitative gender diversity data </w:t>
      </w:r>
      <w:r w:rsidRPr="00CB2C31">
        <w:rPr>
          <w:lang w:val="en-US"/>
        </w:rPr>
        <w:t>may lead to increased representation at board level</w:t>
      </w:r>
      <w:r w:rsidR="00F111D2" w:rsidRPr="00CB2C31">
        <w:rPr>
          <w:lang w:val="en-US"/>
        </w:rPr>
        <w:t xml:space="preserve">.  </w:t>
      </w:r>
      <w:r w:rsidRPr="00CB2C31">
        <w:rPr>
          <w:lang w:val="en-US"/>
        </w:rPr>
        <w:t>However, it should be noted that the statistics cover a limited period of time since the introduction of the revised NZX Rules in 2017</w:t>
      </w:r>
      <w:r w:rsidR="00F111D2" w:rsidRPr="00CB2C31">
        <w:rPr>
          <w:lang w:val="en-US"/>
        </w:rPr>
        <w:t xml:space="preserve">.  </w:t>
      </w:r>
      <w:r w:rsidRPr="00CB2C31">
        <w:rPr>
          <w:lang w:val="en-US"/>
        </w:rPr>
        <w:t>Further monitoring is required to assess whether the trend to more gender balanced boards continues and the proportion of women on issuer boards increases beyond 22.5%.</w:t>
      </w:r>
    </w:p>
    <w:p w14:paraId="64EDF1F4" w14:textId="77777777" w:rsidR="00C804C1" w:rsidRPr="002E5273" w:rsidRDefault="00C804C1" w:rsidP="00623C41">
      <w:pPr>
        <w:pStyle w:val="LegalCombo3"/>
        <w:rPr>
          <w:b w:val="0"/>
        </w:rPr>
      </w:pPr>
      <w:bookmarkStart w:id="331" w:name="_Toc15027308"/>
      <w:bookmarkStart w:id="332" w:name="_Toc15027699"/>
      <w:bookmarkStart w:id="333" w:name="_Toc15027977"/>
      <w:bookmarkStart w:id="334" w:name="_Toc16692499"/>
      <w:bookmarkStart w:id="335" w:name="_Toc22905002"/>
      <w:bookmarkStart w:id="336" w:name="_Toc24114401"/>
      <w:bookmarkEnd w:id="327"/>
      <w:bookmarkEnd w:id="328"/>
      <w:bookmarkEnd w:id="329"/>
      <w:bookmarkEnd w:id="330"/>
      <w:r w:rsidRPr="002E5273">
        <w:t>India</w:t>
      </w:r>
      <w:bookmarkEnd w:id="331"/>
      <w:bookmarkEnd w:id="332"/>
      <w:bookmarkEnd w:id="333"/>
      <w:bookmarkEnd w:id="334"/>
      <w:bookmarkEnd w:id="335"/>
      <w:bookmarkEnd w:id="336"/>
    </w:p>
    <w:p w14:paraId="176803D8" w14:textId="77777777" w:rsidR="00C804C1" w:rsidRPr="00CB2C31" w:rsidRDefault="00C804C1" w:rsidP="00623C41">
      <w:pPr>
        <w:pStyle w:val="LegalCombo4"/>
        <w:keepNext/>
      </w:pPr>
      <w:bookmarkStart w:id="337" w:name="_Toc15027309"/>
      <w:bookmarkStart w:id="338" w:name="_Toc15027700"/>
      <w:bookmarkStart w:id="339" w:name="_Toc15027978"/>
      <w:r w:rsidRPr="00CB2C31">
        <w:t>Introduction</w:t>
      </w:r>
      <w:bookmarkEnd w:id="337"/>
      <w:bookmarkEnd w:id="338"/>
      <w:bookmarkEnd w:id="339"/>
    </w:p>
    <w:p w14:paraId="0C684605" w14:textId="12BE3F9C" w:rsidR="00E078FD" w:rsidRPr="00CB2C31" w:rsidRDefault="00C804C1" w:rsidP="00623C41">
      <w:pPr>
        <w:pStyle w:val="DoublePara"/>
        <w:rPr>
          <w:lang w:val="en-US"/>
        </w:rPr>
      </w:pPr>
      <w:r w:rsidRPr="00CB2C31">
        <w:rPr>
          <w:lang w:val="en-US"/>
        </w:rPr>
        <w:t>India has addressed the challenge of gender diversity primarily through legislation</w:t>
      </w:r>
      <w:r w:rsidR="00444956" w:rsidRPr="00CB2C31">
        <w:rPr>
          <w:lang w:val="en-US"/>
        </w:rPr>
        <w:t xml:space="preserve"> (principally the Indian Companies Act 2013</w:t>
      </w:r>
      <w:r w:rsidR="006E4B5E" w:rsidRPr="00CB2C31">
        <w:rPr>
          <w:rStyle w:val="FootnoteReference"/>
          <w:lang w:val="en-US"/>
        </w:rPr>
        <w:footnoteReference w:id="248"/>
      </w:r>
      <w:r w:rsidR="007F1241" w:rsidRPr="00CB2C31">
        <w:rPr>
          <w:lang w:val="en-US"/>
        </w:rPr>
        <w:t xml:space="preserve"> (the </w:t>
      </w:r>
      <w:r w:rsidR="00203E75" w:rsidRPr="00203E75">
        <w:rPr>
          <w:i/>
          <w:lang w:val="en-US"/>
        </w:rPr>
        <w:t>“</w:t>
      </w:r>
      <w:r w:rsidR="007F1241" w:rsidRPr="00CB2C31">
        <w:rPr>
          <w:b/>
          <w:lang w:val="en-US"/>
        </w:rPr>
        <w:t>Indian Companies Act</w:t>
      </w:r>
      <w:r w:rsidR="00203E75" w:rsidRPr="00203E75">
        <w:rPr>
          <w:i/>
          <w:lang w:val="en-US"/>
        </w:rPr>
        <w:t>”</w:t>
      </w:r>
      <w:r w:rsidR="007F1241" w:rsidRPr="00CB2C31">
        <w:rPr>
          <w:lang w:val="en-US"/>
        </w:rPr>
        <w:t>)</w:t>
      </w:r>
      <w:r w:rsidR="00444956" w:rsidRPr="00CB2C31">
        <w:rPr>
          <w:lang w:val="en-US"/>
        </w:rPr>
        <w:t>)</w:t>
      </w:r>
      <w:r w:rsidR="00E078FD" w:rsidRPr="00CB2C31">
        <w:rPr>
          <w:lang w:val="en-US"/>
        </w:rPr>
        <w:t xml:space="preserve">, </w:t>
      </w:r>
      <w:r w:rsidRPr="00CB2C31">
        <w:rPr>
          <w:lang w:val="en-US"/>
        </w:rPr>
        <w:t xml:space="preserve">backed by sanctions against </w:t>
      </w:r>
      <w:r w:rsidRPr="00CB2C31">
        <w:rPr>
          <w:lang w:val="en-US" w:eastAsia="en-GB"/>
        </w:rPr>
        <w:t>non</w:t>
      </w:r>
      <w:r w:rsidRPr="00CB2C31">
        <w:rPr>
          <w:lang w:val="en-US"/>
        </w:rPr>
        <w:t>-compliant companies</w:t>
      </w:r>
      <w:r w:rsidR="00F111D2" w:rsidRPr="00CB2C31">
        <w:rPr>
          <w:lang w:val="en-US"/>
        </w:rPr>
        <w:t xml:space="preserve">.  </w:t>
      </w:r>
      <w:r w:rsidR="00E078FD" w:rsidRPr="00CB2C31">
        <w:rPr>
          <w:lang w:val="en-US"/>
        </w:rPr>
        <w:t>These measures are described below.</w:t>
      </w:r>
    </w:p>
    <w:p w14:paraId="1752EB69" w14:textId="77777777" w:rsidR="00C804C1" w:rsidRPr="00CB2C31" w:rsidRDefault="00B328FD" w:rsidP="00623C41">
      <w:pPr>
        <w:pStyle w:val="LegalCombo4"/>
        <w:keepNext/>
      </w:pPr>
      <w:r w:rsidRPr="00CB2C31">
        <w:t>Corporate Governance</w:t>
      </w:r>
    </w:p>
    <w:p w14:paraId="631DDA75" w14:textId="5593598E" w:rsidR="00C804C1" w:rsidRPr="00CB2C31" w:rsidRDefault="00C804C1" w:rsidP="00623C41">
      <w:pPr>
        <w:pStyle w:val="DoublePara"/>
        <w:rPr>
          <w:lang w:val="en-US"/>
        </w:rPr>
      </w:pPr>
      <w:r w:rsidRPr="00CB2C31">
        <w:rPr>
          <w:lang w:val="en-US"/>
        </w:rPr>
        <w:t>The Indian Companies Act imposes a number of restrictions on the composition of the board of directors</w:t>
      </w:r>
      <w:r w:rsidR="00F111D2" w:rsidRPr="00CB2C31">
        <w:rPr>
          <w:lang w:val="en-US"/>
        </w:rPr>
        <w:t xml:space="preserve">.  </w:t>
      </w:r>
      <w:r w:rsidR="00820C13">
        <w:rPr>
          <w:lang w:val="en-US"/>
        </w:rPr>
        <w:t>First,</w:t>
      </w:r>
      <w:r w:rsidRPr="00CB2C31">
        <w:rPr>
          <w:lang w:val="en-US"/>
        </w:rPr>
        <w:t xml:space="preserve"> a minimum of three </w:t>
      </w:r>
      <w:r w:rsidRPr="00CB2C31">
        <w:rPr>
          <w:lang w:val="en-US" w:eastAsia="en-GB"/>
        </w:rPr>
        <w:t>directors</w:t>
      </w:r>
      <w:r w:rsidRPr="00CB2C31">
        <w:rPr>
          <w:lang w:val="en-US"/>
        </w:rPr>
        <w:t xml:space="preserve"> must be appointed to the board in a public company (for a private company, the minimum is two directors unless the company is a </w:t>
      </w:r>
      <w:r w:rsidR="00203E75" w:rsidRPr="00203E75">
        <w:rPr>
          <w:i/>
          <w:lang w:val="en-US"/>
        </w:rPr>
        <w:t>“</w:t>
      </w:r>
      <w:r w:rsidRPr="00CB2C31">
        <w:rPr>
          <w:i/>
          <w:lang w:val="en-US"/>
        </w:rPr>
        <w:t>one person company</w:t>
      </w:r>
      <w:r w:rsidR="00203E75" w:rsidRPr="00203E75">
        <w:rPr>
          <w:i/>
          <w:lang w:val="en-US"/>
        </w:rPr>
        <w:t>”</w:t>
      </w:r>
      <w:r w:rsidRPr="00CB2C31">
        <w:rPr>
          <w:lang w:val="en-US"/>
        </w:rPr>
        <w:t xml:space="preserve"> in which case one director is permitted)</w:t>
      </w:r>
      <w:r w:rsidR="001877C9" w:rsidRPr="00CB2C31">
        <w:rPr>
          <w:lang w:val="en-US"/>
        </w:rPr>
        <w:t xml:space="preserve">.  </w:t>
      </w:r>
      <w:r w:rsidRPr="00CB2C31">
        <w:rPr>
          <w:lang w:val="en-US"/>
        </w:rPr>
        <w:t>The maximum number of directors is 15 although this number can be exceeded if approved by a special resolution of the company</w:t>
      </w:r>
      <w:r w:rsidR="00593F1F">
        <w:rPr>
          <w:lang w:val="en-US"/>
        </w:rPr>
        <w:t>’</w:t>
      </w:r>
      <w:r w:rsidRPr="00CB2C31">
        <w:rPr>
          <w:lang w:val="en-US"/>
        </w:rPr>
        <w:t>s shareholders.</w:t>
      </w:r>
      <w:r w:rsidRPr="00CB2C31">
        <w:rPr>
          <w:rStyle w:val="FootnoteReference"/>
          <w:lang w:val="en-US"/>
        </w:rPr>
        <w:footnoteReference w:id="249"/>
      </w:r>
      <w:r w:rsidR="00E078FD" w:rsidRPr="00CB2C31">
        <w:rPr>
          <w:lang w:val="en-US"/>
        </w:rPr>
        <w:t xml:space="preserve"> </w:t>
      </w:r>
      <w:r w:rsidR="0009628A">
        <w:rPr>
          <w:lang w:val="en-US"/>
        </w:rPr>
        <w:t xml:space="preserve"> </w:t>
      </w:r>
      <w:r w:rsidRPr="00CB2C31">
        <w:rPr>
          <w:lang w:val="en-US"/>
        </w:rPr>
        <w:t xml:space="preserve">Third, although there is no prescribed age </w:t>
      </w:r>
      <w:r w:rsidRPr="00CB2C31">
        <w:rPr>
          <w:lang w:val="en-US" w:eastAsia="en-GB"/>
        </w:rPr>
        <w:t>limit</w:t>
      </w:r>
      <w:r w:rsidRPr="00CB2C31">
        <w:rPr>
          <w:lang w:val="en-US"/>
        </w:rPr>
        <w:t xml:space="preserve"> for a person to be appointed as a director of a company, if a company is appointing a managing director, a manager or a full-time director, that individual must </w:t>
      </w:r>
      <w:r w:rsidR="00D40F49" w:rsidRPr="00CB2C31">
        <w:rPr>
          <w:lang w:val="en-US"/>
        </w:rPr>
        <w:t xml:space="preserve">be </w:t>
      </w:r>
      <w:r w:rsidRPr="00CB2C31">
        <w:rPr>
          <w:lang w:val="en-US"/>
        </w:rPr>
        <w:t>between 21 and 69</w:t>
      </w:r>
      <w:r w:rsidR="00D40F49" w:rsidRPr="00CB2C31">
        <w:rPr>
          <w:lang w:val="en-US"/>
        </w:rPr>
        <w:t xml:space="preserve"> years of age</w:t>
      </w:r>
      <w:r w:rsidR="00F111D2" w:rsidRPr="00CB2C31">
        <w:rPr>
          <w:lang w:val="en-US"/>
        </w:rPr>
        <w:t xml:space="preserve">.  </w:t>
      </w:r>
      <w:r w:rsidRPr="00CB2C31">
        <w:rPr>
          <w:lang w:val="en-US"/>
        </w:rPr>
        <w:t>Again, the appointment of someone over 69</w:t>
      </w:r>
      <w:r w:rsidR="00D40F49" w:rsidRPr="00CB2C31">
        <w:rPr>
          <w:lang w:val="en-US"/>
        </w:rPr>
        <w:t xml:space="preserve"> years of age</w:t>
      </w:r>
      <w:r w:rsidRPr="00CB2C31">
        <w:rPr>
          <w:lang w:val="en-US"/>
        </w:rPr>
        <w:t xml:space="preserve"> is permitted where a special resolution of the company</w:t>
      </w:r>
      <w:r w:rsidR="00593F1F">
        <w:rPr>
          <w:lang w:val="en-US"/>
        </w:rPr>
        <w:t>’</w:t>
      </w:r>
      <w:r w:rsidRPr="00CB2C31">
        <w:rPr>
          <w:lang w:val="en-US"/>
        </w:rPr>
        <w:t>s shareholders has been passed.</w:t>
      </w:r>
      <w:r w:rsidRPr="00CB2C31">
        <w:rPr>
          <w:rStyle w:val="FootnoteReference"/>
          <w:lang w:val="en-US"/>
        </w:rPr>
        <w:footnoteReference w:id="250"/>
      </w:r>
      <w:r w:rsidR="00D40F49" w:rsidRPr="00CB2C31">
        <w:rPr>
          <w:lang w:val="en-US"/>
        </w:rPr>
        <w:t xml:space="preserve"> </w:t>
      </w:r>
      <w:r w:rsidR="0009628A">
        <w:rPr>
          <w:lang w:val="en-US"/>
        </w:rPr>
        <w:t xml:space="preserve"> </w:t>
      </w:r>
      <w:r w:rsidR="00D40F49" w:rsidRPr="00CB2C31">
        <w:rPr>
          <w:lang w:val="en-US"/>
        </w:rPr>
        <w:t>A</w:t>
      </w:r>
      <w:r w:rsidRPr="00CB2C31">
        <w:rPr>
          <w:lang w:val="en-US"/>
        </w:rPr>
        <w:t xml:space="preserve">lthough there are no restrictions </w:t>
      </w:r>
      <w:r w:rsidRPr="00CB2C31">
        <w:rPr>
          <w:lang w:val="en-US" w:eastAsia="en-GB"/>
        </w:rPr>
        <w:t>with</w:t>
      </w:r>
      <w:r w:rsidRPr="00CB2C31">
        <w:rPr>
          <w:lang w:val="en-US"/>
        </w:rPr>
        <w:t xml:space="preserve"> respect to the nationality of a director, the Indian Companies Act </w:t>
      </w:r>
      <w:r w:rsidR="00CC2020" w:rsidRPr="00CB2C31">
        <w:rPr>
          <w:lang w:val="en-US"/>
        </w:rPr>
        <w:t xml:space="preserve">states </w:t>
      </w:r>
      <w:r w:rsidRPr="00CB2C31">
        <w:rPr>
          <w:lang w:val="en-US"/>
        </w:rPr>
        <w:t>that at least one director on the board of every company is a resident director (which means a director who has stayed in India for a period of not less than 182 days in the previous calendar year).</w:t>
      </w:r>
      <w:r w:rsidRPr="00CB2C31">
        <w:rPr>
          <w:rStyle w:val="FootnoteReference"/>
          <w:lang w:val="en-US"/>
        </w:rPr>
        <w:footnoteReference w:id="251"/>
      </w:r>
    </w:p>
    <w:p w14:paraId="0B52A701" w14:textId="77777777" w:rsidR="00C804C1" w:rsidRPr="00CB2C31" w:rsidRDefault="00C804C1" w:rsidP="00623C41">
      <w:pPr>
        <w:pStyle w:val="DoublePara"/>
        <w:rPr>
          <w:lang w:val="en-US"/>
        </w:rPr>
      </w:pPr>
      <w:r w:rsidRPr="00CB2C31">
        <w:rPr>
          <w:lang w:val="en-US"/>
        </w:rPr>
        <w:t>The Indian Companies Act</w:t>
      </w:r>
      <w:r w:rsidR="007F1241" w:rsidRPr="00CB2C31">
        <w:rPr>
          <w:lang w:val="en-US"/>
        </w:rPr>
        <w:t xml:space="preserve"> </w:t>
      </w:r>
      <w:r w:rsidR="00E078FD" w:rsidRPr="00CB2C31">
        <w:rPr>
          <w:lang w:val="en-US"/>
        </w:rPr>
        <w:t xml:space="preserve">also </w:t>
      </w:r>
      <w:r w:rsidRPr="00CB2C31">
        <w:rPr>
          <w:lang w:val="en-US"/>
        </w:rPr>
        <w:t>imposes restrictions on a director</w:t>
      </w:r>
      <w:r w:rsidR="00593F1F">
        <w:rPr>
          <w:lang w:val="en-US"/>
        </w:rPr>
        <w:t>’</w:t>
      </w:r>
      <w:r w:rsidRPr="00CB2C31">
        <w:rPr>
          <w:lang w:val="en-US"/>
        </w:rPr>
        <w:t>s term of appointment: (a) at least two-thirds of the directors of a public company are liable for retirement by rotation; and (b) of these same two-thirds who are liable for retirement, at least one-third of the directors should retire at every annual general meeting of the company</w:t>
      </w:r>
      <w:r w:rsidR="00F111D2" w:rsidRPr="00CB2C31">
        <w:rPr>
          <w:lang w:val="en-US"/>
        </w:rPr>
        <w:t xml:space="preserve">.  </w:t>
      </w:r>
      <w:r w:rsidRPr="00CB2C31">
        <w:rPr>
          <w:lang w:val="en-US"/>
        </w:rPr>
        <w:t>Such retiring directors are eligible for re-appointment.</w:t>
      </w:r>
      <w:r w:rsidRPr="00CB2C31">
        <w:rPr>
          <w:rStyle w:val="FootnoteReference"/>
          <w:lang w:val="en-US"/>
        </w:rPr>
        <w:footnoteReference w:id="252"/>
      </w:r>
      <w:r w:rsidR="00D40F49" w:rsidRPr="00CB2C31">
        <w:rPr>
          <w:lang w:val="en-US"/>
        </w:rPr>
        <w:t xml:space="preserve"> </w:t>
      </w:r>
      <w:r w:rsidR="0009628A">
        <w:rPr>
          <w:lang w:val="en-US"/>
        </w:rPr>
        <w:t xml:space="preserve"> </w:t>
      </w:r>
      <w:r w:rsidRPr="00CB2C31">
        <w:rPr>
          <w:lang w:val="en-US"/>
        </w:rPr>
        <w:t>In addition, re-appointment of a director cannot be made for more than five years at a time.</w:t>
      </w:r>
      <w:r w:rsidRPr="00CB2C31">
        <w:rPr>
          <w:rStyle w:val="FootnoteReference"/>
          <w:lang w:val="en-US"/>
        </w:rPr>
        <w:footnoteReference w:id="253"/>
      </w:r>
      <w:r w:rsidR="0009628A">
        <w:rPr>
          <w:lang w:val="en-US"/>
        </w:rPr>
        <w:t xml:space="preserve"> </w:t>
      </w:r>
      <w:r w:rsidRPr="00CB2C31">
        <w:rPr>
          <w:lang w:val="en-US"/>
        </w:rPr>
        <w:t xml:space="preserve"> Independent directors can hold office for a period of up to five consecutive years and they are eligible for re-appointment for one additional term where a special resolution is passed.</w:t>
      </w:r>
      <w:r w:rsidRPr="00CB2C31">
        <w:rPr>
          <w:rStyle w:val="FootnoteReference"/>
          <w:lang w:val="en-US"/>
        </w:rPr>
        <w:footnoteReference w:id="254"/>
      </w:r>
      <w:r w:rsidRPr="00CB2C31">
        <w:rPr>
          <w:lang w:val="en-US"/>
        </w:rPr>
        <w:t xml:space="preserve"> </w:t>
      </w:r>
      <w:r w:rsidR="0009628A">
        <w:rPr>
          <w:lang w:val="en-US"/>
        </w:rPr>
        <w:t xml:space="preserve"> </w:t>
      </w:r>
      <w:r w:rsidRPr="00CB2C31">
        <w:rPr>
          <w:lang w:val="en-US"/>
        </w:rPr>
        <w:t>An independent director cannot hold office for more than two consecutive terms of five years, but he or she can subsequently be re-appointed in the same company after the end of three years from the date he or she ceases to be an independent director.</w:t>
      </w:r>
      <w:r w:rsidRPr="00CB2C31">
        <w:rPr>
          <w:rStyle w:val="FootnoteReference"/>
          <w:lang w:val="en-US"/>
        </w:rPr>
        <w:footnoteReference w:id="255"/>
      </w:r>
    </w:p>
    <w:p w14:paraId="7CDD856F" w14:textId="77777777" w:rsidR="00E078FD" w:rsidRPr="00CB2C31" w:rsidRDefault="00E078FD" w:rsidP="00623C41">
      <w:pPr>
        <w:pStyle w:val="DoublePara"/>
        <w:rPr>
          <w:lang w:val="en-US"/>
        </w:rPr>
      </w:pPr>
      <w:r w:rsidRPr="00CB2C31">
        <w:rPr>
          <w:lang w:val="en-US"/>
        </w:rPr>
        <w:t>India has introduced certain specific requirements in relation to gender diversity at board level</w:t>
      </w:r>
      <w:r w:rsidR="00F111D2" w:rsidRPr="00CB2C31">
        <w:rPr>
          <w:lang w:val="en-US"/>
        </w:rPr>
        <w:t xml:space="preserve">.  </w:t>
      </w:r>
      <w:r w:rsidRPr="00CB2C31">
        <w:rPr>
          <w:lang w:val="en-US"/>
        </w:rPr>
        <w:t>In August 2013, the Indian Companies Act was amended such that certain companies became required to have at least one woman director.</w:t>
      </w:r>
      <w:r w:rsidRPr="00CB2C31">
        <w:rPr>
          <w:rStyle w:val="FootnoteReference"/>
          <w:lang w:val="en-US"/>
        </w:rPr>
        <w:footnoteReference w:id="256"/>
      </w:r>
      <w:r w:rsidRPr="00CB2C31">
        <w:rPr>
          <w:lang w:val="en-US"/>
        </w:rPr>
        <w:t xml:space="preserve"> </w:t>
      </w:r>
      <w:r w:rsidR="0009628A">
        <w:rPr>
          <w:lang w:val="en-US"/>
        </w:rPr>
        <w:t xml:space="preserve"> </w:t>
      </w:r>
      <w:r w:rsidRPr="00CB2C31">
        <w:rPr>
          <w:lang w:val="en-US"/>
        </w:rPr>
        <w:t>This requirement applies to listed companies, public companies having paid up share capital of more than one billion rupees and public companies having annual turnover of more than three billion rupees.</w:t>
      </w:r>
      <w:r w:rsidRPr="00CB2C31">
        <w:rPr>
          <w:rStyle w:val="FootnoteReference"/>
          <w:lang w:val="en-US"/>
        </w:rPr>
        <w:footnoteReference w:id="257"/>
      </w:r>
      <w:r w:rsidRPr="00CB2C31">
        <w:rPr>
          <w:lang w:val="en-US"/>
        </w:rPr>
        <w:t xml:space="preserve"> </w:t>
      </w:r>
    </w:p>
    <w:p w14:paraId="5954FCBE" w14:textId="768C9978" w:rsidR="00E078FD" w:rsidRPr="00CB2C31" w:rsidRDefault="00E078FD" w:rsidP="00623C41">
      <w:pPr>
        <w:pStyle w:val="DoublePara"/>
        <w:rPr>
          <w:lang w:val="en-US"/>
        </w:rPr>
      </w:pPr>
      <w:r w:rsidRPr="00CB2C31">
        <w:rPr>
          <w:lang w:val="en-US"/>
        </w:rPr>
        <w:t>Similarly, the Securities and Exchange Board of India (</w:t>
      </w:r>
      <w:r w:rsidR="00203E75" w:rsidRPr="00203E75">
        <w:rPr>
          <w:i/>
          <w:lang w:val="en-US"/>
        </w:rPr>
        <w:t>“</w:t>
      </w:r>
      <w:r w:rsidRPr="00CB2C31">
        <w:rPr>
          <w:b/>
          <w:lang w:val="en-US"/>
        </w:rPr>
        <w:t>SEBI</w:t>
      </w:r>
      <w:r w:rsidR="00203E75" w:rsidRPr="00203E75">
        <w:rPr>
          <w:i/>
          <w:lang w:val="en-US"/>
        </w:rPr>
        <w:t>”</w:t>
      </w:r>
      <w:r w:rsidRPr="00CB2C31">
        <w:rPr>
          <w:lang w:val="en-US"/>
        </w:rPr>
        <w:t>), which regulates the securities market, amended the SEBI Listing Obligations and Disclosure Requirements Legislation 2015 to require the boards of all listed companies to appoint at least one woman director to the board.</w:t>
      </w:r>
      <w:r w:rsidRPr="00CB2C31">
        <w:rPr>
          <w:rStyle w:val="FootnoteReference"/>
          <w:lang w:val="en-US"/>
        </w:rPr>
        <w:footnoteReference w:id="258"/>
      </w:r>
      <w:r w:rsidRPr="00CB2C31">
        <w:rPr>
          <w:lang w:val="en-US"/>
        </w:rPr>
        <w:t xml:space="preserve"> </w:t>
      </w:r>
    </w:p>
    <w:p w14:paraId="2C70E3F6" w14:textId="77777777" w:rsidR="00E078FD" w:rsidRPr="00CB2C31" w:rsidRDefault="00E078FD" w:rsidP="00623C41">
      <w:pPr>
        <w:pStyle w:val="DoublePara"/>
        <w:rPr>
          <w:lang w:val="en-US"/>
        </w:rPr>
      </w:pPr>
      <w:r w:rsidRPr="00CB2C31">
        <w:rPr>
          <w:lang w:val="en-US"/>
        </w:rPr>
        <w:t xml:space="preserve">Following the introduction of these mandatory obligations, there have been concerns that female family members have been </w:t>
      </w:r>
      <w:r w:rsidRPr="00CB2C31">
        <w:rPr>
          <w:lang w:val="en-US" w:eastAsia="en-GB"/>
        </w:rPr>
        <w:t>appointed</w:t>
      </w:r>
      <w:r w:rsidRPr="00CB2C31">
        <w:rPr>
          <w:lang w:val="en-US"/>
        </w:rPr>
        <w:t xml:space="preserve"> as directors to satisfy the new requirements, particularly given India has the third highest number of publicly listed family-owned companies.</w:t>
      </w:r>
      <w:r w:rsidRPr="00CB2C31">
        <w:rPr>
          <w:rStyle w:val="FootnoteReference"/>
          <w:lang w:val="en-US"/>
        </w:rPr>
        <w:footnoteReference w:id="259"/>
      </w:r>
      <w:r w:rsidRPr="00CB2C31">
        <w:rPr>
          <w:lang w:val="en-US"/>
        </w:rPr>
        <w:t xml:space="preserve"> </w:t>
      </w:r>
      <w:r w:rsidR="0009628A">
        <w:rPr>
          <w:lang w:val="en-US"/>
        </w:rPr>
        <w:t xml:space="preserve"> </w:t>
      </w:r>
      <w:r w:rsidRPr="00CB2C31">
        <w:rPr>
          <w:lang w:val="en-US"/>
        </w:rPr>
        <w:t>In part to a</w:t>
      </w:r>
      <w:r w:rsidR="00D40F49" w:rsidRPr="00CB2C31">
        <w:rPr>
          <w:lang w:val="en-US"/>
        </w:rPr>
        <w:t>ddress these concerns, SEBI has</w:t>
      </w:r>
      <w:r w:rsidRPr="00CB2C31">
        <w:rPr>
          <w:lang w:val="en-US"/>
        </w:rPr>
        <w:t xml:space="preserve"> made amendments to their listing and disclosure rules so as to require at least one independent woman director on the board of the top 500 listed entities by April 1, 2019 and for the top 1000 listed entities by April 1, 2020 (in each case calculated by market capitalization).</w:t>
      </w:r>
      <w:r w:rsidRPr="00CB2C31">
        <w:rPr>
          <w:rStyle w:val="FootnoteReference"/>
          <w:lang w:val="en-US"/>
        </w:rPr>
        <w:footnoteReference w:id="260"/>
      </w:r>
    </w:p>
    <w:p w14:paraId="01E60D2B" w14:textId="77777777" w:rsidR="00E078FD" w:rsidRPr="00CB2C31" w:rsidRDefault="00E078FD" w:rsidP="00623C41">
      <w:pPr>
        <w:pStyle w:val="DoublePara"/>
        <w:rPr>
          <w:lang w:val="en-US"/>
        </w:rPr>
      </w:pPr>
      <w:r w:rsidRPr="00CB2C31">
        <w:rPr>
          <w:lang w:val="en-US"/>
        </w:rPr>
        <w:t xml:space="preserve">With </w:t>
      </w:r>
      <w:r w:rsidR="00D40F49" w:rsidRPr="00CB2C31">
        <w:rPr>
          <w:lang w:val="en-US"/>
        </w:rPr>
        <w:t>regard to sanctions, a company</w:t>
      </w:r>
      <w:r w:rsidRPr="00CB2C31">
        <w:rPr>
          <w:lang w:val="en-US"/>
        </w:rPr>
        <w:t xml:space="preserve"> (and every officer of that company)</w:t>
      </w:r>
      <w:r w:rsidR="00D40F49" w:rsidRPr="00CB2C31">
        <w:rPr>
          <w:lang w:val="en-US"/>
        </w:rPr>
        <w:t xml:space="preserve"> in default of the provisions</w:t>
      </w:r>
      <w:r w:rsidRPr="00CB2C31">
        <w:rPr>
          <w:lang w:val="en-US"/>
        </w:rPr>
        <w:t xml:space="preserve"> is punishable by fine of between 50,000 rupees and 500,000 rupees.</w:t>
      </w:r>
      <w:r w:rsidRPr="00CB2C31">
        <w:rPr>
          <w:rStyle w:val="FootnoteReference"/>
          <w:lang w:val="en-US"/>
        </w:rPr>
        <w:footnoteReference w:id="261"/>
      </w:r>
      <w:r w:rsidRPr="00CB2C31">
        <w:rPr>
          <w:lang w:val="en-US"/>
        </w:rPr>
        <w:t xml:space="preserve"> </w:t>
      </w:r>
      <w:r w:rsidR="0009628A">
        <w:rPr>
          <w:lang w:val="en-US"/>
        </w:rPr>
        <w:t xml:space="preserve"> </w:t>
      </w:r>
      <w:r w:rsidRPr="00CB2C31">
        <w:rPr>
          <w:lang w:val="en-US"/>
        </w:rPr>
        <w:t>As at December 2017, prosecutions had been filed against 202 non-compliant companies.</w:t>
      </w:r>
      <w:r w:rsidRPr="00CB2C31">
        <w:rPr>
          <w:rStyle w:val="FootnoteReference"/>
          <w:lang w:val="en-US"/>
        </w:rPr>
        <w:footnoteReference w:id="262"/>
      </w:r>
      <w:r w:rsidRPr="00CB2C31">
        <w:rPr>
          <w:lang w:val="en-US"/>
        </w:rPr>
        <w:t xml:space="preserve"> </w:t>
      </w:r>
    </w:p>
    <w:p w14:paraId="7193D1F5" w14:textId="787BE842" w:rsidR="00E078FD" w:rsidRPr="00CB2C31" w:rsidRDefault="00E078FD" w:rsidP="00623C41">
      <w:pPr>
        <w:pStyle w:val="DoublePara"/>
        <w:rPr>
          <w:lang w:val="en-US"/>
        </w:rPr>
      </w:pPr>
      <w:r w:rsidRPr="00CB2C31">
        <w:rPr>
          <w:lang w:val="en-US"/>
        </w:rPr>
        <w:t>In addition to the formal requirements for boards of directors of Indian companies, the Indian Ministry of Corporate Affairs introduced Corporate Social Responsibilit</w:t>
      </w:r>
      <w:r w:rsidR="00D40F49" w:rsidRPr="00CB2C31">
        <w:rPr>
          <w:lang w:val="en-US"/>
        </w:rPr>
        <w:t>y Voluntary Guidelines in 2009</w:t>
      </w:r>
      <w:r w:rsidR="00F111D2" w:rsidRPr="00CB2C31">
        <w:rPr>
          <w:lang w:val="en-US"/>
        </w:rPr>
        <w:t xml:space="preserve">.  </w:t>
      </w:r>
      <w:r w:rsidRPr="00CB2C31">
        <w:rPr>
          <w:lang w:val="en-US"/>
        </w:rPr>
        <w:t>These guidelines have since been incorporated within the Indian Companies Act, which provides that every company having either (a) a net worth of at least 50 billion rupees</w:t>
      </w:r>
      <w:r w:rsidR="00FF59F6">
        <w:rPr>
          <w:lang w:val="en-US"/>
        </w:rPr>
        <w:t>,</w:t>
      </w:r>
      <w:r w:rsidRPr="00CB2C31">
        <w:rPr>
          <w:lang w:val="en-US"/>
        </w:rPr>
        <w:t xml:space="preserve"> (b) a turnover of at least 10 billion rupees or (c) a net profit of at least 50 million rupees, du</w:t>
      </w:r>
      <w:r w:rsidR="00D40F49" w:rsidRPr="00CB2C31">
        <w:rPr>
          <w:lang w:val="en-US"/>
        </w:rPr>
        <w:t>ring any financial year shall create</w:t>
      </w:r>
      <w:r w:rsidRPr="00CB2C31">
        <w:rPr>
          <w:lang w:val="en-US"/>
        </w:rPr>
        <w:t xml:space="preserve"> a corporate social responsibility committee.</w:t>
      </w:r>
      <w:r w:rsidRPr="00CB2C31">
        <w:rPr>
          <w:rStyle w:val="FootnoteReference"/>
          <w:lang w:val="en-US"/>
        </w:rPr>
        <w:footnoteReference w:id="263"/>
      </w:r>
    </w:p>
    <w:p w14:paraId="4EEA8BB5" w14:textId="22F98DE9" w:rsidR="00E078FD" w:rsidRPr="00CB2C31" w:rsidRDefault="00E078FD" w:rsidP="00623C41">
      <w:pPr>
        <w:pStyle w:val="DoublePara"/>
        <w:rPr>
          <w:lang w:val="en-US"/>
        </w:rPr>
      </w:pPr>
      <w:r w:rsidRPr="00CB2C31">
        <w:rPr>
          <w:lang w:val="en-US"/>
        </w:rPr>
        <w:t xml:space="preserve">This committee must comprise three or more directors including at </w:t>
      </w:r>
      <w:r w:rsidR="00D40F49" w:rsidRPr="00CB2C31">
        <w:rPr>
          <w:lang w:val="en-US"/>
        </w:rPr>
        <w:t xml:space="preserve">least one independent director and </w:t>
      </w:r>
      <w:r w:rsidRPr="00CB2C31">
        <w:rPr>
          <w:lang w:val="en-US"/>
        </w:rPr>
        <w:t>is obliged to formulate the company</w:t>
      </w:r>
      <w:r w:rsidR="00593F1F">
        <w:rPr>
          <w:lang w:val="en-US"/>
        </w:rPr>
        <w:t>’</w:t>
      </w:r>
      <w:r w:rsidRPr="00CB2C31">
        <w:rPr>
          <w:lang w:val="en-US"/>
        </w:rPr>
        <w:t xml:space="preserve">s corporate social responsibility policy, including activities </w:t>
      </w:r>
      <w:r w:rsidR="00593F1F">
        <w:rPr>
          <w:lang w:val="en-US"/>
        </w:rPr>
        <w:t>‘</w:t>
      </w:r>
      <w:r w:rsidRPr="00CB2C31">
        <w:rPr>
          <w:lang w:val="en-US"/>
        </w:rPr>
        <w:t>promoting gender equality and empowering women</w:t>
      </w:r>
      <w:r w:rsidR="001816F9">
        <w:rPr>
          <w:lang w:val="en-US"/>
        </w:rPr>
        <w:t>.</w:t>
      </w:r>
      <w:r w:rsidR="00593F1F">
        <w:rPr>
          <w:lang w:val="en-US"/>
        </w:rPr>
        <w:t>’</w:t>
      </w:r>
      <w:r w:rsidRPr="00CB2C31">
        <w:rPr>
          <w:rStyle w:val="FootnoteReference"/>
          <w:lang w:val="en-US"/>
        </w:rPr>
        <w:footnoteReference w:id="264"/>
      </w:r>
    </w:p>
    <w:p w14:paraId="16FE784C" w14:textId="77777777" w:rsidR="006A491A" w:rsidRPr="008C64F9" w:rsidRDefault="00C804C1" w:rsidP="00623C41">
      <w:pPr>
        <w:pStyle w:val="LegalCombo4"/>
        <w:keepNext/>
        <w:rPr>
          <w:b/>
        </w:rPr>
      </w:pPr>
      <w:bookmarkStart w:id="340" w:name="_Toc15027312"/>
      <w:bookmarkStart w:id="341" w:name="_Toc15027703"/>
      <w:bookmarkStart w:id="342" w:name="_Toc15027981"/>
      <w:r w:rsidRPr="008C64F9">
        <w:rPr>
          <w:b/>
        </w:rPr>
        <w:t>Conclusion and Best Practice Analysis</w:t>
      </w:r>
      <w:bookmarkEnd w:id="340"/>
      <w:bookmarkEnd w:id="341"/>
      <w:bookmarkEnd w:id="342"/>
      <w:r w:rsidR="007A4AC7" w:rsidRPr="008C64F9">
        <w:rPr>
          <w:b/>
        </w:rPr>
        <w:t>:</w:t>
      </w:r>
      <w:r w:rsidR="00593F1F" w:rsidRPr="008C64F9">
        <w:rPr>
          <w:b/>
        </w:rPr>
        <w:t xml:space="preserve"> </w:t>
      </w:r>
      <w:r w:rsidR="007A4AC7" w:rsidRPr="008C64F9">
        <w:rPr>
          <w:b/>
        </w:rPr>
        <w:t>India</w:t>
      </w:r>
    </w:p>
    <w:p w14:paraId="3B59B169" w14:textId="15C695FD" w:rsidR="00C804C1" w:rsidRPr="00CB2C31" w:rsidRDefault="003021D9" w:rsidP="00623C41">
      <w:pPr>
        <w:pStyle w:val="DoublePara"/>
        <w:rPr>
          <w:lang w:val="en-US"/>
        </w:rPr>
      </w:pPr>
      <w:r w:rsidRPr="00CB2C31">
        <w:rPr>
          <w:lang w:val="en-US"/>
        </w:rPr>
        <w:t xml:space="preserve">Following the amendments to </w:t>
      </w:r>
      <w:r w:rsidR="007F1241" w:rsidRPr="00CB2C31">
        <w:rPr>
          <w:lang w:val="en-US"/>
        </w:rPr>
        <w:t>the SEBI listing rules</w:t>
      </w:r>
      <w:r w:rsidRPr="00CB2C31">
        <w:rPr>
          <w:lang w:val="en-US"/>
        </w:rPr>
        <w:t xml:space="preserve"> that were implemented to address the concerns that token female family members were being added to board</w:t>
      </w:r>
      <w:r w:rsidR="008252BF" w:rsidRPr="00CB2C31">
        <w:rPr>
          <w:lang w:val="en-US"/>
        </w:rPr>
        <w:t>s</w:t>
      </w:r>
      <w:r w:rsidRPr="00CB2C31">
        <w:rPr>
          <w:lang w:val="en-US"/>
        </w:rPr>
        <w:t xml:space="preserve"> to satisfy the legislative requirements, it seems that India </w:t>
      </w:r>
      <w:r w:rsidR="006A491A" w:rsidRPr="00CB2C31">
        <w:rPr>
          <w:lang w:val="en-US"/>
        </w:rPr>
        <w:t xml:space="preserve">has been </w:t>
      </w:r>
      <w:r w:rsidRPr="00CB2C31">
        <w:rPr>
          <w:lang w:val="en-US"/>
        </w:rPr>
        <w:t xml:space="preserve">somewhat </w:t>
      </w:r>
      <w:r w:rsidR="006A491A" w:rsidRPr="00CB2C31">
        <w:rPr>
          <w:lang w:val="en-US"/>
        </w:rPr>
        <w:t>successful</w:t>
      </w:r>
      <w:r w:rsidRPr="00CB2C31">
        <w:rPr>
          <w:lang w:val="en-US"/>
        </w:rPr>
        <w:t xml:space="preserve"> in improving gender diversity at a board level</w:t>
      </w:r>
      <w:r w:rsidR="008C64F9">
        <w:rPr>
          <w:lang w:val="en-US"/>
        </w:rPr>
        <w:t xml:space="preserve"> through the use of </w:t>
      </w:r>
      <w:r w:rsidR="008C64F9" w:rsidRPr="008C64F9">
        <w:rPr>
          <w:b/>
          <w:lang w:val="en-US"/>
        </w:rPr>
        <w:t>mandatory quotas</w:t>
      </w:r>
      <w:r w:rsidR="00F111D2" w:rsidRPr="00CB2C31">
        <w:rPr>
          <w:lang w:val="en-US"/>
        </w:rPr>
        <w:t xml:space="preserve">.  </w:t>
      </w:r>
      <w:r w:rsidRPr="00CB2C31">
        <w:rPr>
          <w:lang w:val="en-US"/>
        </w:rPr>
        <w:t xml:space="preserve">A </w:t>
      </w:r>
      <w:r w:rsidR="006A491A" w:rsidRPr="00CB2C31">
        <w:rPr>
          <w:lang w:val="en-US"/>
        </w:rPr>
        <w:t>report by Grant Thornton found that the number of women in leadership roles has increased from 14% in 2014 to 20% in 2018.</w:t>
      </w:r>
      <w:r w:rsidR="006A491A" w:rsidRPr="00CB2C31">
        <w:rPr>
          <w:rStyle w:val="FootnoteReference"/>
          <w:lang w:val="en-US"/>
        </w:rPr>
        <w:footnoteReference w:id="265"/>
      </w:r>
      <w:r w:rsidRPr="00CB2C31">
        <w:rPr>
          <w:lang w:val="en-US"/>
        </w:rPr>
        <w:t xml:space="preserve"> </w:t>
      </w:r>
    </w:p>
    <w:p w14:paraId="7AF7CCA7" w14:textId="77777777" w:rsidR="00A27D9C" w:rsidRPr="002E5273" w:rsidRDefault="00A27D9C" w:rsidP="00623C41">
      <w:pPr>
        <w:pStyle w:val="LegalCombo3"/>
        <w:rPr>
          <w:b w:val="0"/>
        </w:rPr>
      </w:pPr>
      <w:bookmarkStart w:id="343" w:name="_Toc15027313"/>
      <w:bookmarkStart w:id="344" w:name="_Toc15027704"/>
      <w:bookmarkStart w:id="345" w:name="_Toc15027982"/>
      <w:bookmarkStart w:id="346" w:name="_Toc16692500"/>
      <w:bookmarkStart w:id="347" w:name="_Toc22905003"/>
      <w:bookmarkStart w:id="348" w:name="_Toc24114402"/>
      <w:r w:rsidRPr="002E5273">
        <w:t>Malaysia</w:t>
      </w:r>
      <w:bookmarkEnd w:id="343"/>
      <w:bookmarkEnd w:id="344"/>
      <w:bookmarkEnd w:id="345"/>
      <w:bookmarkEnd w:id="346"/>
      <w:bookmarkEnd w:id="347"/>
      <w:bookmarkEnd w:id="348"/>
    </w:p>
    <w:p w14:paraId="0F7315C3" w14:textId="77777777" w:rsidR="00A27D9C" w:rsidRPr="00CB2C31" w:rsidRDefault="00A27D9C" w:rsidP="00623C41">
      <w:pPr>
        <w:pStyle w:val="LegalCombo4"/>
        <w:keepNext/>
      </w:pPr>
      <w:bookmarkStart w:id="349" w:name="_Toc15027314"/>
      <w:bookmarkStart w:id="350" w:name="_Toc15027705"/>
      <w:bookmarkStart w:id="351" w:name="_Toc15027983"/>
      <w:r w:rsidRPr="00CB2C31">
        <w:t xml:space="preserve">Introduction </w:t>
      </w:r>
      <w:bookmarkEnd w:id="349"/>
      <w:bookmarkEnd w:id="350"/>
      <w:bookmarkEnd w:id="351"/>
    </w:p>
    <w:p w14:paraId="4D168D51" w14:textId="77777777" w:rsidR="00A27D9C" w:rsidRPr="00CB2C31" w:rsidRDefault="00A27D9C" w:rsidP="00623C41">
      <w:pPr>
        <w:pStyle w:val="DoublePara"/>
        <w:rPr>
          <w:lang w:val="en-US"/>
        </w:rPr>
      </w:pPr>
      <w:r w:rsidRPr="00CB2C31">
        <w:rPr>
          <w:lang w:val="en-US"/>
        </w:rPr>
        <w:t>Malaysia has addressed the challenge of gender diversity on boards of directors of companies in the private sector through legislative and regulatory initiatives</w:t>
      </w:r>
      <w:r w:rsidR="001877C9" w:rsidRPr="00CB2C31">
        <w:rPr>
          <w:lang w:val="en-US"/>
        </w:rPr>
        <w:t xml:space="preserve">.  </w:t>
      </w:r>
      <w:r w:rsidRPr="00CB2C31">
        <w:rPr>
          <w:lang w:val="en-US"/>
        </w:rPr>
        <w:t>The ways in which it does so and an analysis of the progress made so far is set out in the following sections.</w:t>
      </w:r>
    </w:p>
    <w:p w14:paraId="75382E18" w14:textId="77777777" w:rsidR="00A27D9C" w:rsidRPr="00CB2C31" w:rsidRDefault="00B328FD" w:rsidP="00623C41">
      <w:pPr>
        <w:pStyle w:val="LegalCombo4"/>
        <w:keepNext/>
      </w:pPr>
      <w:r w:rsidRPr="00CB2C31">
        <w:t>Corporate Governance</w:t>
      </w:r>
    </w:p>
    <w:p w14:paraId="074D4E7A" w14:textId="7944185E" w:rsidR="00A27D9C" w:rsidRPr="00CB2C31" w:rsidRDefault="00A27D9C" w:rsidP="00623C41">
      <w:pPr>
        <w:pStyle w:val="DoublePara"/>
        <w:rPr>
          <w:lang w:val="en-US"/>
        </w:rPr>
      </w:pPr>
      <w:r w:rsidRPr="00CB2C31">
        <w:rPr>
          <w:lang w:val="en-US"/>
        </w:rPr>
        <w:t xml:space="preserve">Malaysian listed companies adopt a single-tier </w:t>
      </w:r>
      <w:r w:rsidRPr="00CB2C31">
        <w:rPr>
          <w:lang w:val="en-US" w:eastAsia="en-GB"/>
        </w:rPr>
        <w:t>board</w:t>
      </w:r>
      <w:r w:rsidRPr="00CB2C31">
        <w:rPr>
          <w:lang w:val="en-US"/>
        </w:rPr>
        <w:t xml:space="preserve"> system</w:t>
      </w:r>
      <w:r w:rsidR="00F111D2" w:rsidRPr="00CB2C31">
        <w:rPr>
          <w:lang w:val="en-US"/>
        </w:rPr>
        <w:t xml:space="preserve">.  </w:t>
      </w:r>
      <w:r w:rsidRPr="00CB2C31">
        <w:rPr>
          <w:lang w:val="en-US"/>
        </w:rPr>
        <w:t xml:space="preserve">Under the Malaysia Companies Act 2016 (the </w:t>
      </w:r>
      <w:r w:rsidR="00203E75" w:rsidRPr="00203E75">
        <w:rPr>
          <w:i/>
          <w:lang w:val="en-US"/>
        </w:rPr>
        <w:t>“</w:t>
      </w:r>
      <w:r w:rsidRPr="00CB2C31">
        <w:rPr>
          <w:b/>
          <w:lang w:val="en-US"/>
        </w:rPr>
        <w:t>MCA</w:t>
      </w:r>
      <w:r w:rsidR="00203E75" w:rsidRPr="00203E75">
        <w:rPr>
          <w:i/>
          <w:lang w:val="en-US"/>
        </w:rPr>
        <w:t>”</w:t>
      </w:r>
      <w:r w:rsidRPr="00CB2C31">
        <w:rPr>
          <w:lang w:val="en-US"/>
        </w:rPr>
        <w:t>), a person who satisfies each of the following may be appointed as a director: (a) a natural person; who is (b) at least 18 years old</w:t>
      </w:r>
      <w:r w:rsidR="00DA063C" w:rsidRPr="00CB2C31">
        <w:rPr>
          <w:lang w:val="en-US"/>
        </w:rPr>
        <w:t>;</w:t>
      </w:r>
      <w:r w:rsidRPr="00CB2C31">
        <w:rPr>
          <w:rStyle w:val="FootnoteReference"/>
          <w:lang w:val="en-US"/>
        </w:rPr>
        <w:footnoteReference w:id="266"/>
      </w:r>
      <w:r w:rsidRPr="00CB2C31">
        <w:rPr>
          <w:lang w:val="en-US"/>
        </w:rPr>
        <w:t xml:space="preserve"> and (c) not an undischarged bankrupt; and (d) not convicted of any </w:t>
      </w:r>
      <w:r w:rsidR="00316F9D" w:rsidRPr="00CB2C31">
        <w:rPr>
          <w:lang w:val="en-US"/>
        </w:rPr>
        <w:t>offen</w:t>
      </w:r>
      <w:r w:rsidR="00316F9D">
        <w:rPr>
          <w:lang w:val="en-US"/>
        </w:rPr>
        <w:t>s</w:t>
      </w:r>
      <w:r w:rsidR="00316F9D" w:rsidRPr="00CB2C31">
        <w:rPr>
          <w:lang w:val="en-US"/>
        </w:rPr>
        <w:t xml:space="preserve">e </w:t>
      </w:r>
      <w:r w:rsidRPr="00CB2C31">
        <w:rPr>
          <w:lang w:val="en-US"/>
        </w:rPr>
        <w:t xml:space="preserve">relating to </w:t>
      </w:r>
      <w:r w:rsidR="00EE6C4A" w:rsidRPr="00CB2C31">
        <w:rPr>
          <w:lang w:val="en-US"/>
        </w:rPr>
        <w:t xml:space="preserve">bribery, </w:t>
      </w:r>
      <w:r w:rsidRPr="00CB2C31">
        <w:rPr>
          <w:lang w:val="en-US"/>
        </w:rPr>
        <w:t xml:space="preserve">fraud or dishonesty punishable on conviction by imprisonment with three months or more; and (e) not convicted of any </w:t>
      </w:r>
      <w:r w:rsidR="00316F9D" w:rsidRPr="00CB2C31">
        <w:rPr>
          <w:lang w:val="en-US"/>
        </w:rPr>
        <w:t>offen</w:t>
      </w:r>
      <w:r w:rsidR="00316F9D">
        <w:rPr>
          <w:lang w:val="en-US"/>
        </w:rPr>
        <w:t>s</w:t>
      </w:r>
      <w:r w:rsidR="00316F9D" w:rsidRPr="00CB2C31">
        <w:rPr>
          <w:lang w:val="en-US"/>
        </w:rPr>
        <w:t xml:space="preserve">e </w:t>
      </w:r>
      <w:r w:rsidRPr="00CB2C31">
        <w:rPr>
          <w:lang w:val="en-US"/>
        </w:rPr>
        <w:t xml:space="preserve">in relation to the promotion, formation or management of a corporation; and (f) not convicted of any </w:t>
      </w:r>
      <w:r w:rsidR="00316F9D" w:rsidRPr="00CB2C31">
        <w:rPr>
          <w:lang w:val="en-US"/>
        </w:rPr>
        <w:t>offen</w:t>
      </w:r>
      <w:r w:rsidR="00316F9D">
        <w:rPr>
          <w:lang w:val="en-US"/>
        </w:rPr>
        <w:t>s</w:t>
      </w:r>
      <w:r w:rsidR="00316F9D" w:rsidRPr="00CB2C31">
        <w:rPr>
          <w:lang w:val="en-US"/>
        </w:rPr>
        <w:t xml:space="preserve">e </w:t>
      </w:r>
      <w:r w:rsidRPr="00CB2C31">
        <w:rPr>
          <w:lang w:val="en-US"/>
        </w:rPr>
        <w:t>in relation to improper use of company assets, position and corporate opportunity or competing with the company.</w:t>
      </w:r>
      <w:r w:rsidRPr="00CB2C31">
        <w:rPr>
          <w:rStyle w:val="FootnoteReference"/>
          <w:lang w:val="en-US"/>
        </w:rPr>
        <w:footnoteReference w:id="267"/>
      </w:r>
    </w:p>
    <w:p w14:paraId="3BC84642" w14:textId="77777777" w:rsidR="00A27D9C" w:rsidRPr="00CB2C31" w:rsidRDefault="00A27D9C" w:rsidP="00623C41">
      <w:pPr>
        <w:pStyle w:val="DoublePara"/>
        <w:rPr>
          <w:lang w:val="en-US"/>
        </w:rPr>
      </w:pPr>
      <w:r w:rsidRPr="00CB2C31">
        <w:rPr>
          <w:lang w:val="en-US"/>
        </w:rPr>
        <w:t xml:space="preserve">The MCA requires that private companies have a minimum of one director and that public companies </w:t>
      </w:r>
      <w:r w:rsidR="005E18C4" w:rsidRPr="00CB2C31">
        <w:rPr>
          <w:lang w:val="en-US"/>
        </w:rPr>
        <w:t xml:space="preserve">have </w:t>
      </w:r>
      <w:r w:rsidRPr="00CB2C31">
        <w:rPr>
          <w:lang w:val="en-US"/>
        </w:rPr>
        <w:t>a minimum of two directors</w:t>
      </w:r>
      <w:r w:rsidR="00632405" w:rsidRPr="00CB2C31">
        <w:rPr>
          <w:lang w:val="en-US"/>
        </w:rPr>
        <w:t xml:space="preserve"> unless otherwise provided in the constitution of the company</w:t>
      </w:r>
      <w:r w:rsidRPr="00CB2C31">
        <w:rPr>
          <w:lang w:val="en-US"/>
        </w:rPr>
        <w:t>.</w:t>
      </w:r>
      <w:r w:rsidRPr="00CB2C31">
        <w:rPr>
          <w:rStyle w:val="FootnoteReference"/>
          <w:lang w:val="en-US"/>
        </w:rPr>
        <w:footnoteReference w:id="268"/>
      </w:r>
      <w:r w:rsidRPr="00CB2C31">
        <w:rPr>
          <w:lang w:val="en-US"/>
        </w:rPr>
        <w:t xml:space="preserve"> </w:t>
      </w:r>
      <w:r w:rsidR="0009628A">
        <w:rPr>
          <w:lang w:val="en-US"/>
        </w:rPr>
        <w:t xml:space="preserve"> </w:t>
      </w:r>
      <w:r w:rsidRPr="00CB2C31">
        <w:rPr>
          <w:lang w:val="en-US"/>
        </w:rPr>
        <w:t xml:space="preserve">The minimum number of directors in a company must have their principal place of residence in </w:t>
      </w:r>
      <w:r w:rsidRPr="00CB2C31">
        <w:rPr>
          <w:lang w:val="en-US" w:eastAsia="en-GB"/>
        </w:rPr>
        <w:t>Malaysia</w:t>
      </w:r>
      <w:r w:rsidRPr="00CB2C31">
        <w:rPr>
          <w:lang w:val="en-US"/>
        </w:rPr>
        <w:t>.</w:t>
      </w:r>
      <w:r w:rsidRPr="00CB2C31">
        <w:rPr>
          <w:rStyle w:val="FootnoteReference"/>
          <w:lang w:val="en-US"/>
        </w:rPr>
        <w:footnoteReference w:id="269"/>
      </w:r>
      <w:r w:rsidRPr="00CB2C31">
        <w:rPr>
          <w:lang w:val="en-US"/>
        </w:rPr>
        <w:t xml:space="preserve"> </w:t>
      </w:r>
      <w:r w:rsidR="0009628A">
        <w:rPr>
          <w:lang w:val="en-US"/>
        </w:rPr>
        <w:t xml:space="preserve"> </w:t>
      </w:r>
      <w:r w:rsidRPr="00CB2C31">
        <w:rPr>
          <w:lang w:val="en-US"/>
        </w:rPr>
        <w:t>A director of a company may not resign or vacate his or her position if, by virtue of this vacancy, the number of directors in the company falls below the minimum number.</w:t>
      </w:r>
      <w:r w:rsidRPr="00CB2C31">
        <w:rPr>
          <w:rStyle w:val="FootnoteReference"/>
          <w:lang w:val="en-US"/>
        </w:rPr>
        <w:footnoteReference w:id="270"/>
      </w:r>
      <w:r w:rsidR="009A19EF" w:rsidRPr="00CB2C31">
        <w:rPr>
          <w:lang w:val="en-US"/>
        </w:rPr>
        <w:t xml:space="preserve"> </w:t>
      </w:r>
    </w:p>
    <w:p w14:paraId="0D3C24B3" w14:textId="2B24D830" w:rsidR="002D31F5" w:rsidRPr="00CB2C31" w:rsidRDefault="00A27D9C" w:rsidP="00623C41">
      <w:pPr>
        <w:pStyle w:val="DoublePara"/>
        <w:rPr>
          <w:lang w:val="en-US"/>
        </w:rPr>
      </w:pPr>
      <w:r w:rsidRPr="00CB2C31">
        <w:rPr>
          <w:lang w:val="en-US"/>
        </w:rPr>
        <w:t xml:space="preserve">The Bursa Malaysia Listing Requirements (the </w:t>
      </w:r>
      <w:r w:rsidR="00203E75" w:rsidRPr="00203E75">
        <w:rPr>
          <w:i/>
          <w:lang w:val="en-US"/>
        </w:rPr>
        <w:t>“</w:t>
      </w:r>
      <w:r w:rsidRPr="00CB2C31">
        <w:rPr>
          <w:b/>
          <w:lang w:val="en-US"/>
        </w:rPr>
        <w:t>Listing Requirements</w:t>
      </w:r>
      <w:r w:rsidR="00203E75" w:rsidRPr="00203E75">
        <w:rPr>
          <w:i/>
          <w:lang w:val="en-US"/>
        </w:rPr>
        <w:t>”</w:t>
      </w:r>
      <w:r w:rsidRPr="00CB2C31">
        <w:rPr>
          <w:lang w:val="en-US"/>
        </w:rPr>
        <w:t>)</w:t>
      </w:r>
      <w:r w:rsidRPr="00CB2C31">
        <w:rPr>
          <w:b/>
          <w:lang w:val="en-US"/>
        </w:rPr>
        <w:t xml:space="preserve"> </w:t>
      </w:r>
      <w:r w:rsidRPr="00CB2C31">
        <w:rPr>
          <w:lang w:val="en-US"/>
        </w:rPr>
        <w:t>provide that public listed companies must ensure that their board comprises at least two independent directors or</w:t>
      </w:r>
      <w:r w:rsidR="005E18C4" w:rsidRPr="00CB2C31">
        <w:rPr>
          <w:lang w:val="en-US"/>
        </w:rPr>
        <w:t xml:space="preserve"> independent directors represent</w:t>
      </w:r>
      <w:r w:rsidR="001C3DD2" w:rsidRPr="00CB2C31">
        <w:rPr>
          <w:lang w:val="en-US"/>
        </w:rPr>
        <w:t>ing</w:t>
      </w:r>
      <w:r w:rsidR="005E18C4" w:rsidRPr="00CB2C31">
        <w:rPr>
          <w:lang w:val="en-US"/>
        </w:rPr>
        <w:t xml:space="preserve"> at least</w:t>
      </w:r>
      <w:r w:rsidRPr="00CB2C31">
        <w:rPr>
          <w:lang w:val="en-US"/>
        </w:rPr>
        <w:t xml:space="preserve"> one-third of its board, whichever is higher.</w:t>
      </w:r>
      <w:bookmarkStart w:id="352" w:name="_Ref16185676"/>
      <w:r w:rsidRPr="00CB2C31">
        <w:rPr>
          <w:rStyle w:val="FootnoteReference"/>
          <w:lang w:val="en-US"/>
        </w:rPr>
        <w:footnoteReference w:id="271"/>
      </w:r>
      <w:bookmarkEnd w:id="352"/>
      <w:r w:rsidRPr="00CB2C31">
        <w:rPr>
          <w:lang w:val="en-US"/>
        </w:rPr>
        <w:t xml:space="preserve"> </w:t>
      </w:r>
      <w:r w:rsidR="0009628A">
        <w:rPr>
          <w:lang w:val="en-US"/>
        </w:rPr>
        <w:t xml:space="preserve"> </w:t>
      </w:r>
      <w:r w:rsidRPr="00CB2C31">
        <w:rPr>
          <w:lang w:val="en-US" w:eastAsia="en-GB"/>
        </w:rPr>
        <w:t>Financial</w:t>
      </w:r>
      <w:r w:rsidRPr="00CB2C31">
        <w:rPr>
          <w:lang w:val="en-US"/>
        </w:rPr>
        <w:t xml:space="preserve"> institutions are required to have a board consisting of a majority of independent directors at all times.</w:t>
      </w:r>
      <w:r w:rsidRPr="00CB2C31">
        <w:rPr>
          <w:rStyle w:val="FootnoteReference"/>
          <w:lang w:val="en-US"/>
        </w:rPr>
        <w:footnoteReference w:id="272"/>
      </w:r>
      <w:r w:rsidRPr="00CB2C31">
        <w:rPr>
          <w:lang w:val="en-US"/>
        </w:rPr>
        <w:t xml:space="preserve"> </w:t>
      </w:r>
      <w:r w:rsidR="0009628A">
        <w:rPr>
          <w:lang w:val="en-US"/>
        </w:rPr>
        <w:t xml:space="preserve"> </w:t>
      </w:r>
      <w:r w:rsidR="00632405" w:rsidRPr="00CB2C31">
        <w:rPr>
          <w:lang w:val="en-US"/>
        </w:rPr>
        <w:t xml:space="preserve">An </w:t>
      </w:r>
      <w:r w:rsidR="00593F1F">
        <w:rPr>
          <w:lang w:val="en-US"/>
        </w:rPr>
        <w:t>‘</w:t>
      </w:r>
      <w:r w:rsidR="00632405" w:rsidRPr="00CB2C31">
        <w:rPr>
          <w:lang w:val="en-US"/>
        </w:rPr>
        <w:t>i</w:t>
      </w:r>
      <w:r w:rsidRPr="00CB2C31">
        <w:rPr>
          <w:lang w:val="en-US"/>
        </w:rPr>
        <w:t>ndependent director</w:t>
      </w:r>
      <w:r w:rsidR="00593F1F">
        <w:rPr>
          <w:lang w:val="en-US"/>
        </w:rPr>
        <w:t>’</w:t>
      </w:r>
      <w:r w:rsidRPr="00CB2C31">
        <w:rPr>
          <w:lang w:val="en-US"/>
        </w:rPr>
        <w:t xml:space="preserve"> is defined in the Listing Requirements as a director who is independent of management and free from any business or other relationship that could interfere with the exercise of independent judgement or the ability to act in the best interests of the listed company.</w:t>
      </w:r>
      <w:r w:rsidRPr="00CB2C31">
        <w:rPr>
          <w:rStyle w:val="FootnoteReference"/>
          <w:lang w:val="en-US"/>
        </w:rPr>
        <w:footnoteReference w:id="273"/>
      </w:r>
      <w:r w:rsidR="002D31F5" w:rsidRPr="00CB2C31">
        <w:rPr>
          <w:lang w:val="en-US"/>
        </w:rPr>
        <w:t xml:space="preserve"> </w:t>
      </w:r>
      <w:r w:rsidR="0009628A">
        <w:rPr>
          <w:lang w:val="en-US"/>
        </w:rPr>
        <w:t xml:space="preserve"> </w:t>
      </w:r>
      <w:r w:rsidRPr="00CB2C31">
        <w:rPr>
          <w:lang w:val="en-US"/>
        </w:rPr>
        <w:t xml:space="preserve">The Malaysia Code of Corporate Governance (the </w:t>
      </w:r>
      <w:r w:rsidR="00203E75" w:rsidRPr="00203E75">
        <w:rPr>
          <w:i/>
          <w:lang w:val="en-US"/>
        </w:rPr>
        <w:t>“</w:t>
      </w:r>
      <w:r w:rsidRPr="00CB2C31">
        <w:rPr>
          <w:b/>
          <w:lang w:val="en-US"/>
        </w:rPr>
        <w:t>MCCG</w:t>
      </w:r>
      <w:r w:rsidR="00203E75" w:rsidRPr="00203E75">
        <w:rPr>
          <w:i/>
          <w:lang w:val="en-US"/>
        </w:rPr>
        <w:t>”</w:t>
      </w:r>
      <w:r w:rsidRPr="00CB2C31">
        <w:rPr>
          <w:lang w:val="en-US"/>
        </w:rPr>
        <w:t>) further recommends that at least half of a board of directors should consist of independent directors and, in respect of large companies, the majority of the board should consist of independent directors.</w:t>
      </w:r>
      <w:r w:rsidRPr="00CB2C31">
        <w:rPr>
          <w:rStyle w:val="FootnoteReference"/>
          <w:lang w:val="en-US"/>
        </w:rPr>
        <w:footnoteReference w:id="274"/>
      </w:r>
      <w:r w:rsidR="002D31F5" w:rsidRPr="00CB2C31">
        <w:rPr>
          <w:lang w:val="en-US"/>
        </w:rPr>
        <w:t xml:space="preserve"> </w:t>
      </w:r>
    </w:p>
    <w:p w14:paraId="5758AEE2" w14:textId="77777777" w:rsidR="001C3DD2" w:rsidRPr="00CB2C31" w:rsidRDefault="00632405" w:rsidP="00623C41">
      <w:pPr>
        <w:pStyle w:val="DoublePara"/>
        <w:rPr>
          <w:lang w:val="en-US"/>
        </w:rPr>
      </w:pPr>
      <w:r w:rsidRPr="00CB2C31">
        <w:rPr>
          <w:lang w:val="en-US"/>
        </w:rPr>
        <w:t>The</w:t>
      </w:r>
      <w:r w:rsidR="00A27D9C" w:rsidRPr="00CB2C31">
        <w:rPr>
          <w:lang w:val="en-US"/>
        </w:rPr>
        <w:t xml:space="preserve"> MCCG </w:t>
      </w:r>
      <w:r w:rsidRPr="00CB2C31">
        <w:rPr>
          <w:lang w:val="en-US"/>
        </w:rPr>
        <w:t>sets forth</w:t>
      </w:r>
      <w:r w:rsidR="00A27D9C" w:rsidRPr="00CB2C31">
        <w:rPr>
          <w:lang w:val="en-US"/>
        </w:rPr>
        <w:t xml:space="preserve"> practices and guidelines </w:t>
      </w:r>
      <w:r w:rsidRPr="00CB2C31">
        <w:rPr>
          <w:lang w:val="en-US"/>
        </w:rPr>
        <w:t xml:space="preserve">that adopt </w:t>
      </w:r>
      <w:r w:rsidR="00A27D9C" w:rsidRPr="00CB2C31">
        <w:rPr>
          <w:lang w:val="en-US"/>
        </w:rPr>
        <w:t xml:space="preserve">a </w:t>
      </w:r>
      <w:r w:rsidR="00593F1F">
        <w:rPr>
          <w:lang w:val="en-US"/>
        </w:rPr>
        <w:t>‘</w:t>
      </w:r>
      <w:r w:rsidRPr="00CB2C31">
        <w:rPr>
          <w:lang w:val="en-US"/>
        </w:rPr>
        <w:t>comply or explain</w:t>
      </w:r>
      <w:r w:rsidR="00593F1F">
        <w:rPr>
          <w:lang w:val="en-US"/>
        </w:rPr>
        <w:t>’</w:t>
      </w:r>
      <w:r w:rsidR="00A27D9C" w:rsidRPr="00CB2C31">
        <w:rPr>
          <w:lang w:val="en-US"/>
        </w:rPr>
        <w:t xml:space="preserve"> approach</w:t>
      </w:r>
      <w:r w:rsidR="00F111D2" w:rsidRPr="00CB2C31">
        <w:rPr>
          <w:lang w:val="en-US"/>
        </w:rPr>
        <w:t xml:space="preserve">.  </w:t>
      </w:r>
      <w:r w:rsidRPr="00CB2C31">
        <w:rPr>
          <w:lang w:val="en-US"/>
        </w:rPr>
        <w:t>Li</w:t>
      </w:r>
      <w:r w:rsidR="00A27D9C" w:rsidRPr="00CB2C31">
        <w:rPr>
          <w:lang w:val="en-US"/>
        </w:rPr>
        <w:t xml:space="preserve">sted companies are required to </w:t>
      </w:r>
      <w:r w:rsidR="00A27D9C" w:rsidRPr="00CB2C31">
        <w:rPr>
          <w:lang w:val="en-US" w:eastAsia="en-GB"/>
        </w:rPr>
        <w:t>disclose</w:t>
      </w:r>
      <w:r w:rsidR="00A27D9C" w:rsidRPr="00CB2C31">
        <w:rPr>
          <w:lang w:val="en-US"/>
        </w:rPr>
        <w:t xml:space="preserve"> in their annua</w:t>
      </w:r>
      <w:r w:rsidRPr="00CB2C31">
        <w:rPr>
          <w:lang w:val="en-US"/>
        </w:rPr>
        <w:t>l report how they have complied,</w:t>
      </w:r>
      <w:r w:rsidR="00A27D9C" w:rsidRPr="00CB2C31">
        <w:rPr>
          <w:lang w:val="en-US"/>
        </w:rPr>
        <w:t xml:space="preserve"> or in the event of a departure from a </w:t>
      </w:r>
      <w:r w:rsidRPr="00CB2C31">
        <w:rPr>
          <w:lang w:val="en-US"/>
        </w:rPr>
        <w:t xml:space="preserve">MCCG recommended </w:t>
      </w:r>
      <w:r w:rsidR="00A27D9C" w:rsidRPr="00CB2C31">
        <w:rPr>
          <w:lang w:val="en-US"/>
        </w:rPr>
        <w:t>practice, the company must provide an explanation for the departure and disclose the alternative practice and how th</w:t>
      </w:r>
      <w:r w:rsidRPr="00CB2C31">
        <w:rPr>
          <w:lang w:val="en-US"/>
        </w:rPr>
        <w:t>e application of that</w:t>
      </w:r>
      <w:r w:rsidR="00A27D9C" w:rsidRPr="00CB2C31">
        <w:rPr>
          <w:lang w:val="en-US"/>
        </w:rPr>
        <w:t xml:space="preserve"> practice achieves the intended outcome.</w:t>
      </w:r>
      <w:r w:rsidR="00A27D9C" w:rsidRPr="00CB2C31">
        <w:rPr>
          <w:rStyle w:val="FootnoteReference"/>
          <w:lang w:val="en-US"/>
        </w:rPr>
        <w:footnoteReference w:id="275"/>
      </w:r>
    </w:p>
    <w:p w14:paraId="0039F55D" w14:textId="1C37BB0D" w:rsidR="001C3DD2" w:rsidRPr="00CB2C31" w:rsidRDefault="001C3DD2" w:rsidP="00623C41">
      <w:pPr>
        <w:pStyle w:val="DoublePara"/>
        <w:rPr>
          <w:lang w:val="en-US"/>
        </w:rPr>
      </w:pPr>
      <w:r w:rsidRPr="00CB2C31">
        <w:rPr>
          <w:lang w:val="en-US"/>
        </w:rPr>
        <w:t>In 2011, the Malaysian cabinet issued a policy to reduce gender imbalance on the boards of publicly listed companies under the Tenth Malaysia Plan (2011-2015).</w:t>
      </w:r>
      <w:r w:rsidRPr="00CB2C31">
        <w:rPr>
          <w:rStyle w:val="FootnoteReference"/>
          <w:lang w:val="en-US"/>
        </w:rPr>
        <w:footnoteReference w:id="276"/>
      </w:r>
      <w:r w:rsidRPr="00CB2C31">
        <w:rPr>
          <w:lang w:val="en-US"/>
        </w:rPr>
        <w:t xml:space="preserve"> </w:t>
      </w:r>
      <w:r w:rsidR="0009628A">
        <w:rPr>
          <w:lang w:val="en-US"/>
        </w:rPr>
        <w:t xml:space="preserve"> </w:t>
      </w:r>
      <w:r w:rsidRPr="00CB2C31">
        <w:rPr>
          <w:lang w:val="en-US"/>
        </w:rPr>
        <w:t xml:space="preserve">One key aim of the Tenth Malaysia Plan was to have at least 30% of women in </w:t>
      </w:r>
      <w:r w:rsidR="00203E75" w:rsidRPr="00203E75">
        <w:rPr>
          <w:i/>
          <w:lang w:val="en-US"/>
        </w:rPr>
        <w:t>“</w:t>
      </w:r>
      <w:r w:rsidRPr="00CB2C31">
        <w:rPr>
          <w:i/>
          <w:lang w:val="en-US"/>
        </w:rPr>
        <w:t>decision-making roles</w:t>
      </w:r>
      <w:r w:rsidR="00203E75" w:rsidRPr="00203E75">
        <w:rPr>
          <w:i/>
          <w:lang w:val="en-US"/>
        </w:rPr>
        <w:t>”</w:t>
      </w:r>
      <w:r w:rsidRPr="00CB2C31">
        <w:rPr>
          <w:lang w:val="en-US"/>
        </w:rPr>
        <w:t xml:space="preserve"> by 2015.</w:t>
      </w:r>
      <w:r w:rsidRPr="00CB2C31">
        <w:rPr>
          <w:rStyle w:val="FootnoteReference"/>
          <w:lang w:val="en-US"/>
        </w:rPr>
        <w:footnoteReference w:id="277"/>
      </w:r>
      <w:r w:rsidRPr="00CB2C31">
        <w:rPr>
          <w:lang w:val="en-US"/>
        </w:rPr>
        <w:t xml:space="preserve"> </w:t>
      </w:r>
      <w:r w:rsidR="0009628A">
        <w:rPr>
          <w:lang w:val="en-US"/>
        </w:rPr>
        <w:t xml:space="preserve"> </w:t>
      </w:r>
      <w:r w:rsidRPr="00CB2C31">
        <w:rPr>
          <w:lang w:val="en-US"/>
        </w:rPr>
        <w:t>Although that target was not attained by 2015, Malaysia continues to seek to meet the 30% threshold by 2020.</w:t>
      </w:r>
      <w:r w:rsidRPr="00CB2C31">
        <w:rPr>
          <w:rStyle w:val="FootnoteReference"/>
          <w:lang w:val="en-US"/>
        </w:rPr>
        <w:footnoteReference w:id="278"/>
      </w:r>
      <w:r w:rsidRPr="00CB2C31">
        <w:rPr>
          <w:lang w:val="en-US"/>
        </w:rPr>
        <w:t xml:space="preserve"> </w:t>
      </w:r>
    </w:p>
    <w:p w14:paraId="4A869B6B" w14:textId="0473C5D8" w:rsidR="00A27D9C" w:rsidRPr="00CB2C31" w:rsidRDefault="00A27D9C" w:rsidP="00623C41">
      <w:pPr>
        <w:pStyle w:val="DoublePara"/>
        <w:rPr>
          <w:lang w:val="en-US"/>
        </w:rPr>
      </w:pPr>
      <w:r w:rsidRPr="00CB2C31">
        <w:rPr>
          <w:lang w:val="en-US"/>
        </w:rPr>
        <w:t>The latest version of the MCCG (from 2017) contains a number of provisions relevant to Malaysia</w:t>
      </w:r>
      <w:r w:rsidR="00593F1F">
        <w:rPr>
          <w:lang w:val="en-US"/>
        </w:rPr>
        <w:t>’</w:t>
      </w:r>
      <w:r w:rsidRPr="00CB2C31">
        <w:rPr>
          <w:lang w:val="en-US"/>
        </w:rPr>
        <w:t xml:space="preserve">s target to have at least 30% of women in </w:t>
      </w:r>
      <w:r w:rsidR="00203E75" w:rsidRPr="00203E75">
        <w:rPr>
          <w:i/>
          <w:lang w:val="en-US"/>
        </w:rPr>
        <w:t>“</w:t>
      </w:r>
      <w:r w:rsidRPr="00CB2C31">
        <w:rPr>
          <w:i/>
          <w:lang w:val="en-US"/>
        </w:rPr>
        <w:t>decision-making roles</w:t>
      </w:r>
      <w:r w:rsidR="007276F8">
        <w:rPr>
          <w:lang w:val="en-US"/>
        </w:rPr>
        <w:t>.</w:t>
      </w:r>
      <w:r w:rsidR="00203E75" w:rsidRPr="00203E75">
        <w:rPr>
          <w:i/>
          <w:lang w:val="en-US"/>
        </w:rPr>
        <w:t>”</w:t>
      </w:r>
      <w:r w:rsidR="00F111D2" w:rsidRPr="00CB2C31">
        <w:rPr>
          <w:lang w:val="en-US"/>
        </w:rPr>
        <w:t xml:space="preserve">  </w:t>
      </w:r>
      <w:r w:rsidRPr="00CB2C31">
        <w:rPr>
          <w:lang w:val="en-US"/>
        </w:rPr>
        <w:t xml:space="preserve">These include an obligation on so-called Large </w:t>
      </w:r>
      <w:r w:rsidRPr="00CB2C31">
        <w:rPr>
          <w:lang w:val="en-US" w:eastAsia="en-GB"/>
        </w:rPr>
        <w:t>Companies</w:t>
      </w:r>
      <w:r w:rsidRPr="00CB2C31">
        <w:rPr>
          <w:lang w:val="en-US"/>
        </w:rPr>
        <w:t xml:space="preserve"> (defined as companies on the FTSE Bursa Malaysia Top 100 Index or companies with market </w:t>
      </w:r>
      <w:r w:rsidR="00236E78" w:rsidRPr="00CB2C31">
        <w:rPr>
          <w:lang w:val="en-US"/>
        </w:rPr>
        <w:t>capitalization</w:t>
      </w:r>
      <w:r w:rsidRPr="00CB2C31">
        <w:rPr>
          <w:lang w:val="en-US"/>
        </w:rPr>
        <w:t xml:space="preserve"> of two billion Malaysian ringgit and above</w:t>
      </w:r>
      <w:r w:rsidRPr="00CB2C31">
        <w:rPr>
          <w:rStyle w:val="FootnoteReference"/>
          <w:lang w:val="en-US"/>
        </w:rPr>
        <w:footnoteReference w:id="279"/>
      </w:r>
      <w:r w:rsidRPr="00CB2C31">
        <w:rPr>
          <w:lang w:val="en-US"/>
        </w:rPr>
        <w:t xml:space="preserve">) to ensure that their boards have at least 30% </w:t>
      </w:r>
      <w:r w:rsidR="005E18C4" w:rsidRPr="00CB2C31">
        <w:rPr>
          <w:lang w:val="en-US"/>
        </w:rPr>
        <w:t xml:space="preserve">of </w:t>
      </w:r>
      <w:r w:rsidRPr="00CB2C31">
        <w:rPr>
          <w:lang w:val="en-US"/>
        </w:rPr>
        <w:t>women directors</w:t>
      </w:r>
      <w:r w:rsidR="0097685E" w:rsidRPr="00CB2C31">
        <w:rPr>
          <w:lang w:val="en-US"/>
        </w:rPr>
        <w:t xml:space="preserve">. </w:t>
      </w:r>
      <w:r w:rsidR="00632405" w:rsidRPr="00CB2C31">
        <w:rPr>
          <w:lang w:val="en-US"/>
        </w:rPr>
        <w:t xml:space="preserve"> </w:t>
      </w:r>
      <w:r w:rsidRPr="00CB2C31">
        <w:rPr>
          <w:lang w:val="en-US"/>
        </w:rPr>
        <w:t>In relation to other companies, there is a provision calling on the board of directors to disclose in its annual report the company</w:t>
      </w:r>
      <w:r w:rsidR="00593F1F">
        <w:rPr>
          <w:lang w:val="en-US"/>
        </w:rPr>
        <w:t>’</w:t>
      </w:r>
      <w:r w:rsidRPr="00CB2C31">
        <w:rPr>
          <w:lang w:val="en-US"/>
        </w:rPr>
        <w:t xml:space="preserve">s </w:t>
      </w:r>
      <w:r w:rsidRPr="00CB2C31">
        <w:rPr>
          <w:lang w:val="en-US" w:eastAsia="en-GB"/>
        </w:rPr>
        <w:t>policies</w:t>
      </w:r>
      <w:r w:rsidRPr="00CB2C31">
        <w:rPr>
          <w:lang w:val="en-US"/>
        </w:rPr>
        <w:t xml:space="preserve"> on gender diversity, its targets and measures to meet those targets.</w:t>
      </w:r>
      <w:r w:rsidRPr="00CB2C31">
        <w:rPr>
          <w:rStyle w:val="FootnoteReference"/>
          <w:lang w:val="en-US"/>
        </w:rPr>
        <w:footnoteReference w:id="280"/>
      </w:r>
      <w:r w:rsidR="009A19EF" w:rsidRPr="00CB2C31">
        <w:rPr>
          <w:lang w:val="en-US"/>
        </w:rPr>
        <w:t xml:space="preserve"> </w:t>
      </w:r>
      <w:r w:rsidR="0009628A">
        <w:rPr>
          <w:lang w:val="en-US"/>
        </w:rPr>
        <w:t xml:space="preserve"> </w:t>
      </w:r>
      <w:r w:rsidRPr="00CB2C31">
        <w:rPr>
          <w:lang w:val="en-US"/>
        </w:rPr>
        <w:t>The guidance to the MCCG states that boards of other companies should also work towards achieving the 30% target.</w:t>
      </w:r>
      <w:r w:rsidRPr="00CB2C31">
        <w:rPr>
          <w:rStyle w:val="FootnoteReference"/>
          <w:lang w:val="en-US"/>
        </w:rPr>
        <w:footnoteReference w:id="281"/>
      </w:r>
    </w:p>
    <w:p w14:paraId="29053F46" w14:textId="41A07E54" w:rsidR="00A27D9C" w:rsidRPr="00CB2C31" w:rsidRDefault="00A27D9C" w:rsidP="00623C41">
      <w:pPr>
        <w:pStyle w:val="DoublePara"/>
        <w:rPr>
          <w:lang w:val="en-US"/>
        </w:rPr>
      </w:pPr>
      <w:r w:rsidRPr="00CB2C31">
        <w:rPr>
          <w:lang w:val="en-US"/>
        </w:rPr>
        <w:t>In addition to th</w:t>
      </w:r>
      <w:r w:rsidR="0020030E" w:rsidRPr="00CB2C31">
        <w:rPr>
          <w:lang w:val="en-US"/>
        </w:rPr>
        <w:t>e above, the Listing Requirements</w:t>
      </w:r>
      <w:r w:rsidRPr="00CB2C31">
        <w:rPr>
          <w:lang w:val="en-US"/>
        </w:rPr>
        <w:t xml:space="preserve"> </w:t>
      </w:r>
      <w:r w:rsidR="0020030E" w:rsidRPr="00CB2C31">
        <w:rPr>
          <w:lang w:val="en-US"/>
        </w:rPr>
        <w:t>call for</w:t>
      </w:r>
      <w:r w:rsidRPr="00CB2C31">
        <w:rPr>
          <w:lang w:val="en-US"/>
        </w:rPr>
        <w:t xml:space="preserve"> listed companies to provide, in their annual reports, a statement about the activities of the nominating committee in the discharge of its duties for the financial year</w:t>
      </w:r>
      <w:r w:rsidR="00F111D2" w:rsidRPr="00CB2C31">
        <w:rPr>
          <w:lang w:val="en-US"/>
        </w:rPr>
        <w:t xml:space="preserve">.  </w:t>
      </w:r>
      <w:r w:rsidRPr="00CB2C31">
        <w:rPr>
          <w:lang w:val="en-US" w:eastAsia="en-GB"/>
        </w:rPr>
        <w:t>This</w:t>
      </w:r>
      <w:r w:rsidRPr="00CB2C31">
        <w:rPr>
          <w:lang w:val="en-US"/>
        </w:rPr>
        <w:t xml:space="preserve"> statement must include </w:t>
      </w:r>
      <w:r w:rsidR="00203E75" w:rsidRPr="00203E75">
        <w:rPr>
          <w:i/>
          <w:lang w:val="en-US"/>
        </w:rPr>
        <w:t>“</w:t>
      </w:r>
      <w:r w:rsidRPr="00CB2C31">
        <w:rPr>
          <w:i/>
          <w:lang w:val="en-US"/>
        </w:rPr>
        <w:t>the policy on board composition having regard to the mix of skills, independence and diversity (including gender diversity) required to meet the needs of the listed issuer</w:t>
      </w:r>
      <w:r w:rsidR="007276F8">
        <w:rPr>
          <w:lang w:val="en-US"/>
        </w:rPr>
        <w:t>.</w:t>
      </w:r>
      <w:r w:rsidR="00203E75" w:rsidRPr="00203E75">
        <w:rPr>
          <w:i/>
          <w:lang w:val="en-US"/>
        </w:rPr>
        <w:t>”</w:t>
      </w:r>
      <w:r w:rsidRPr="00CB2C31">
        <w:rPr>
          <w:rStyle w:val="FootnoteReference"/>
          <w:lang w:val="en-US"/>
        </w:rPr>
        <w:footnoteReference w:id="282"/>
      </w:r>
    </w:p>
    <w:p w14:paraId="49593BC4" w14:textId="77777777" w:rsidR="00A27D9C" w:rsidRPr="001C2946" w:rsidRDefault="00A27D9C" w:rsidP="00623C41">
      <w:pPr>
        <w:pStyle w:val="LegalCombo4"/>
        <w:keepNext/>
        <w:rPr>
          <w:b/>
        </w:rPr>
      </w:pPr>
      <w:bookmarkStart w:id="353" w:name="_Toc15027317"/>
      <w:bookmarkStart w:id="354" w:name="_Toc15027708"/>
      <w:bookmarkStart w:id="355" w:name="_Toc15027986"/>
      <w:r w:rsidRPr="001C2946">
        <w:rPr>
          <w:b/>
        </w:rPr>
        <w:t>Conclusion and Best Practice Analysis</w:t>
      </w:r>
      <w:bookmarkEnd w:id="353"/>
      <w:bookmarkEnd w:id="354"/>
      <w:bookmarkEnd w:id="355"/>
      <w:r w:rsidR="007A4AC7" w:rsidRPr="001C2946">
        <w:rPr>
          <w:b/>
        </w:rPr>
        <w:t>:</w:t>
      </w:r>
      <w:r w:rsidR="00593F1F" w:rsidRPr="001C2946">
        <w:rPr>
          <w:b/>
        </w:rPr>
        <w:t xml:space="preserve"> </w:t>
      </w:r>
      <w:r w:rsidR="007A4AC7" w:rsidRPr="001C2946">
        <w:rPr>
          <w:b/>
        </w:rPr>
        <w:t>Malaysia</w:t>
      </w:r>
    </w:p>
    <w:p w14:paraId="46A73599" w14:textId="1335F526" w:rsidR="0043468C" w:rsidRPr="0043468C" w:rsidRDefault="00A27D9C" w:rsidP="0043468C">
      <w:pPr>
        <w:pStyle w:val="DoublePara"/>
        <w:rPr>
          <w:lang w:val="en-US"/>
        </w:rPr>
      </w:pPr>
      <w:r w:rsidRPr="00CB2C31">
        <w:rPr>
          <w:lang w:val="en-US"/>
        </w:rPr>
        <w:t xml:space="preserve">Figures indicate that when the policy under the Tenth Malaysia Plan was announced, only 7.7% of </w:t>
      </w:r>
      <w:r w:rsidR="00203E75" w:rsidRPr="00203E75">
        <w:rPr>
          <w:i/>
          <w:lang w:val="en-US"/>
        </w:rPr>
        <w:t>“</w:t>
      </w:r>
      <w:r w:rsidRPr="00CB2C31">
        <w:rPr>
          <w:i/>
          <w:lang w:val="en-US"/>
        </w:rPr>
        <w:t>decision-makers</w:t>
      </w:r>
      <w:r w:rsidR="00203E75" w:rsidRPr="00203E75">
        <w:rPr>
          <w:i/>
          <w:lang w:val="en-US"/>
        </w:rPr>
        <w:t>”</w:t>
      </w:r>
      <w:r w:rsidRPr="00CB2C31">
        <w:rPr>
          <w:lang w:val="en-US"/>
        </w:rPr>
        <w:t xml:space="preserve"> in th</w:t>
      </w:r>
      <w:r w:rsidR="00632405" w:rsidRPr="00CB2C31">
        <w:rPr>
          <w:lang w:val="en-US"/>
        </w:rPr>
        <w:t>e corporate sector were women</w:t>
      </w:r>
      <w:r w:rsidR="00F111D2" w:rsidRPr="00CB2C31">
        <w:rPr>
          <w:lang w:val="en-US"/>
        </w:rPr>
        <w:t xml:space="preserve">.  </w:t>
      </w:r>
      <w:r w:rsidR="00632405" w:rsidRPr="00CB2C31">
        <w:rPr>
          <w:lang w:val="en-US"/>
        </w:rPr>
        <w:t>By</w:t>
      </w:r>
      <w:r w:rsidRPr="00CB2C31">
        <w:rPr>
          <w:lang w:val="en-US"/>
        </w:rPr>
        <w:t xml:space="preserve"> December </w:t>
      </w:r>
      <w:r w:rsidRPr="00CB2C31">
        <w:rPr>
          <w:lang w:val="en-US" w:eastAsia="en-GB"/>
        </w:rPr>
        <w:t>2018</w:t>
      </w:r>
      <w:r w:rsidR="00632405" w:rsidRPr="00CB2C31">
        <w:rPr>
          <w:lang w:val="en-US"/>
        </w:rPr>
        <w:t>,</w:t>
      </w:r>
      <w:r w:rsidRPr="00CB2C31">
        <w:rPr>
          <w:lang w:val="en-US"/>
        </w:rPr>
        <w:t xml:space="preserve"> female board participation for the top 100 listed companies</w:t>
      </w:r>
      <w:r w:rsidR="00632405" w:rsidRPr="00CB2C31">
        <w:rPr>
          <w:lang w:val="en-US"/>
        </w:rPr>
        <w:t xml:space="preserve"> was at 23.7%</w:t>
      </w:r>
      <w:r w:rsidRPr="00CB2C31">
        <w:rPr>
          <w:lang w:val="en-US"/>
        </w:rPr>
        <w:t xml:space="preserve"> </w:t>
      </w:r>
      <w:r w:rsidR="00632405" w:rsidRPr="00CB2C31">
        <w:rPr>
          <w:lang w:val="en-US"/>
        </w:rPr>
        <w:t>and at</w:t>
      </w:r>
      <w:r w:rsidRPr="00CB2C31">
        <w:rPr>
          <w:lang w:val="en-US"/>
        </w:rPr>
        <w:t xml:space="preserve"> 15.69%</w:t>
      </w:r>
      <w:r w:rsidR="00632405" w:rsidRPr="00CB2C31">
        <w:rPr>
          <w:lang w:val="en-US"/>
        </w:rPr>
        <w:t xml:space="preserve"> for all listed companies</w:t>
      </w:r>
      <w:r w:rsidRPr="00CB2C31">
        <w:rPr>
          <w:lang w:val="en-US"/>
        </w:rPr>
        <w:t>.</w:t>
      </w:r>
      <w:r w:rsidRPr="00CB2C31">
        <w:rPr>
          <w:rStyle w:val="FootnoteReference"/>
          <w:lang w:val="en-US"/>
        </w:rPr>
        <w:footnoteReference w:id="283"/>
      </w:r>
      <w:r w:rsidR="0043468C">
        <w:rPr>
          <w:lang w:val="en-US"/>
        </w:rPr>
        <w:t xml:space="preserve">  </w:t>
      </w:r>
      <w:r w:rsidRPr="00CB2C31">
        <w:t xml:space="preserve">Even though compliance with the MCCG is not compulsory, Malaysia has been able to change the practices of its top 100 listed companies, by </w:t>
      </w:r>
      <w:r w:rsidR="00593F1F" w:rsidRPr="00E022B8">
        <w:rPr>
          <w:b/>
        </w:rPr>
        <w:t>‘</w:t>
      </w:r>
      <w:r w:rsidRPr="00E022B8">
        <w:rPr>
          <w:b/>
        </w:rPr>
        <w:t>naming and shaming</w:t>
      </w:r>
      <w:r w:rsidR="00593F1F" w:rsidRPr="00E022B8">
        <w:rPr>
          <w:b/>
        </w:rPr>
        <w:t>’</w:t>
      </w:r>
      <w:r w:rsidR="005E18C4" w:rsidRPr="00E022B8">
        <w:rPr>
          <w:b/>
        </w:rPr>
        <w:t xml:space="preserve"> non-compliant companies</w:t>
      </w:r>
      <w:r w:rsidR="00F111D2" w:rsidRPr="00CB2C31">
        <w:t xml:space="preserve">.  </w:t>
      </w:r>
      <w:r w:rsidR="0015281C" w:rsidRPr="00CB2C31">
        <w:t>I</w:t>
      </w:r>
      <w:r w:rsidRPr="00CB2C31">
        <w:t>n January 2018, the Securities Commission made public the names of seven of the top 100 listed companies which had all male boards</w:t>
      </w:r>
      <w:r w:rsidR="00F111D2" w:rsidRPr="00CB2C31">
        <w:t xml:space="preserve">.  </w:t>
      </w:r>
      <w:r w:rsidRPr="00CB2C31">
        <w:t>All seven companies have since appointed at least one woman director to their boards.</w:t>
      </w:r>
      <w:r w:rsidRPr="00CB2C31">
        <w:rPr>
          <w:rStyle w:val="FootnoteReference"/>
        </w:rPr>
        <w:footnoteReference w:id="284"/>
      </w:r>
      <w:bookmarkStart w:id="356" w:name="_Toc15027318"/>
      <w:bookmarkStart w:id="357" w:name="_Toc15027709"/>
      <w:bookmarkStart w:id="358" w:name="_Toc15027987"/>
      <w:bookmarkStart w:id="359" w:name="_Toc16692501"/>
    </w:p>
    <w:p w14:paraId="7F468B13" w14:textId="17C016E3" w:rsidR="00881938" w:rsidRPr="002E5273" w:rsidRDefault="00881938" w:rsidP="000613B0">
      <w:pPr>
        <w:pStyle w:val="LegalCombo3"/>
      </w:pPr>
      <w:bookmarkStart w:id="360" w:name="_Toc22905004"/>
      <w:bookmarkStart w:id="361" w:name="_Toc24114403"/>
      <w:r w:rsidRPr="002E5273">
        <w:t>Hong Kong</w:t>
      </w:r>
      <w:bookmarkEnd w:id="356"/>
      <w:bookmarkEnd w:id="357"/>
      <w:bookmarkEnd w:id="358"/>
      <w:bookmarkEnd w:id="359"/>
      <w:bookmarkEnd w:id="360"/>
      <w:bookmarkEnd w:id="361"/>
    </w:p>
    <w:p w14:paraId="50525748" w14:textId="77777777" w:rsidR="00660D34" w:rsidRPr="00CB2C31" w:rsidRDefault="00660D34" w:rsidP="00623C41">
      <w:pPr>
        <w:pStyle w:val="LegalCombo4"/>
        <w:keepNext/>
      </w:pPr>
      <w:bookmarkStart w:id="362" w:name="_Toc15027319"/>
      <w:bookmarkStart w:id="363" w:name="_Toc15027710"/>
      <w:bookmarkStart w:id="364" w:name="_Toc15027988"/>
      <w:r w:rsidRPr="00CB2C31">
        <w:t xml:space="preserve">Introduction </w:t>
      </w:r>
      <w:bookmarkEnd w:id="362"/>
      <w:bookmarkEnd w:id="363"/>
      <w:bookmarkEnd w:id="364"/>
    </w:p>
    <w:p w14:paraId="01EB36E8" w14:textId="4467CC8D" w:rsidR="00660D34" w:rsidRPr="00CB2C31" w:rsidRDefault="005257DB" w:rsidP="00623C41">
      <w:pPr>
        <w:pStyle w:val="DoublePara"/>
        <w:rPr>
          <w:lang w:val="en-US"/>
        </w:rPr>
      </w:pPr>
      <w:r w:rsidRPr="00CB2C31">
        <w:rPr>
          <w:lang w:val="en-US"/>
        </w:rPr>
        <w:t>Hong Kong has recently put in place a series of regulations and legal requirements which require listed</w:t>
      </w:r>
      <w:r w:rsidR="00E20CF6">
        <w:rPr>
          <w:lang w:val="en-US"/>
        </w:rPr>
        <w:t xml:space="preserve"> companies to take into account</w:t>
      </w:r>
      <w:r w:rsidRPr="00CB2C31">
        <w:rPr>
          <w:lang w:val="en-US"/>
        </w:rPr>
        <w:t xml:space="preserve"> gender diversity when making decisions on their board composition</w:t>
      </w:r>
      <w:r w:rsidR="001877C9" w:rsidRPr="00CB2C31">
        <w:rPr>
          <w:lang w:val="en-US"/>
        </w:rPr>
        <w:t xml:space="preserve">.  </w:t>
      </w:r>
      <w:r w:rsidRPr="00CB2C31">
        <w:rPr>
          <w:lang w:val="en-US"/>
        </w:rPr>
        <w:t xml:space="preserve">There are several </w:t>
      </w:r>
      <w:r w:rsidR="00236E78" w:rsidRPr="00CB2C31">
        <w:rPr>
          <w:lang w:val="en-US"/>
        </w:rPr>
        <w:t>organizations</w:t>
      </w:r>
      <w:r w:rsidRPr="00CB2C31">
        <w:rPr>
          <w:lang w:val="en-US"/>
        </w:rPr>
        <w:t xml:space="preserve"> which regularly publish data on gender diversity and women in leadership in Hong Kong which means that there is little room for listed companies to ignore the issue of </w:t>
      </w:r>
      <w:r w:rsidR="009B65E1">
        <w:rPr>
          <w:lang w:val="en-US"/>
        </w:rPr>
        <w:t xml:space="preserve">gender </w:t>
      </w:r>
      <w:r w:rsidRPr="00CB2C31">
        <w:rPr>
          <w:lang w:val="en-US"/>
        </w:rPr>
        <w:t xml:space="preserve">diversity at the board level. </w:t>
      </w:r>
    </w:p>
    <w:p w14:paraId="37A61C47" w14:textId="77777777" w:rsidR="00881938" w:rsidRPr="00CB2C31" w:rsidRDefault="00B328FD" w:rsidP="00623C41">
      <w:pPr>
        <w:pStyle w:val="LegalCombo4"/>
        <w:keepNext/>
      </w:pPr>
      <w:r w:rsidRPr="00CB2C31">
        <w:t>Corporate Governance</w:t>
      </w:r>
    </w:p>
    <w:p w14:paraId="7A9799E5" w14:textId="517BB567" w:rsidR="005257DB" w:rsidRPr="00CB2C31" w:rsidRDefault="005257DB" w:rsidP="00623C41">
      <w:pPr>
        <w:pStyle w:val="DoublePara"/>
        <w:rPr>
          <w:lang w:val="en-US"/>
        </w:rPr>
      </w:pPr>
      <w:r w:rsidRPr="00CB2C31">
        <w:rPr>
          <w:lang w:val="en-US"/>
        </w:rPr>
        <w:t>In January 2019, women represented 13.9% of board members o</w:t>
      </w:r>
      <w:r w:rsidR="0020030E" w:rsidRPr="00CB2C31">
        <w:rPr>
          <w:lang w:val="en-US"/>
        </w:rPr>
        <w:t>f listed companies in Hong Kong;</w:t>
      </w:r>
      <w:r w:rsidRPr="00CB2C31">
        <w:rPr>
          <w:lang w:val="en-US"/>
        </w:rPr>
        <w:t xml:space="preserve"> this represents a mere 0.1% increase from the results for January 2018.</w:t>
      </w:r>
      <w:bookmarkStart w:id="365" w:name="_Ref16185778"/>
      <w:r w:rsidRPr="00CB2C31">
        <w:rPr>
          <w:rStyle w:val="FootnoteReference"/>
          <w:lang w:val="en-US"/>
        </w:rPr>
        <w:footnoteReference w:id="285"/>
      </w:r>
      <w:bookmarkEnd w:id="365"/>
      <w:r w:rsidRPr="00CB2C31">
        <w:rPr>
          <w:lang w:val="en-US"/>
        </w:rPr>
        <w:t xml:space="preserve"> </w:t>
      </w:r>
      <w:r w:rsidR="0009628A">
        <w:rPr>
          <w:lang w:val="en-US"/>
        </w:rPr>
        <w:t xml:space="preserve"> </w:t>
      </w:r>
      <w:r w:rsidRPr="00CB2C31">
        <w:rPr>
          <w:lang w:val="en-US"/>
        </w:rPr>
        <w:t>There remain ten boards which do not have any women appointed as directors in January 2019 and five of those companies have never had any women on their boards since listing on the Stock Exchange of Hong Kong Limited (</w:t>
      </w:r>
      <w:r w:rsidR="00203E75" w:rsidRPr="00203E75">
        <w:rPr>
          <w:i/>
          <w:lang w:val="en-US"/>
        </w:rPr>
        <w:t>“</w:t>
      </w:r>
      <w:r w:rsidRPr="00CB2C31">
        <w:rPr>
          <w:b/>
          <w:lang w:val="en-US"/>
        </w:rPr>
        <w:t>HKEX</w:t>
      </w:r>
      <w:r w:rsidR="00203E75" w:rsidRPr="00203E75">
        <w:rPr>
          <w:i/>
          <w:lang w:val="en-US"/>
        </w:rPr>
        <w:t>”</w:t>
      </w:r>
      <w:r w:rsidRPr="00CB2C31">
        <w:rPr>
          <w:lang w:val="en-US"/>
        </w:rPr>
        <w:t>).</w:t>
      </w:r>
      <w:r w:rsidRPr="00CB2C31">
        <w:rPr>
          <w:rStyle w:val="FootnoteReference"/>
          <w:lang w:val="en-US"/>
        </w:rPr>
        <w:footnoteReference w:id="286"/>
      </w:r>
      <w:r w:rsidRPr="00CB2C31">
        <w:rPr>
          <w:lang w:val="en-US"/>
        </w:rPr>
        <w:t xml:space="preserve"> </w:t>
      </w:r>
      <w:r w:rsidR="0009628A">
        <w:rPr>
          <w:lang w:val="en-US"/>
        </w:rPr>
        <w:t xml:space="preserve"> </w:t>
      </w:r>
      <w:r w:rsidRPr="00CB2C31">
        <w:rPr>
          <w:lang w:val="en-US"/>
        </w:rPr>
        <w:t xml:space="preserve">In order to meet the </w:t>
      </w:r>
      <w:r w:rsidR="008A34EA">
        <w:rPr>
          <w:lang w:val="en-US"/>
        </w:rPr>
        <w:t xml:space="preserve">20% </w:t>
      </w:r>
      <w:r w:rsidRPr="00CB2C31">
        <w:rPr>
          <w:lang w:val="en-US"/>
        </w:rPr>
        <w:t>targets suggested by the 30% Club Hong Kong Chapter, the percentage of women on boards of listed companies will have to increase by 6.1% by 2020</w:t>
      </w:r>
      <w:r w:rsidR="001C3DD2" w:rsidRPr="00CB2C31">
        <w:rPr>
          <w:lang w:val="en-US"/>
        </w:rPr>
        <w:t xml:space="preserve"> (to 20%)</w:t>
      </w:r>
      <w:r w:rsidRPr="00CB2C31">
        <w:rPr>
          <w:lang w:val="en-US"/>
        </w:rPr>
        <w:t xml:space="preserve"> and there will have to be no companies which only have male board members.</w:t>
      </w:r>
      <w:r w:rsidRPr="00CB2C31">
        <w:rPr>
          <w:rStyle w:val="FootnoteReference"/>
          <w:lang w:val="en-US"/>
        </w:rPr>
        <w:footnoteReference w:id="287"/>
      </w:r>
    </w:p>
    <w:p w14:paraId="24F7EFB0" w14:textId="25FD532C" w:rsidR="005257DB" w:rsidRPr="00CB2C31" w:rsidRDefault="005257DB" w:rsidP="00623C41">
      <w:pPr>
        <w:pStyle w:val="DoublePara"/>
        <w:rPr>
          <w:lang w:val="en-US"/>
        </w:rPr>
      </w:pPr>
      <w:r w:rsidRPr="00CB2C31">
        <w:rPr>
          <w:lang w:val="en-US"/>
        </w:rPr>
        <w:t xml:space="preserve">Taking into account the relatively low proportion of women on boards of listed companies compared to some other </w:t>
      </w:r>
      <w:r w:rsidR="00236E78" w:rsidRPr="00CB2C31">
        <w:rPr>
          <w:lang w:val="en-US"/>
        </w:rPr>
        <w:t>neighboring</w:t>
      </w:r>
      <w:r w:rsidRPr="00CB2C31">
        <w:rPr>
          <w:lang w:val="en-US"/>
        </w:rPr>
        <w:t xml:space="preserve"> jurisdictions such as Singapore and Malaysia</w:t>
      </w:r>
      <w:r w:rsidR="005E18C4" w:rsidRPr="00CB2C31">
        <w:rPr>
          <w:lang w:val="en-US"/>
        </w:rPr>
        <w:t>,</w:t>
      </w:r>
      <w:r w:rsidRPr="00CB2C31">
        <w:rPr>
          <w:rStyle w:val="FootnoteReference"/>
          <w:lang w:val="en-US"/>
        </w:rPr>
        <w:footnoteReference w:id="288"/>
      </w:r>
      <w:r w:rsidRPr="00CB2C31">
        <w:rPr>
          <w:lang w:val="en-US"/>
        </w:rPr>
        <w:t xml:space="preserve"> the HKEX proposed to review the Hong Kong corporate governance code (</w:t>
      </w:r>
      <w:r w:rsidR="00203E75" w:rsidRPr="00203E75">
        <w:rPr>
          <w:i/>
          <w:lang w:val="en-US"/>
        </w:rPr>
        <w:t>“</w:t>
      </w:r>
      <w:r w:rsidRPr="00CB2C31">
        <w:rPr>
          <w:b/>
          <w:lang w:val="en-US"/>
        </w:rPr>
        <w:t>HK CG Code</w:t>
      </w:r>
      <w:r w:rsidR="00203E75" w:rsidRPr="00203E75">
        <w:rPr>
          <w:i/>
          <w:lang w:val="en-US"/>
        </w:rPr>
        <w:t>”</w:t>
      </w:r>
      <w:r w:rsidRPr="00CB2C31">
        <w:rPr>
          <w:lang w:val="en-US"/>
        </w:rPr>
        <w:t>) in order to address the issue of lack of female representation on company boards listed in Hong Kong.</w:t>
      </w:r>
      <w:r w:rsidRPr="00CB2C31">
        <w:rPr>
          <w:rStyle w:val="FootnoteReference"/>
          <w:lang w:val="en-US"/>
        </w:rPr>
        <w:footnoteReference w:id="289"/>
      </w:r>
    </w:p>
    <w:p w14:paraId="56B2F267" w14:textId="1B7A896D" w:rsidR="005257DB" w:rsidRPr="00CB2C31" w:rsidRDefault="005257DB" w:rsidP="00623C41">
      <w:pPr>
        <w:pStyle w:val="DoublePara"/>
        <w:rPr>
          <w:lang w:val="en-US"/>
        </w:rPr>
      </w:pPr>
      <w:r w:rsidRPr="00CB2C31">
        <w:rPr>
          <w:lang w:val="en-US"/>
        </w:rPr>
        <w:t>In November 2017, the HKEX launched a consultation to review the HK CG Code</w:t>
      </w:r>
      <w:r w:rsidR="00F111D2" w:rsidRPr="00CB2C31">
        <w:rPr>
          <w:lang w:val="en-US"/>
        </w:rPr>
        <w:t xml:space="preserve">.  </w:t>
      </w:r>
      <w:r w:rsidRPr="00CB2C31">
        <w:rPr>
          <w:lang w:val="en-US"/>
        </w:rPr>
        <w:t>The main areas of review included</w:t>
      </w:r>
      <w:r w:rsidR="005E18C4" w:rsidRPr="00CB2C31">
        <w:rPr>
          <w:lang w:val="en-US"/>
        </w:rPr>
        <w:t>,</w:t>
      </w:r>
      <w:r w:rsidRPr="00CB2C31">
        <w:rPr>
          <w:lang w:val="en-US"/>
        </w:rPr>
        <w:t xml:space="preserve"> among others, board diversity and the role of the nomination committee</w:t>
      </w:r>
      <w:r w:rsidR="00F111D2" w:rsidRPr="00CB2C31">
        <w:rPr>
          <w:lang w:val="en-US"/>
        </w:rPr>
        <w:t xml:space="preserve">.  </w:t>
      </w:r>
      <w:r w:rsidRPr="00CB2C31">
        <w:rPr>
          <w:lang w:val="en-US"/>
        </w:rPr>
        <w:t xml:space="preserve">Following the conclusions to the consultation, the HKEX published a guidance for boards and directors (the </w:t>
      </w:r>
      <w:r w:rsidR="00203E75" w:rsidRPr="00203E75">
        <w:rPr>
          <w:i/>
          <w:lang w:val="en-US"/>
        </w:rPr>
        <w:t>“</w:t>
      </w:r>
      <w:r w:rsidRPr="00CB2C31">
        <w:rPr>
          <w:b/>
          <w:lang w:val="en-US"/>
        </w:rPr>
        <w:t>Guidance</w:t>
      </w:r>
      <w:r w:rsidR="00203E75" w:rsidRPr="00203E75">
        <w:rPr>
          <w:i/>
          <w:lang w:val="en-US"/>
        </w:rPr>
        <w:t>”</w:t>
      </w:r>
      <w:r w:rsidRPr="00CB2C31">
        <w:rPr>
          <w:lang w:val="en-US"/>
        </w:rPr>
        <w:t>) in July 2018 which became effective on January 1, 2019</w:t>
      </w:r>
      <w:r w:rsidR="00F111D2" w:rsidRPr="00CB2C31">
        <w:rPr>
          <w:lang w:val="en-US"/>
        </w:rPr>
        <w:t xml:space="preserve">.  </w:t>
      </w:r>
      <w:r w:rsidRPr="00CB2C31">
        <w:rPr>
          <w:lang w:val="en-US"/>
        </w:rPr>
        <w:t xml:space="preserve">In particular, the Guidance addresses the issue of board diversity and emphasizes the benefits </w:t>
      </w:r>
      <w:r w:rsidR="00EA64F0">
        <w:rPr>
          <w:lang w:val="en-US"/>
        </w:rPr>
        <w:t>of</w:t>
      </w:r>
      <w:r w:rsidRPr="00CB2C31">
        <w:rPr>
          <w:lang w:val="en-US"/>
        </w:rPr>
        <w:t xml:space="preserve"> having a diverse board which specifically takes into account gender </w:t>
      </w:r>
      <w:r w:rsidR="00EA64F0">
        <w:rPr>
          <w:lang w:val="en-US"/>
        </w:rPr>
        <w:t>balance</w:t>
      </w:r>
      <w:r w:rsidRPr="00CB2C31">
        <w:rPr>
          <w:lang w:val="en-US"/>
        </w:rPr>
        <w:t xml:space="preserve"> criteria.</w:t>
      </w:r>
      <w:bookmarkStart w:id="366" w:name="_Ref16185826"/>
      <w:r w:rsidRPr="00CB2C31">
        <w:rPr>
          <w:rStyle w:val="FootnoteReference"/>
          <w:lang w:val="en-US"/>
        </w:rPr>
        <w:footnoteReference w:id="290"/>
      </w:r>
      <w:bookmarkEnd w:id="366"/>
      <w:r w:rsidRPr="00CB2C31">
        <w:rPr>
          <w:lang w:val="en-US"/>
        </w:rPr>
        <w:t xml:space="preserve"> </w:t>
      </w:r>
      <w:r w:rsidR="0009628A">
        <w:rPr>
          <w:lang w:val="en-US"/>
        </w:rPr>
        <w:t xml:space="preserve"> </w:t>
      </w:r>
      <w:r w:rsidRPr="00CB2C31">
        <w:rPr>
          <w:lang w:val="en-US"/>
        </w:rPr>
        <w:t xml:space="preserve">Pursuant to the consultation conclusions (the </w:t>
      </w:r>
      <w:r w:rsidR="00203E75" w:rsidRPr="00203E75">
        <w:rPr>
          <w:i/>
          <w:lang w:val="en-US"/>
        </w:rPr>
        <w:t>“</w:t>
      </w:r>
      <w:r w:rsidRPr="00CB2C31">
        <w:rPr>
          <w:b/>
          <w:lang w:val="en-US"/>
        </w:rPr>
        <w:t>Consultation Conclusions</w:t>
      </w:r>
      <w:r w:rsidR="00203E75" w:rsidRPr="00203E75">
        <w:rPr>
          <w:i/>
          <w:lang w:val="en-US"/>
        </w:rPr>
        <w:t>”</w:t>
      </w:r>
      <w:r w:rsidRPr="00CB2C31">
        <w:rPr>
          <w:lang w:val="en-US"/>
        </w:rPr>
        <w:t xml:space="preserve">), certain requirements regarding diversity have been included in the HKEX listing rules (the </w:t>
      </w:r>
      <w:r w:rsidR="00203E75" w:rsidRPr="00203E75">
        <w:rPr>
          <w:i/>
          <w:lang w:val="en-US"/>
        </w:rPr>
        <w:t>“</w:t>
      </w:r>
      <w:r w:rsidRPr="00CB2C31">
        <w:rPr>
          <w:b/>
          <w:lang w:val="en-US"/>
        </w:rPr>
        <w:t>Listing Rules</w:t>
      </w:r>
      <w:r w:rsidR="00203E75" w:rsidRPr="00203E75">
        <w:rPr>
          <w:i/>
          <w:lang w:val="en-US"/>
        </w:rPr>
        <w:t>”</w:t>
      </w:r>
      <w:r w:rsidRPr="00CB2C31">
        <w:rPr>
          <w:lang w:val="en-US"/>
        </w:rPr>
        <w:t xml:space="preserve">) </w:t>
      </w:r>
      <w:r w:rsidR="005E18C4" w:rsidRPr="00CB2C31">
        <w:rPr>
          <w:lang w:val="en-US"/>
        </w:rPr>
        <w:t>and</w:t>
      </w:r>
      <w:r w:rsidRPr="00CB2C31">
        <w:rPr>
          <w:lang w:val="en-US"/>
        </w:rPr>
        <w:t xml:space="preserve"> compliance with such requirements (discussed below) </w:t>
      </w:r>
      <w:r w:rsidR="005E18C4" w:rsidRPr="00CB2C31">
        <w:rPr>
          <w:lang w:val="en-US"/>
        </w:rPr>
        <w:t>has been made legally compulsory</w:t>
      </w:r>
      <w:r w:rsidRPr="00CB2C31">
        <w:rPr>
          <w:lang w:val="en-US"/>
        </w:rPr>
        <w:t>.</w:t>
      </w:r>
    </w:p>
    <w:p w14:paraId="2A0A2D7D" w14:textId="23A96E53" w:rsidR="00660D34" w:rsidRPr="00CB2C31" w:rsidRDefault="00660D34" w:rsidP="00623C41">
      <w:pPr>
        <w:pStyle w:val="DoublePara"/>
        <w:rPr>
          <w:lang w:val="en-US"/>
        </w:rPr>
      </w:pPr>
      <w:r w:rsidRPr="00CB2C31">
        <w:rPr>
          <w:lang w:val="en-US"/>
        </w:rPr>
        <w:t xml:space="preserve">The HK CG Code states that the boards of listed companies should have a </w:t>
      </w:r>
      <w:r w:rsidR="00203E75" w:rsidRPr="00203E75">
        <w:rPr>
          <w:i/>
          <w:lang w:val="en-US"/>
        </w:rPr>
        <w:t>“</w:t>
      </w:r>
      <w:r w:rsidRPr="00CB2C31">
        <w:rPr>
          <w:i/>
          <w:lang w:val="en-US"/>
        </w:rPr>
        <w:t>balance of skills, experience and diversity perspectives appropriate to the requirements of the issuer</w:t>
      </w:r>
      <w:r w:rsidR="00593F1F">
        <w:rPr>
          <w:i/>
          <w:lang w:val="en-US"/>
        </w:rPr>
        <w:t>’</w:t>
      </w:r>
      <w:r w:rsidRPr="00CB2C31">
        <w:rPr>
          <w:i/>
          <w:lang w:val="en-US"/>
        </w:rPr>
        <w:t>s business</w:t>
      </w:r>
      <w:r w:rsidR="007276F8">
        <w:rPr>
          <w:lang w:val="en-US"/>
        </w:rPr>
        <w:t>,</w:t>
      </w:r>
      <w:r w:rsidR="00203E75" w:rsidRPr="00203E75">
        <w:rPr>
          <w:i/>
          <w:lang w:val="en-US"/>
        </w:rPr>
        <w:t>”</w:t>
      </w:r>
      <w:r w:rsidRPr="00CB2C31">
        <w:rPr>
          <w:lang w:val="en-US"/>
        </w:rPr>
        <w:t xml:space="preserve"> including both executive and non-executive directors.</w:t>
      </w:r>
      <w:bookmarkStart w:id="367" w:name="_Ref16185807"/>
      <w:r w:rsidRPr="00CB2C31">
        <w:rPr>
          <w:rStyle w:val="FootnoteReference"/>
          <w:lang w:val="en-US"/>
        </w:rPr>
        <w:footnoteReference w:id="291"/>
      </w:r>
      <w:bookmarkEnd w:id="367"/>
      <w:r w:rsidR="0009628A">
        <w:rPr>
          <w:lang w:val="en-US"/>
        </w:rPr>
        <w:t xml:space="preserve"> </w:t>
      </w:r>
      <w:r w:rsidRPr="00CB2C31">
        <w:rPr>
          <w:lang w:val="en-US"/>
        </w:rPr>
        <w:t xml:space="preserve"> The HK CG Code functions on a </w:t>
      </w:r>
      <w:r w:rsidR="00593F1F">
        <w:rPr>
          <w:lang w:val="en-US"/>
        </w:rPr>
        <w:t>‘</w:t>
      </w:r>
      <w:r w:rsidRPr="00CB2C31">
        <w:rPr>
          <w:lang w:val="en-US"/>
        </w:rPr>
        <w:t>comply or explain</w:t>
      </w:r>
      <w:r w:rsidR="00593F1F">
        <w:rPr>
          <w:lang w:val="en-US"/>
        </w:rPr>
        <w:t>’</w:t>
      </w:r>
      <w:r w:rsidRPr="00CB2C31">
        <w:rPr>
          <w:lang w:val="en-US"/>
        </w:rPr>
        <w:t xml:space="preserve"> basis and without the subsequent Guidance published after the consultation, the HK CG Code was rather vague as to the criteria required for selecting board members. </w:t>
      </w:r>
    </w:p>
    <w:p w14:paraId="637FE69B" w14:textId="77777777" w:rsidR="00660D34" w:rsidRPr="00CB2C31" w:rsidRDefault="00660D34" w:rsidP="00623C41">
      <w:pPr>
        <w:pStyle w:val="DoublePara"/>
        <w:rPr>
          <w:lang w:val="en-US"/>
        </w:rPr>
      </w:pPr>
      <w:r w:rsidRPr="00CB2C31">
        <w:rPr>
          <w:lang w:val="en-US"/>
        </w:rPr>
        <w:t>The Consultation Conclusions provide a clearer outline of the requirements with regard to diversity</w:t>
      </w:r>
      <w:r w:rsidR="00F111D2" w:rsidRPr="00CB2C31">
        <w:rPr>
          <w:lang w:val="en-US"/>
        </w:rPr>
        <w:t xml:space="preserve">.  </w:t>
      </w:r>
      <w:r w:rsidRPr="00CB2C31">
        <w:rPr>
          <w:lang w:val="en-US"/>
        </w:rPr>
        <w:t>The Consultation Conclusions explain that diversity is to be understood in its broadest sense, and in particular taking into account gender diversity</w:t>
      </w:r>
      <w:r w:rsidR="00F111D2" w:rsidRPr="00CB2C31">
        <w:rPr>
          <w:lang w:val="en-US"/>
        </w:rPr>
        <w:t xml:space="preserve">.  </w:t>
      </w:r>
      <w:r w:rsidRPr="00CB2C31">
        <w:rPr>
          <w:lang w:val="en-US"/>
        </w:rPr>
        <w:t>Under Listing Rule 13.92 (effective from January 1, 2019 following the publishing of the Guidance), companies</w:t>
      </w:r>
      <w:r w:rsidR="00593F1F">
        <w:rPr>
          <w:lang w:val="en-US"/>
        </w:rPr>
        <w:t>’</w:t>
      </w:r>
      <w:r w:rsidRPr="00CB2C31">
        <w:rPr>
          <w:lang w:val="en-US"/>
        </w:rPr>
        <w:t xml:space="preserve"> nomination committees are required to have a diversity policy and to publish such policy in their corporate governance report.</w:t>
      </w:r>
      <w:bookmarkStart w:id="368" w:name="_Ref16185896"/>
      <w:r w:rsidR="00E46800" w:rsidRPr="00CB2C31">
        <w:rPr>
          <w:rStyle w:val="FootnoteReference"/>
          <w:lang w:val="en-US"/>
        </w:rPr>
        <w:footnoteReference w:id="292"/>
      </w:r>
      <w:bookmarkEnd w:id="368"/>
      <w:r w:rsidRPr="00CB2C31">
        <w:rPr>
          <w:lang w:val="en-US"/>
        </w:rPr>
        <w:t xml:space="preserve"> </w:t>
      </w:r>
      <w:r w:rsidR="0009628A">
        <w:rPr>
          <w:lang w:val="en-US"/>
        </w:rPr>
        <w:t xml:space="preserve"> </w:t>
      </w:r>
      <w:r w:rsidRPr="00CB2C31">
        <w:rPr>
          <w:lang w:val="en-US"/>
        </w:rPr>
        <w:t xml:space="preserve">This amendment to the HK CG Code makes Hong Kong one of </w:t>
      </w:r>
      <w:r w:rsidR="00471FCE">
        <w:rPr>
          <w:lang w:val="en-US"/>
        </w:rPr>
        <w:t xml:space="preserve">the </w:t>
      </w:r>
      <w:r w:rsidRPr="00CB2C31">
        <w:rPr>
          <w:lang w:val="en-US"/>
        </w:rPr>
        <w:t>few jurisdictions to impose such a requirement on companies</w:t>
      </w:r>
      <w:r w:rsidR="00F111D2" w:rsidRPr="00CB2C31">
        <w:rPr>
          <w:lang w:val="en-US"/>
        </w:rPr>
        <w:t xml:space="preserve">.  </w:t>
      </w:r>
      <w:r w:rsidRPr="00CB2C31">
        <w:rPr>
          <w:lang w:val="en-US"/>
        </w:rPr>
        <w:t>Most other jurisdictions</w:t>
      </w:r>
      <w:r w:rsidR="00471FCE">
        <w:rPr>
          <w:lang w:val="en-US"/>
        </w:rPr>
        <w:t>,</w:t>
      </w:r>
      <w:r w:rsidRPr="00CB2C31">
        <w:rPr>
          <w:lang w:val="en-US"/>
        </w:rPr>
        <w:t xml:space="preserve"> including Australia and the UK</w:t>
      </w:r>
      <w:r w:rsidR="00471FCE">
        <w:rPr>
          <w:lang w:val="en-US"/>
        </w:rPr>
        <w:t>,</w:t>
      </w:r>
      <w:r w:rsidRPr="00CB2C31">
        <w:rPr>
          <w:lang w:val="en-US"/>
        </w:rPr>
        <w:t xml:space="preserve"> only require reporting of diversity policies as a </w:t>
      </w:r>
      <w:r w:rsidR="00593F1F">
        <w:rPr>
          <w:lang w:val="en-US"/>
        </w:rPr>
        <w:t>‘</w:t>
      </w:r>
      <w:r w:rsidRPr="00CB2C31">
        <w:rPr>
          <w:lang w:val="en-US"/>
        </w:rPr>
        <w:t>comply or explain</w:t>
      </w:r>
      <w:r w:rsidR="00593F1F">
        <w:rPr>
          <w:lang w:val="en-US"/>
        </w:rPr>
        <w:t>’</w:t>
      </w:r>
      <w:r w:rsidRPr="00CB2C31">
        <w:rPr>
          <w:lang w:val="en-US"/>
        </w:rPr>
        <w:t xml:space="preserve"> provision.</w:t>
      </w:r>
    </w:p>
    <w:p w14:paraId="3CBEAC1D" w14:textId="77777777" w:rsidR="00660D34" w:rsidRPr="00CB2C31" w:rsidRDefault="00660D34" w:rsidP="00623C41">
      <w:pPr>
        <w:pStyle w:val="DoublePara"/>
        <w:rPr>
          <w:lang w:val="en-US"/>
        </w:rPr>
      </w:pPr>
      <w:r w:rsidRPr="00CB2C31">
        <w:rPr>
          <w:lang w:val="en-US"/>
        </w:rPr>
        <w:t xml:space="preserve">The Guidance provides certain key areas for companies to consider when drafting their diversity policies including among other aspects: (i) expressing the benefits of having a diverse </w:t>
      </w:r>
      <w:r w:rsidR="00EA64F0">
        <w:rPr>
          <w:lang w:val="en-US"/>
        </w:rPr>
        <w:t xml:space="preserve">and gender balanced </w:t>
      </w:r>
      <w:r w:rsidRPr="00CB2C31">
        <w:rPr>
          <w:lang w:val="en-US"/>
        </w:rPr>
        <w:t>board; (ii) engaging company employees at all levels to commit to improving the diversity ratio in the company; (iii) assessing the company</w:t>
      </w:r>
      <w:r w:rsidR="00593F1F">
        <w:rPr>
          <w:lang w:val="en-US"/>
        </w:rPr>
        <w:t>’</w:t>
      </w:r>
      <w:r w:rsidRPr="00CB2C31">
        <w:rPr>
          <w:lang w:val="en-US"/>
        </w:rPr>
        <w:t xml:space="preserve">s diversity profile annually and measuring progress at the senior level in particular; and (iv) carrying out recruitment and training </w:t>
      </w:r>
      <w:r w:rsidR="008A34EA">
        <w:rPr>
          <w:lang w:val="en-US"/>
        </w:rPr>
        <w:t>program</w:t>
      </w:r>
      <w:r w:rsidR="00236E78" w:rsidRPr="00CB2C31">
        <w:rPr>
          <w:lang w:val="en-US"/>
        </w:rPr>
        <w:t>s</w:t>
      </w:r>
      <w:r w:rsidRPr="00CB2C31">
        <w:rPr>
          <w:lang w:val="en-US"/>
        </w:rPr>
        <w:t xml:space="preserve"> which ensure that the company is considering a more diverse pool of candidates when selecting future board members.</w:t>
      </w:r>
      <w:r w:rsidRPr="00CB2C31">
        <w:rPr>
          <w:rStyle w:val="FootnoteReference"/>
          <w:lang w:val="en-US"/>
        </w:rPr>
        <w:footnoteReference w:id="293"/>
      </w:r>
    </w:p>
    <w:p w14:paraId="79DDAC46" w14:textId="63BFF1F9" w:rsidR="00660D34" w:rsidRPr="00CB2C31" w:rsidRDefault="00660D34" w:rsidP="00623C41">
      <w:pPr>
        <w:pStyle w:val="DoublePara"/>
        <w:rPr>
          <w:lang w:val="en-US"/>
        </w:rPr>
      </w:pPr>
      <w:r w:rsidRPr="00CB2C31">
        <w:rPr>
          <w:lang w:val="en-US"/>
        </w:rPr>
        <w:t>The Guidance makes specific reference to gender diversity in its explanation of what is understood as diversity</w:t>
      </w:r>
      <w:r w:rsidR="00F111D2" w:rsidRPr="00CB2C31">
        <w:rPr>
          <w:lang w:val="en-US"/>
        </w:rPr>
        <w:t xml:space="preserve">.  </w:t>
      </w:r>
      <w:r w:rsidRPr="00CB2C31">
        <w:rPr>
          <w:lang w:val="en-US"/>
        </w:rPr>
        <w:t xml:space="preserve">It states that Hong Kong has been </w:t>
      </w:r>
      <w:r w:rsidR="00203E75" w:rsidRPr="00203E75">
        <w:rPr>
          <w:i/>
          <w:lang w:val="en-US"/>
        </w:rPr>
        <w:t>“</w:t>
      </w:r>
      <w:r w:rsidRPr="00CB2C31">
        <w:rPr>
          <w:i/>
          <w:lang w:val="en-US"/>
        </w:rPr>
        <w:t>lagging behind other leading markets in terms of the ratio of women on boards</w:t>
      </w:r>
      <w:r w:rsidR="007276F8">
        <w:rPr>
          <w:lang w:val="en-US"/>
        </w:rPr>
        <w:t>,</w:t>
      </w:r>
      <w:r w:rsidR="00203E75" w:rsidRPr="00203E75">
        <w:rPr>
          <w:i/>
          <w:lang w:val="en-US"/>
        </w:rPr>
        <w:t>”</w:t>
      </w:r>
      <w:r w:rsidRPr="00CB2C31">
        <w:rPr>
          <w:lang w:val="en-US"/>
        </w:rPr>
        <w:t xml:space="preserve"> thus highlighting the need to make significant changes in the makeup of company boards on the Hong Kong market.</w:t>
      </w:r>
      <w:r w:rsidRPr="00CB2C31">
        <w:rPr>
          <w:rStyle w:val="FootnoteReference"/>
          <w:lang w:val="en-US"/>
        </w:rPr>
        <w:footnoteReference w:id="294"/>
      </w:r>
      <w:r w:rsidR="00B328FD" w:rsidRPr="00CB2C31">
        <w:rPr>
          <w:lang w:val="en-US"/>
        </w:rPr>
        <w:t xml:space="preserve"> </w:t>
      </w:r>
    </w:p>
    <w:p w14:paraId="4826EE2B" w14:textId="68D2F914" w:rsidR="00660D34" w:rsidRPr="00CB2C31" w:rsidRDefault="00660D34" w:rsidP="00623C41">
      <w:pPr>
        <w:pStyle w:val="DoublePara"/>
        <w:rPr>
          <w:lang w:val="en-US"/>
        </w:rPr>
      </w:pPr>
      <w:r w:rsidRPr="00CB2C31">
        <w:rPr>
          <w:lang w:val="en-US"/>
        </w:rPr>
        <w:t>The HK CG Code requires director appointments to be conducted through a transparent process with all directors subject to re-election at regular intervals as well as retirement by rotation at least once every three years.</w:t>
      </w:r>
      <w:r w:rsidRPr="00CB2C31">
        <w:rPr>
          <w:rStyle w:val="FootnoteReference"/>
          <w:lang w:val="en-US"/>
        </w:rPr>
        <w:footnoteReference w:id="295"/>
      </w:r>
      <w:r w:rsidRPr="00CB2C31">
        <w:rPr>
          <w:lang w:val="en-US"/>
        </w:rPr>
        <w:t xml:space="preserve"> </w:t>
      </w:r>
      <w:r w:rsidR="0009628A">
        <w:rPr>
          <w:lang w:val="en-US"/>
        </w:rPr>
        <w:t xml:space="preserve"> </w:t>
      </w:r>
      <w:r w:rsidRPr="00CB2C31">
        <w:rPr>
          <w:lang w:val="en-US"/>
        </w:rPr>
        <w:t>The Guidance emphasizes the benefit of having diverse boards when considering the effectiveness of a company</w:t>
      </w:r>
      <w:r w:rsidR="00F111D2" w:rsidRPr="00CB2C31">
        <w:rPr>
          <w:lang w:val="en-US"/>
        </w:rPr>
        <w:t xml:space="preserve">.  </w:t>
      </w:r>
      <w:r w:rsidRPr="00CB2C31">
        <w:rPr>
          <w:lang w:val="en-US"/>
        </w:rPr>
        <w:t>The Guidance states that as well as con</w:t>
      </w:r>
      <w:r w:rsidR="008B7C85" w:rsidRPr="00CB2C31">
        <w:rPr>
          <w:lang w:val="en-US"/>
        </w:rPr>
        <w:t>sidering diversity as a criterion</w:t>
      </w:r>
      <w:r w:rsidRPr="00CB2C31">
        <w:rPr>
          <w:lang w:val="en-US"/>
        </w:rPr>
        <w:t xml:space="preserve"> when appointing a director to the board, the rationale for appointing a director with regard to diversity should be clearly explained in the circular to the shareholders.</w:t>
      </w:r>
      <w:r w:rsidRPr="00CB2C31">
        <w:rPr>
          <w:rStyle w:val="FootnoteReference"/>
          <w:lang w:val="en-US"/>
        </w:rPr>
        <w:footnoteReference w:id="296"/>
      </w:r>
      <w:r w:rsidRPr="00CB2C31">
        <w:rPr>
          <w:lang w:val="en-US"/>
        </w:rPr>
        <w:t xml:space="preserve"> </w:t>
      </w:r>
      <w:r w:rsidR="0009628A">
        <w:rPr>
          <w:lang w:val="en-US"/>
        </w:rPr>
        <w:t xml:space="preserve"> </w:t>
      </w:r>
      <w:r w:rsidRPr="00CB2C31">
        <w:rPr>
          <w:lang w:val="en-US"/>
        </w:rPr>
        <w:t xml:space="preserve">It also states that the nomination committee should be </w:t>
      </w:r>
      <w:r w:rsidR="00203E75" w:rsidRPr="00203E75">
        <w:rPr>
          <w:i/>
          <w:lang w:val="en-US"/>
        </w:rPr>
        <w:t>“</w:t>
      </w:r>
      <w:r w:rsidRPr="00CB2C31">
        <w:rPr>
          <w:i/>
          <w:lang w:val="en-US"/>
        </w:rPr>
        <w:t>mindful of the need to refresh the board regularly</w:t>
      </w:r>
      <w:r w:rsidR="00203E75" w:rsidRPr="00203E75">
        <w:rPr>
          <w:i/>
          <w:lang w:val="en-US"/>
        </w:rPr>
        <w:t>”</w:t>
      </w:r>
      <w:r w:rsidRPr="00CB2C31">
        <w:rPr>
          <w:lang w:val="en-US"/>
        </w:rPr>
        <w:t xml:space="preserve">; this </w:t>
      </w:r>
      <w:r w:rsidR="00593F1F">
        <w:rPr>
          <w:lang w:val="en-US"/>
        </w:rPr>
        <w:t>‘</w:t>
      </w:r>
      <w:r w:rsidRPr="00CB2C31">
        <w:rPr>
          <w:lang w:val="en-US"/>
        </w:rPr>
        <w:t>refreshing</w:t>
      </w:r>
      <w:r w:rsidR="00593F1F">
        <w:rPr>
          <w:lang w:val="en-US"/>
        </w:rPr>
        <w:t>’</w:t>
      </w:r>
      <w:r w:rsidRPr="00CB2C31">
        <w:rPr>
          <w:lang w:val="en-US"/>
        </w:rPr>
        <w:t xml:space="preserve"> criterion, combined with the requirement to consider diversity when appointing a director, should in theory ensure the election of more women to company boards listed on the </w:t>
      </w:r>
      <w:r w:rsidR="005E18C4" w:rsidRPr="00CB2C31">
        <w:rPr>
          <w:lang w:val="en-US"/>
        </w:rPr>
        <w:t>HKSE</w:t>
      </w:r>
      <w:r w:rsidRPr="00CB2C31">
        <w:rPr>
          <w:lang w:val="en-US"/>
        </w:rPr>
        <w:t xml:space="preserve"> in the future.</w:t>
      </w:r>
      <w:r w:rsidRPr="00CB2C31">
        <w:rPr>
          <w:rStyle w:val="FootnoteReference"/>
          <w:lang w:val="en-US"/>
        </w:rPr>
        <w:footnoteReference w:id="297"/>
      </w:r>
    </w:p>
    <w:p w14:paraId="188BC176" w14:textId="77777777" w:rsidR="00660D34" w:rsidRPr="00CB2C31" w:rsidRDefault="00660D34" w:rsidP="00623C41">
      <w:pPr>
        <w:pStyle w:val="DoublePara"/>
        <w:rPr>
          <w:lang w:val="en-US"/>
        </w:rPr>
      </w:pPr>
      <w:r w:rsidRPr="00CB2C31">
        <w:rPr>
          <w:lang w:val="en-US"/>
        </w:rPr>
        <w:t xml:space="preserve">With regard to independent non-executive directors, the Consultation </w:t>
      </w:r>
      <w:r w:rsidR="008E6C51" w:rsidRPr="00CB2C31">
        <w:rPr>
          <w:lang w:val="en-US"/>
        </w:rPr>
        <w:t>Conclusions further amend</w:t>
      </w:r>
      <w:r w:rsidRPr="00CB2C31">
        <w:rPr>
          <w:lang w:val="en-US"/>
        </w:rPr>
        <w:t xml:space="preserve"> one of the HK CG Code provisions so that company boards now have to state in the circular to its shareholders the ways in which an independent non-executive director would contribute to the diversity of the board.</w:t>
      </w:r>
      <w:r w:rsidRPr="00CB2C31">
        <w:rPr>
          <w:rStyle w:val="FootnoteReference"/>
          <w:lang w:val="en-US"/>
        </w:rPr>
        <w:footnoteReference w:id="298"/>
      </w:r>
    </w:p>
    <w:p w14:paraId="44899D8A" w14:textId="77777777" w:rsidR="00660D34" w:rsidRPr="00CB2C31" w:rsidRDefault="00660D34" w:rsidP="00623C41">
      <w:pPr>
        <w:pStyle w:val="DoublePara"/>
        <w:rPr>
          <w:lang w:val="en-US"/>
        </w:rPr>
      </w:pPr>
      <w:r w:rsidRPr="00CB2C31">
        <w:rPr>
          <w:lang w:val="en-US"/>
        </w:rPr>
        <w:t>With regard to gender diversity, the Guidance requires nomination committees to be more transparent in their selection and nomination process</w:t>
      </w:r>
      <w:r w:rsidR="00471FCE">
        <w:rPr>
          <w:lang w:val="en-US"/>
        </w:rPr>
        <w:t>;</w:t>
      </w:r>
      <w:r w:rsidR="00471FCE" w:rsidRPr="00CB2C31">
        <w:rPr>
          <w:lang w:val="en-US"/>
        </w:rPr>
        <w:t xml:space="preserve"> </w:t>
      </w:r>
      <w:r w:rsidRPr="00CB2C31">
        <w:rPr>
          <w:lang w:val="en-US"/>
        </w:rPr>
        <w:t>in particular, committees should report their progress in relation to the company</w:t>
      </w:r>
      <w:r w:rsidR="00593F1F">
        <w:rPr>
          <w:lang w:val="en-US"/>
        </w:rPr>
        <w:t>’</w:t>
      </w:r>
      <w:r w:rsidRPr="00CB2C31">
        <w:rPr>
          <w:lang w:val="en-US"/>
        </w:rPr>
        <w:t>s diversity policy</w:t>
      </w:r>
      <w:r w:rsidR="001877C9" w:rsidRPr="00CB2C31">
        <w:rPr>
          <w:lang w:val="en-US"/>
        </w:rPr>
        <w:t xml:space="preserve">.  </w:t>
      </w:r>
      <w:r w:rsidRPr="00CB2C31">
        <w:rPr>
          <w:lang w:val="en-US"/>
        </w:rPr>
        <w:t xml:space="preserve">This reporting requirement has been included as a </w:t>
      </w:r>
      <w:r w:rsidR="00593F1F">
        <w:rPr>
          <w:lang w:val="en-US"/>
        </w:rPr>
        <w:t>‘</w:t>
      </w:r>
      <w:r w:rsidRPr="00CB2C31">
        <w:rPr>
          <w:lang w:val="en-US"/>
        </w:rPr>
        <w:t>Mandatory Disclosure Requirement</w:t>
      </w:r>
      <w:r w:rsidR="00593F1F">
        <w:rPr>
          <w:lang w:val="en-US"/>
        </w:rPr>
        <w:t>’</w:t>
      </w:r>
      <w:r w:rsidRPr="00CB2C31">
        <w:rPr>
          <w:lang w:val="en-US"/>
        </w:rPr>
        <w:t xml:space="preserve"> within t</w:t>
      </w:r>
      <w:r w:rsidR="008B7C85" w:rsidRPr="00CB2C31">
        <w:rPr>
          <w:lang w:val="en-US"/>
        </w:rPr>
        <w:t xml:space="preserve">he HK CG Code (effective from </w:t>
      </w:r>
      <w:r w:rsidRPr="00CB2C31">
        <w:rPr>
          <w:lang w:val="en-US"/>
        </w:rPr>
        <w:t xml:space="preserve">January </w:t>
      </w:r>
      <w:r w:rsidR="008B7C85" w:rsidRPr="00CB2C31">
        <w:rPr>
          <w:lang w:val="en-US"/>
        </w:rPr>
        <w:t xml:space="preserve">1, </w:t>
      </w:r>
      <w:r w:rsidRPr="00CB2C31">
        <w:rPr>
          <w:lang w:val="en-US"/>
        </w:rPr>
        <w:t>2019).</w:t>
      </w:r>
      <w:r w:rsidRPr="00CB2C31">
        <w:rPr>
          <w:rStyle w:val="FootnoteReference"/>
          <w:lang w:val="en-US"/>
        </w:rPr>
        <w:footnoteReference w:id="299"/>
      </w:r>
    </w:p>
    <w:p w14:paraId="6E6D9085" w14:textId="77777777" w:rsidR="00660D34" w:rsidRPr="00E022B8" w:rsidRDefault="00997E51" w:rsidP="00623C41">
      <w:pPr>
        <w:pStyle w:val="LegalCombo4"/>
        <w:keepNext/>
        <w:rPr>
          <w:b/>
        </w:rPr>
      </w:pPr>
      <w:bookmarkStart w:id="369" w:name="_Toc15027322"/>
      <w:bookmarkStart w:id="370" w:name="_Toc15027713"/>
      <w:bookmarkStart w:id="371" w:name="_Toc15027991"/>
      <w:r w:rsidRPr="00E022B8">
        <w:rPr>
          <w:b/>
        </w:rPr>
        <w:t xml:space="preserve">Conclusion and </w:t>
      </w:r>
      <w:r w:rsidR="00660D34" w:rsidRPr="00E022B8">
        <w:rPr>
          <w:b/>
        </w:rPr>
        <w:t>Best Practice Analysis</w:t>
      </w:r>
      <w:bookmarkEnd w:id="369"/>
      <w:bookmarkEnd w:id="370"/>
      <w:bookmarkEnd w:id="371"/>
      <w:r w:rsidR="007A4AC7" w:rsidRPr="00E022B8">
        <w:rPr>
          <w:b/>
        </w:rPr>
        <w:t>:</w:t>
      </w:r>
      <w:r w:rsidR="00593F1F" w:rsidRPr="00E022B8">
        <w:rPr>
          <w:b/>
        </w:rPr>
        <w:t xml:space="preserve"> </w:t>
      </w:r>
      <w:r w:rsidR="007A4AC7" w:rsidRPr="00E022B8">
        <w:rPr>
          <w:b/>
        </w:rPr>
        <w:t>Hong Kong</w:t>
      </w:r>
    </w:p>
    <w:p w14:paraId="7C4E32E7" w14:textId="77777777" w:rsidR="00660D34" w:rsidRPr="00CB2C31" w:rsidRDefault="00660D34" w:rsidP="00623C41">
      <w:pPr>
        <w:pStyle w:val="DoublePara"/>
        <w:rPr>
          <w:lang w:val="en-US"/>
        </w:rPr>
      </w:pPr>
      <w:r w:rsidRPr="00CB2C31">
        <w:rPr>
          <w:lang w:val="en-US"/>
        </w:rPr>
        <w:t xml:space="preserve">The HK </w:t>
      </w:r>
      <w:r w:rsidR="00B06F01" w:rsidRPr="00CB2C31">
        <w:rPr>
          <w:lang w:val="en-US"/>
        </w:rPr>
        <w:t>CG</w:t>
      </w:r>
      <w:r w:rsidRPr="00CB2C31">
        <w:rPr>
          <w:lang w:val="en-US"/>
        </w:rPr>
        <w:t xml:space="preserve"> Code which has been amended by the </w:t>
      </w:r>
      <w:r w:rsidR="00F52449" w:rsidRPr="00CB2C31">
        <w:rPr>
          <w:lang w:val="en-US"/>
        </w:rPr>
        <w:t>Consultation Conclusions</w:t>
      </w:r>
      <w:r w:rsidRPr="00CB2C31">
        <w:rPr>
          <w:lang w:val="en-US"/>
        </w:rPr>
        <w:t xml:space="preserve"> and subsequent Guidance sets out several practices which are required in order to achieve greater gender diversity at the board level:</w:t>
      </w:r>
    </w:p>
    <w:p w14:paraId="5F03BA08" w14:textId="77777777" w:rsidR="00660D34" w:rsidRPr="00CB2C31" w:rsidRDefault="00660D34" w:rsidP="00623C41">
      <w:pPr>
        <w:pStyle w:val="LegalCombo5"/>
      </w:pPr>
      <w:r w:rsidRPr="00E022B8">
        <w:rPr>
          <w:b/>
        </w:rPr>
        <w:t>Mandatory requirement to publish a diversity policy</w:t>
      </w:r>
      <w:r w:rsidRPr="00CB2C31">
        <w:t xml:space="preserve"> (Listing Rule 13.92 requires a listed company to disclose such information);</w:t>
      </w:r>
    </w:p>
    <w:p w14:paraId="2D04B753" w14:textId="77777777" w:rsidR="00660D34" w:rsidRPr="00CB2C31" w:rsidRDefault="00660D34" w:rsidP="00623C41">
      <w:pPr>
        <w:pStyle w:val="LegalCombo5"/>
      </w:pPr>
      <w:r w:rsidRPr="00E022B8">
        <w:rPr>
          <w:b/>
        </w:rPr>
        <w:t>Mandatory requirement to explain the appointment process to shareholders</w:t>
      </w:r>
      <w:r w:rsidRPr="00CB2C31">
        <w:t>, in particular setting out the ways in which new director appointments satisfy the diversity criteria (this is a mandatory disclosure under the HK CG Code);</w:t>
      </w:r>
    </w:p>
    <w:p w14:paraId="28F9ACA4" w14:textId="77777777" w:rsidR="00660D34" w:rsidRPr="00CB2C31" w:rsidRDefault="00660D34" w:rsidP="00623C41">
      <w:pPr>
        <w:pStyle w:val="LegalCombo5"/>
      </w:pPr>
      <w:r w:rsidRPr="00E022B8">
        <w:rPr>
          <w:b/>
        </w:rPr>
        <w:t>Requirement for companies to consider directorship turnover</w:t>
      </w:r>
      <w:r w:rsidRPr="00CB2C31">
        <w:t xml:space="preserve"> (under the HK CG Code, all directors are subject to re-election and retirement at regular intervals); and</w:t>
      </w:r>
    </w:p>
    <w:p w14:paraId="0D60DFFB" w14:textId="77777777" w:rsidR="00660D34" w:rsidRPr="00CB2C31" w:rsidRDefault="00660D34" w:rsidP="00623C41">
      <w:pPr>
        <w:pStyle w:val="LegalCombo5"/>
      </w:pPr>
      <w:r w:rsidRPr="00E022B8">
        <w:rPr>
          <w:b/>
        </w:rPr>
        <w:t xml:space="preserve">Benchmarking against other </w:t>
      </w:r>
      <w:r w:rsidR="00236E78" w:rsidRPr="00E022B8">
        <w:rPr>
          <w:b/>
        </w:rPr>
        <w:t>neighboring</w:t>
      </w:r>
      <w:r w:rsidRPr="00E022B8">
        <w:rPr>
          <w:b/>
        </w:rPr>
        <w:t xml:space="preserve"> jurisdictions</w:t>
      </w:r>
      <w:r w:rsidRPr="00CB2C31">
        <w:t xml:space="preserve"> (the Guidance states that Hong Kong is falling behind other jurisdictions and encourages companies to rectify this shortfall)</w:t>
      </w:r>
      <w:r w:rsidR="008B7C85" w:rsidRPr="00CB2C31">
        <w:t>.</w:t>
      </w:r>
    </w:p>
    <w:p w14:paraId="587D4FD6" w14:textId="77777777" w:rsidR="00660D34" w:rsidRDefault="00660D34" w:rsidP="00623C41">
      <w:pPr>
        <w:pStyle w:val="DoublePara"/>
        <w:rPr>
          <w:lang w:val="en-US"/>
        </w:rPr>
      </w:pPr>
      <w:r w:rsidRPr="00CB2C31">
        <w:rPr>
          <w:lang w:val="en-US"/>
        </w:rPr>
        <w:t xml:space="preserve">In addition to the requirements set out in the Guidance and related regulations with regard to gender diversity, investor groups such as Board Diversity HK and </w:t>
      </w:r>
      <w:r w:rsidRPr="00E022B8">
        <w:rPr>
          <w:b/>
          <w:lang w:val="en-US"/>
        </w:rPr>
        <w:t xml:space="preserve">not-for-profit groups </w:t>
      </w:r>
      <w:r w:rsidRPr="00CB2C31">
        <w:rPr>
          <w:lang w:val="en-US"/>
        </w:rPr>
        <w:t>such as Community Business and The Women</w:t>
      </w:r>
      <w:r w:rsidR="00593F1F">
        <w:rPr>
          <w:lang w:val="en-US"/>
        </w:rPr>
        <w:t>’</w:t>
      </w:r>
      <w:r w:rsidRPr="00CB2C31">
        <w:rPr>
          <w:lang w:val="en-US"/>
        </w:rPr>
        <w:t>s Foundation have also highlighted the importance of increasing diversity at the board level and have set out best practices for listed companies to follow in order to achieve better results.</w:t>
      </w:r>
    </w:p>
    <w:p w14:paraId="5A6CB2A9" w14:textId="77777777" w:rsidR="009B65E1" w:rsidRPr="00CB2C31" w:rsidRDefault="009B65E1" w:rsidP="00623C41">
      <w:pPr>
        <w:pStyle w:val="DoublePara"/>
        <w:rPr>
          <w:lang w:val="en-US"/>
        </w:rPr>
      </w:pPr>
      <w:r w:rsidRPr="00CB2C31">
        <w:t>Board Diversity HK encourages and engages in the following practices:</w:t>
      </w:r>
    </w:p>
    <w:p w14:paraId="170EE925" w14:textId="77777777" w:rsidR="0015281C" w:rsidRPr="00CB2C31" w:rsidRDefault="009B65E1" w:rsidP="00141FF7">
      <w:pPr>
        <w:pStyle w:val="LegalCombo5"/>
        <w:numPr>
          <w:ilvl w:val="4"/>
          <w:numId w:val="31"/>
        </w:numPr>
      </w:pPr>
      <w:r w:rsidRPr="001816F9">
        <w:rPr>
          <w:b/>
        </w:rPr>
        <w:t xml:space="preserve">Active investor engagement on corporate governance issues concerning diversity </w:t>
      </w:r>
      <w:r w:rsidRPr="00CB2C31">
        <w:t>including engaging with investee companies before and after listing on the market;</w:t>
      </w:r>
      <w:r w:rsidRPr="00CB2C31">
        <w:rPr>
          <w:rStyle w:val="FootnoteReference"/>
        </w:rPr>
        <w:footnoteReference w:id="300"/>
      </w:r>
    </w:p>
    <w:p w14:paraId="3212EB90" w14:textId="5D1F278B" w:rsidR="0015281C" w:rsidRPr="00CB2C31" w:rsidRDefault="009B65E1" w:rsidP="00623C41">
      <w:pPr>
        <w:pStyle w:val="LegalCombo5"/>
      </w:pPr>
      <w:r w:rsidRPr="00E022B8">
        <w:rPr>
          <w:b/>
        </w:rPr>
        <w:t>Raising the diversity question with management and the board when necessary</w:t>
      </w:r>
      <w:r w:rsidRPr="00CB2C31">
        <w:t xml:space="preserve">.  In its </w:t>
      </w:r>
      <w:r w:rsidR="00593F1F">
        <w:t>‘</w:t>
      </w:r>
      <w:r w:rsidRPr="00CB2C31">
        <w:t>Investor Tool Kit</w:t>
      </w:r>
      <w:r w:rsidR="001816F9">
        <w:t>,</w:t>
      </w:r>
      <w:r w:rsidR="00593F1F">
        <w:t>’</w:t>
      </w:r>
      <w:r w:rsidRPr="00CB2C31">
        <w:t xml:space="preserve"> Board Diversity HK encourages investors to actively raise such issues with boards that are not performing adequately;</w:t>
      </w:r>
      <w:r w:rsidRPr="00CB2C31">
        <w:rPr>
          <w:rStyle w:val="FootnoteReference"/>
        </w:rPr>
        <w:footnoteReference w:id="301"/>
      </w:r>
      <w:r w:rsidRPr="00CB2C31">
        <w:t xml:space="preserve"> and</w:t>
      </w:r>
    </w:p>
    <w:p w14:paraId="1AE3B2DB" w14:textId="77777777" w:rsidR="0015281C" w:rsidRPr="00CB2C31" w:rsidRDefault="009B65E1" w:rsidP="00623C41">
      <w:pPr>
        <w:pStyle w:val="LegalCombo5"/>
      </w:pPr>
      <w:r w:rsidRPr="00E022B8">
        <w:rPr>
          <w:b/>
        </w:rPr>
        <w:t>Reviewing and questioning company reporting on the topic of diversity</w:t>
      </w:r>
      <w:r w:rsidRPr="00CB2C31">
        <w:t>.  Board Diversity HK encourages investors to scrutinize company reports on diversity and consider engaging with the board if reports are not demonstrating signs of improvement.</w:t>
      </w:r>
      <w:r w:rsidRPr="00CB2C31">
        <w:rPr>
          <w:rStyle w:val="FootnoteReference"/>
        </w:rPr>
        <w:footnoteReference w:id="302"/>
      </w:r>
    </w:p>
    <w:p w14:paraId="2C51303C" w14:textId="77777777" w:rsidR="0015281C" w:rsidRPr="00CB2C31" w:rsidRDefault="00236E78" w:rsidP="00623C41">
      <w:pPr>
        <w:pStyle w:val="DoublePara"/>
        <w:rPr>
          <w:lang w:val="en-US"/>
        </w:rPr>
      </w:pPr>
      <w:r w:rsidRPr="00CB2C31">
        <w:rPr>
          <w:lang w:val="en-US"/>
        </w:rPr>
        <w:t>Organizations</w:t>
      </w:r>
      <w:r w:rsidR="00660D34" w:rsidRPr="00CB2C31">
        <w:rPr>
          <w:lang w:val="en-US"/>
        </w:rPr>
        <w:t xml:space="preserve"> such as Community Business and The Women</w:t>
      </w:r>
      <w:r w:rsidR="00593F1F">
        <w:rPr>
          <w:lang w:val="en-US"/>
        </w:rPr>
        <w:t>’</w:t>
      </w:r>
      <w:r w:rsidR="00660D34" w:rsidRPr="00CB2C31">
        <w:rPr>
          <w:lang w:val="en-US"/>
        </w:rPr>
        <w:t xml:space="preserve">s Foundation have also promoted the following practices in their case studies of </w:t>
      </w:r>
      <w:r w:rsidR="0015281C" w:rsidRPr="00CB2C31">
        <w:rPr>
          <w:lang w:val="en-US"/>
        </w:rPr>
        <w:t>board composition in Hong Kong:</w:t>
      </w:r>
    </w:p>
    <w:p w14:paraId="41B43BDF" w14:textId="3A4B2165" w:rsidR="0015281C" w:rsidRPr="00CB2C31" w:rsidRDefault="00660D34" w:rsidP="00AB7050">
      <w:pPr>
        <w:pStyle w:val="LegalCombo5"/>
        <w:numPr>
          <w:ilvl w:val="4"/>
          <w:numId w:val="22"/>
        </w:numPr>
      </w:pPr>
      <w:r w:rsidRPr="00E022B8">
        <w:rPr>
          <w:b/>
        </w:rPr>
        <w:t xml:space="preserve">Mentoring </w:t>
      </w:r>
      <w:r w:rsidR="00236E78" w:rsidRPr="00E022B8">
        <w:rPr>
          <w:b/>
        </w:rPr>
        <w:t>programs</w:t>
      </w:r>
      <w:r w:rsidR="001877C9" w:rsidRPr="00CB2C31">
        <w:t xml:space="preserve">.  </w:t>
      </w:r>
      <w:r w:rsidRPr="00CB2C31">
        <w:t>The Women</w:t>
      </w:r>
      <w:r w:rsidR="00593F1F">
        <w:t>’</w:t>
      </w:r>
      <w:r w:rsidRPr="00CB2C31">
        <w:t>s Foundation run</w:t>
      </w:r>
      <w:r w:rsidR="00EE0562">
        <w:t>s</w:t>
      </w:r>
      <w:r w:rsidRPr="00CB2C31">
        <w:t xml:space="preserve"> mentoring </w:t>
      </w:r>
      <w:r w:rsidR="00236E78" w:rsidRPr="00CB2C31">
        <w:t>programs</w:t>
      </w:r>
      <w:r w:rsidRPr="00CB2C31">
        <w:t xml:space="preserve"> </w:t>
      </w:r>
      <w:r w:rsidR="00EE0562">
        <w:t xml:space="preserve">in which </w:t>
      </w:r>
      <w:r w:rsidRPr="00CB2C31">
        <w:t>female professionals in leadership roles have the opportunity to mentor other female professionals in order to promote the career progression of women in the work place</w:t>
      </w:r>
      <w:r w:rsidR="00F111D2" w:rsidRPr="00CB2C31">
        <w:t xml:space="preserve">.  </w:t>
      </w:r>
      <w:r w:rsidRPr="00CB2C31">
        <w:t>Community Business encourages companies to run mentorship initiatives internally in order to increase the number of women to be considered at the nominati</w:t>
      </w:r>
      <w:r w:rsidR="008B7C85" w:rsidRPr="00CB2C31">
        <w:t>on process for leadership roles;</w:t>
      </w:r>
      <w:r w:rsidRPr="00CB2C31">
        <w:rPr>
          <w:rStyle w:val="FootnoteReference"/>
        </w:rPr>
        <w:footnoteReference w:id="303"/>
      </w:r>
    </w:p>
    <w:p w14:paraId="3A69BE31" w14:textId="77777777" w:rsidR="0015281C" w:rsidRPr="00CB2C31" w:rsidRDefault="00660D34" w:rsidP="00623C41">
      <w:pPr>
        <w:pStyle w:val="LegalCombo5"/>
      </w:pPr>
      <w:r w:rsidRPr="00E022B8">
        <w:rPr>
          <w:b/>
        </w:rPr>
        <w:t>Male allies initiative</w:t>
      </w:r>
      <w:r w:rsidR="00F111D2" w:rsidRPr="00CB2C31">
        <w:t xml:space="preserve">.  </w:t>
      </w:r>
      <w:r w:rsidRPr="00CB2C31">
        <w:t>The Women</w:t>
      </w:r>
      <w:r w:rsidR="00593F1F">
        <w:t>’</w:t>
      </w:r>
      <w:r w:rsidRPr="00CB2C31">
        <w:t xml:space="preserve">s Foundation runs a </w:t>
      </w:r>
      <w:r w:rsidR="00236E78" w:rsidRPr="00CB2C31">
        <w:t>program</w:t>
      </w:r>
      <w:r w:rsidRPr="00CB2C31">
        <w:t xml:space="preserve"> which brings together male business leaders who can leverage their collective influence to promote gender equality and encourage other male directors to engage in improving gender diversity at the leadership level;</w:t>
      </w:r>
      <w:r w:rsidRPr="00CB2C31">
        <w:rPr>
          <w:rStyle w:val="FootnoteReference"/>
        </w:rPr>
        <w:footnoteReference w:id="304"/>
      </w:r>
      <w:r w:rsidRPr="00CB2C31">
        <w:t xml:space="preserve"> and</w:t>
      </w:r>
    </w:p>
    <w:p w14:paraId="05B23206" w14:textId="77777777" w:rsidR="00660D34" w:rsidRPr="00CB2C31" w:rsidRDefault="00660D34" w:rsidP="00623C41">
      <w:pPr>
        <w:pStyle w:val="LegalCombo5"/>
      </w:pPr>
      <w:r w:rsidRPr="00E022B8">
        <w:rPr>
          <w:b/>
        </w:rPr>
        <w:t>Publishing results and keeping tabs on specific companies</w:t>
      </w:r>
      <w:r w:rsidR="00F111D2" w:rsidRPr="00CB2C31">
        <w:t xml:space="preserve">.  </w:t>
      </w:r>
      <w:r w:rsidRPr="00CB2C31">
        <w:t xml:space="preserve">Community Business, as well as other similar </w:t>
      </w:r>
      <w:r w:rsidR="00236E78" w:rsidRPr="00CB2C31">
        <w:t>organizations</w:t>
      </w:r>
      <w:r w:rsidRPr="00CB2C31">
        <w:t xml:space="preserve"> in Hong Kong such as The 30% Club Hong Kong Chapter, regularly publish diversity results on listed companies in order to both promote successful companies and single out companies who are still lagging behind</w:t>
      </w:r>
      <w:r w:rsidR="00F111D2" w:rsidRPr="00CB2C31">
        <w:t xml:space="preserve">.  </w:t>
      </w:r>
      <w:r w:rsidRPr="00CB2C31">
        <w:t xml:space="preserve">This system of benchmarking and measuring is in line with the HKEX initiative to ensure that Hong Kong no longer lags behind its </w:t>
      </w:r>
      <w:r w:rsidR="00236E78" w:rsidRPr="00CB2C31">
        <w:t>neighbors</w:t>
      </w:r>
      <w:r w:rsidRPr="00CB2C31">
        <w:t xml:space="preserve"> in terms of board diversity.</w:t>
      </w:r>
      <w:r w:rsidRPr="00CB2C31">
        <w:rPr>
          <w:rStyle w:val="FootnoteReference"/>
        </w:rPr>
        <w:footnoteReference w:id="305"/>
      </w:r>
    </w:p>
    <w:p w14:paraId="2035C9F4" w14:textId="77777777" w:rsidR="00660D34" w:rsidRPr="00CB2C31" w:rsidRDefault="00660D34" w:rsidP="00623C41">
      <w:pPr>
        <w:pStyle w:val="DoublePara"/>
        <w:rPr>
          <w:lang w:val="en-US"/>
        </w:rPr>
      </w:pPr>
      <w:r w:rsidRPr="00CB2C31">
        <w:rPr>
          <w:lang w:val="en-US"/>
        </w:rPr>
        <w:t>It is currently unclear how the new rules and regulations for corporate governance and the heightened public awareness in this area will affect the numbers going forward, however such r</w:t>
      </w:r>
      <w:r w:rsidR="008B7C85" w:rsidRPr="00CB2C31">
        <w:rPr>
          <w:lang w:val="en-US"/>
        </w:rPr>
        <w:t>equirements have established an</w:t>
      </w:r>
      <w:r w:rsidRPr="00CB2C31">
        <w:rPr>
          <w:lang w:val="en-US"/>
        </w:rPr>
        <w:t xml:space="preserve"> environment and a framework in which it should be easier for women to reach leadership positions.</w:t>
      </w:r>
      <w:r w:rsidR="00F7035F" w:rsidRPr="00CB2C31">
        <w:rPr>
          <w:lang w:val="en-US"/>
        </w:rPr>
        <w:t xml:space="preserve"> </w:t>
      </w:r>
    </w:p>
    <w:p w14:paraId="4A914AD7" w14:textId="77777777" w:rsidR="00092738" w:rsidRPr="00CB2C31" w:rsidRDefault="0085317F" w:rsidP="00623C41">
      <w:pPr>
        <w:pStyle w:val="LegalCombo2"/>
      </w:pPr>
      <w:bookmarkStart w:id="372" w:name="_Toc15027211"/>
      <w:bookmarkStart w:id="373" w:name="_Toc15027602"/>
      <w:bookmarkStart w:id="374" w:name="_Toc15027880"/>
      <w:bookmarkStart w:id="375" w:name="_Toc22905005"/>
      <w:bookmarkStart w:id="376" w:name="_Toc24114404"/>
      <w:bookmarkStart w:id="377" w:name="_Toc16692502"/>
      <w:bookmarkStart w:id="378" w:name="_Toc512156412"/>
      <w:bookmarkStart w:id="379" w:name="_Toc512163745"/>
      <w:bookmarkStart w:id="380" w:name="_Toc513199214"/>
      <w:r w:rsidRPr="00CB2C31">
        <w:t>THE AMERICA</w:t>
      </w:r>
      <w:bookmarkEnd w:id="372"/>
      <w:bookmarkEnd w:id="373"/>
      <w:bookmarkEnd w:id="374"/>
      <w:r w:rsidRPr="00CB2C31">
        <w:t>S</w:t>
      </w:r>
      <w:bookmarkEnd w:id="375"/>
      <w:bookmarkEnd w:id="376"/>
      <w:r w:rsidRPr="00CB2C31">
        <w:t xml:space="preserve"> </w:t>
      </w:r>
      <w:bookmarkEnd w:id="377"/>
    </w:p>
    <w:p w14:paraId="42F0F299" w14:textId="504AE577" w:rsidR="00092738" w:rsidRPr="00CB2C31" w:rsidRDefault="00B328FD" w:rsidP="00623C41">
      <w:pPr>
        <w:pStyle w:val="DoublePara"/>
        <w:rPr>
          <w:lang w:val="en-US"/>
        </w:rPr>
      </w:pPr>
      <w:r w:rsidRPr="00CB2C31">
        <w:rPr>
          <w:lang w:val="en-US"/>
        </w:rPr>
        <w:t xml:space="preserve">Across the Americas there are many different initiatives to promote </w:t>
      </w:r>
      <w:r w:rsidR="005D755C" w:rsidRPr="00CB2C31">
        <w:rPr>
          <w:lang w:val="en-US"/>
        </w:rPr>
        <w:t>gender balance</w:t>
      </w:r>
      <w:r w:rsidRPr="00CB2C31">
        <w:rPr>
          <w:lang w:val="en-US"/>
        </w:rPr>
        <w:t xml:space="preserve"> on governing bodies.  This section will focus on </w:t>
      </w:r>
      <w:r w:rsidR="000613B0">
        <w:rPr>
          <w:lang w:val="en-US"/>
        </w:rPr>
        <w:t xml:space="preserve">four </w:t>
      </w:r>
      <w:r w:rsidRPr="00CB2C31">
        <w:rPr>
          <w:lang w:val="en-US"/>
        </w:rPr>
        <w:t>interesting examples of actions taken in the private and public sectors.  Below we have highlighted quotas imposed in the U.S. at the state level and in Canada at the provincial leve</w:t>
      </w:r>
      <w:r w:rsidR="008945AB" w:rsidRPr="00CB2C31">
        <w:rPr>
          <w:lang w:val="en-US"/>
        </w:rPr>
        <w:t>l</w:t>
      </w:r>
      <w:r w:rsidR="000613B0">
        <w:rPr>
          <w:lang w:val="en-US"/>
        </w:rPr>
        <w:t xml:space="preserve">, </w:t>
      </w:r>
      <w:r w:rsidR="008945AB" w:rsidRPr="00CB2C31">
        <w:rPr>
          <w:lang w:val="en-US"/>
        </w:rPr>
        <w:t>NGO programs in Jamaica that provide training for women to prepare them for board representation</w:t>
      </w:r>
      <w:r w:rsidR="000613B0">
        <w:rPr>
          <w:lang w:val="en-US"/>
        </w:rPr>
        <w:t xml:space="preserve"> and the Gender Parity Initiative in Chile</w:t>
      </w:r>
      <w:r w:rsidR="000C6BF1">
        <w:rPr>
          <w:lang w:val="en-US"/>
        </w:rPr>
        <w:t>.</w:t>
      </w:r>
    </w:p>
    <w:p w14:paraId="30979EEA" w14:textId="77777777" w:rsidR="00092738" w:rsidRPr="002E5273" w:rsidRDefault="00092738" w:rsidP="00623C41">
      <w:pPr>
        <w:pStyle w:val="LegalCombo3"/>
        <w:rPr>
          <w:b w:val="0"/>
        </w:rPr>
      </w:pPr>
      <w:bookmarkStart w:id="381" w:name="_Toc15027214"/>
      <w:bookmarkStart w:id="382" w:name="_Toc15027605"/>
      <w:bookmarkStart w:id="383" w:name="_Toc15027883"/>
      <w:bookmarkStart w:id="384" w:name="_Toc16692503"/>
      <w:bookmarkStart w:id="385" w:name="_Toc22905006"/>
      <w:bookmarkStart w:id="386" w:name="_Toc24114405"/>
      <w:r w:rsidRPr="002E5273">
        <w:t>United States of America</w:t>
      </w:r>
      <w:bookmarkEnd w:id="378"/>
      <w:bookmarkEnd w:id="379"/>
      <w:bookmarkEnd w:id="380"/>
      <w:bookmarkEnd w:id="381"/>
      <w:bookmarkEnd w:id="382"/>
      <w:bookmarkEnd w:id="383"/>
      <w:bookmarkEnd w:id="384"/>
      <w:bookmarkEnd w:id="385"/>
      <w:bookmarkEnd w:id="386"/>
    </w:p>
    <w:p w14:paraId="43B84DDA" w14:textId="77777777" w:rsidR="00092738" w:rsidRPr="00CB2C31" w:rsidRDefault="00092738" w:rsidP="00623C41">
      <w:pPr>
        <w:pStyle w:val="LegalCombo4"/>
        <w:keepNext/>
      </w:pPr>
      <w:bookmarkStart w:id="387" w:name="_Toc512156413"/>
      <w:bookmarkStart w:id="388" w:name="_Toc512163746"/>
      <w:bookmarkStart w:id="389" w:name="_Toc513199215"/>
      <w:bookmarkStart w:id="390" w:name="_Toc525910502"/>
      <w:r w:rsidRPr="00CB2C31">
        <w:t>Introduction</w:t>
      </w:r>
      <w:bookmarkEnd w:id="387"/>
      <w:bookmarkEnd w:id="388"/>
      <w:bookmarkEnd w:id="389"/>
      <w:bookmarkEnd w:id="390"/>
    </w:p>
    <w:p w14:paraId="108F6BAE" w14:textId="6834E275" w:rsidR="00092738" w:rsidRPr="00CB2C31" w:rsidRDefault="00092738" w:rsidP="00623C41">
      <w:pPr>
        <w:pStyle w:val="DoublePara"/>
        <w:rPr>
          <w:lang w:val="en-US"/>
        </w:rPr>
      </w:pPr>
      <w:r w:rsidRPr="00CB2C31">
        <w:rPr>
          <w:lang w:val="en-US"/>
        </w:rPr>
        <w:t>This section explores the approach to corporate governance in public companies in the U</w:t>
      </w:r>
      <w:r w:rsidR="009B65E1">
        <w:rPr>
          <w:lang w:val="en-US"/>
        </w:rPr>
        <w:t>.</w:t>
      </w:r>
      <w:r w:rsidRPr="00CB2C31">
        <w:rPr>
          <w:lang w:val="en-US"/>
        </w:rPr>
        <w:t>S</w:t>
      </w:r>
      <w:r w:rsidR="00F111D2" w:rsidRPr="00CB2C31">
        <w:rPr>
          <w:lang w:val="en-US"/>
        </w:rPr>
        <w:t xml:space="preserve">.  </w:t>
      </w:r>
      <w:r w:rsidR="009B65E1">
        <w:rPr>
          <w:lang w:val="en-US"/>
        </w:rPr>
        <w:t xml:space="preserve">U.S. </w:t>
      </w:r>
      <w:r w:rsidRPr="00CB2C31">
        <w:rPr>
          <w:lang w:val="en-US"/>
        </w:rPr>
        <w:t>legislation and regulation provides little guidance on corporate governance for public companies on how to assess and establish diversity policies</w:t>
      </w:r>
      <w:r w:rsidR="00F111D2" w:rsidRPr="00CB2C31">
        <w:rPr>
          <w:lang w:val="en-US"/>
        </w:rPr>
        <w:t xml:space="preserve">.  </w:t>
      </w:r>
      <w:r w:rsidRPr="00CB2C31">
        <w:rPr>
          <w:lang w:val="en-US"/>
        </w:rPr>
        <w:t xml:space="preserve">As described in more detail below, the Securities and Exchange Commission (the </w:t>
      </w:r>
      <w:r w:rsidR="00203E75" w:rsidRPr="00203E75">
        <w:rPr>
          <w:i/>
          <w:lang w:val="en-US"/>
        </w:rPr>
        <w:t>“</w:t>
      </w:r>
      <w:r w:rsidRPr="00CB2C31">
        <w:rPr>
          <w:b/>
          <w:lang w:val="en-US"/>
        </w:rPr>
        <w:t>SEC</w:t>
      </w:r>
      <w:r w:rsidR="00203E75" w:rsidRPr="00203E75">
        <w:rPr>
          <w:i/>
          <w:lang w:val="en-US"/>
        </w:rPr>
        <w:t>”</w:t>
      </w:r>
      <w:r w:rsidRPr="00CB2C31">
        <w:rPr>
          <w:lang w:val="en-US"/>
        </w:rPr>
        <w:t>) has developed regulations and policies for both publicly listed companies and regulated entities with regard to diversity, but these initiatives have not been guiding forces in the U</w:t>
      </w:r>
      <w:r w:rsidR="00471FCE">
        <w:rPr>
          <w:lang w:val="en-US"/>
        </w:rPr>
        <w:t>.</w:t>
      </w:r>
      <w:r w:rsidRPr="00CB2C31">
        <w:rPr>
          <w:lang w:val="en-US"/>
        </w:rPr>
        <w:t>S</w:t>
      </w:r>
      <w:r w:rsidR="00F111D2" w:rsidRPr="00CB2C31">
        <w:rPr>
          <w:lang w:val="en-US"/>
        </w:rPr>
        <w:t xml:space="preserve">.  </w:t>
      </w:r>
      <w:r w:rsidRPr="00CB2C31">
        <w:rPr>
          <w:lang w:val="en-US"/>
        </w:rPr>
        <w:t>Consequently, American companies have had to address the issue of diversity themselves, often under the influence of investors who have voiced their concerns about diversity, gender diversity in particular, among board members</w:t>
      </w:r>
      <w:r w:rsidR="00F111D2" w:rsidRPr="00CB2C31">
        <w:rPr>
          <w:lang w:val="en-US"/>
        </w:rPr>
        <w:t xml:space="preserve">.  </w:t>
      </w:r>
      <w:r w:rsidR="009B65E1">
        <w:rPr>
          <w:lang w:val="en-US"/>
        </w:rPr>
        <w:t xml:space="preserve">This section </w:t>
      </w:r>
      <w:r w:rsidR="00EE0562">
        <w:rPr>
          <w:lang w:val="en-US"/>
        </w:rPr>
        <w:t>analyz</w:t>
      </w:r>
      <w:r w:rsidR="00EE0562" w:rsidRPr="00CB2C31">
        <w:rPr>
          <w:lang w:val="en-US"/>
        </w:rPr>
        <w:t xml:space="preserve">es </w:t>
      </w:r>
      <w:r w:rsidRPr="00CB2C31">
        <w:rPr>
          <w:lang w:val="en-US"/>
        </w:rPr>
        <w:t>and draws best practices from the diversity initiatives and guidelines developed by the SEC, investor groups and non-profit organizations.</w:t>
      </w:r>
    </w:p>
    <w:p w14:paraId="6922B0A0" w14:textId="77777777" w:rsidR="00092738" w:rsidRPr="00CB2C31" w:rsidRDefault="00092738" w:rsidP="00623C41">
      <w:pPr>
        <w:pStyle w:val="LegalCombo4"/>
        <w:keepNext/>
      </w:pPr>
      <w:bookmarkStart w:id="391" w:name="_Toc512156414"/>
      <w:bookmarkStart w:id="392" w:name="_Toc512163747"/>
      <w:bookmarkStart w:id="393" w:name="_Toc513199216"/>
      <w:bookmarkStart w:id="394" w:name="_Toc525910503"/>
      <w:r w:rsidRPr="00CB2C31">
        <w:t>C</w:t>
      </w:r>
      <w:bookmarkEnd w:id="391"/>
      <w:bookmarkEnd w:id="392"/>
      <w:bookmarkEnd w:id="393"/>
      <w:bookmarkEnd w:id="394"/>
      <w:r w:rsidR="00B328FD" w:rsidRPr="00CB2C31">
        <w:t>orporate Governance</w:t>
      </w:r>
    </w:p>
    <w:p w14:paraId="72DECFBA" w14:textId="77777777" w:rsidR="00092738" w:rsidRPr="00CB2C31" w:rsidRDefault="00092738" w:rsidP="00623C41">
      <w:pPr>
        <w:pStyle w:val="DoublePara"/>
        <w:rPr>
          <w:lang w:val="en-US"/>
        </w:rPr>
      </w:pPr>
      <w:bookmarkStart w:id="395" w:name="_Toc511986887"/>
      <w:bookmarkStart w:id="396" w:name="_Toc512156415"/>
      <w:bookmarkStart w:id="397" w:name="_Toc512162779"/>
      <w:bookmarkStart w:id="398" w:name="_Toc512163748"/>
      <w:r w:rsidRPr="00CB2C31">
        <w:rPr>
          <w:lang w:val="en-US"/>
        </w:rPr>
        <w:t>At a federal level, the SEC requires publicly listed companies to disclose material financial and other information to the public.</w:t>
      </w:r>
      <w:r w:rsidRPr="00CB2C31">
        <w:rPr>
          <w:rStyle w:val="FootnoteReference"/>
          <w:lang w:val="en-US"/>
        </w:rPr>
        <w:footnoteReference w:id="306"/>
      </w:r>
      <w:r w:rsidRPr="00CB2C31">
        <w:rPr>
          <w:lang w:val="en-US"/>
        </w:rPr>
        <w:t xml:space="preserve"> </w:t>
      </w:r>
      <w:r w:rsidR="0009628A">
        <w:rPr>
          <w:lang w:val="en-US"/>
        </w:rPr>
        <w:t xml:space="preserve"> </w:t>
      </w:r>
      <w:r w:rsidRPr="00CB2C31">
        <w:rPr>
          <w:lang w:val="en-US"/>
        </w:rPr>
        <w:t>The SEC requires this information so that it can be used by investors to determine whether to buy, sell or hold a particular security of a public company</w:t>
      </w:r>
      <w:r w:rsidR="00F111D2" w:rsidRPr="00CB2C31">
        <w:rPr>
          <w:lang w:val="en-US"/>
        </w:rPr>
        <w:t xml:space="preserve">.  </w:t>
      </w:r>
      <w:r w:rsidRPr="00CB2C31">
        <w:rPr>
          <w:lang w:val="en-US"/>
        </w:rPr>
        <w:t>The SEC requires public companies to describe their nomination process for electing directors to the board, and whether this process considers diversity.</w:t>
      </w:r>
      <w:r w:rsidRPr="0009628A">
        <w:rPr>
          <w:rStyle w:val="FootnoteReference"/>
          <w:lang w:val="en-US"/>
        </w:rPr>
        <w:footnoteReference w:id="307"/>
      </w:r>
      <w:r w:rsidRPr="00CB2C31">
        <w:rPr>
          <w:lang w:val="en-US"/>
        </w:rPr>
        <w:t xml:space="preserve"> </w:t>
      </w:r>
      <w:r w:rsidR="0009628A">
        <w:rPr>
          <w:lang w:val="en-US"/>
        </w:rPr>
        <w:t xml:space="preserve"> </w:t>
      </w:r>
      <w:r w:rsidRPr="00CB2C31">
        <w:rPr>
          <w:lang w:val="en-US"/>
        </w:rPr>
        <w:t xml:space="preserve">The SEC regulation does not define </w:t>
      </w:r>
      <w:r w:rsidR="00593F1F">
        <w:rPr>
          <w:lang w:val="en-US"/>
        </w:rPr>
        <w:t>‘</w:t>
      </w:r>
      <w:r w:rsidRPr="00CB2C31">
        <w:rPr>
          <w:lang w:val="en-US"/>
        </w:rPr>
        <w:t>diversity</w:t>
      </w:r>
      <w:r w:rsidR="00593F1F">
        <w:rPr>
          <w:lang w:val="en-US"/>
        </w:rPr>
        <w:t>’</w:t>
      </w:r>
      <w:r w:rsidRPr="00CB2C31">
        <w:rPr>
          <w:lang w:val="en-US"/>
        </w:rPr>
        <w:t xml:space="preserve"> nor does it provide guidance on criteria for companies to consider when assessing the diversity of their boards.</w:t>
      </w:r>
      <w:bookmarkStart w:id="399" w:name="_Ref16193546"/>
      <w:r w:rsidRPr="0009628A">
        <w:rPr>
          <w:rStyle w:val="FootnoteReference"/>
          <w:lang w:val="en-US"/>
        </w:rPr>
        <w:footnoteReference w:id="308"/>
      </w:r>
      <w:bookmarkEnd w:id="399"/>
      <w:r w:rsidRPr="00CB2C31">
        <w:rPr>
          <w:lang w:val="en-US"/>
        </w:rPr>
        <w:t xml:space="preserve"> </w:t>
      </w:r>
    </w:p>
    <w:p w14:paraId="68D3F819" w14:textId="37DA8EA1" w:rsidR="00092738" w:rsidRPr="00CB2C31" w:rsidRDefault="00092738" w:rsidP="00623C41">
      <w:pPr>
        <w:pStyle w:val="DoublePara"/>
        <w:rPr>
          <w:lang w:val="en-US"/>
        </w:rPr>
      </w:pPr>
      <w:r w:rsidRPr="00CB2C31">
        <w:rPr>
          <w:lang w:val="en-US"/>
        </w:rPr>
        <w:t>The SEC also oversees key participants in the securities world, including securities exchanges, securities brokers and dealers, investment advisors and mutual funds.</w:t>
      </w:r>
      <w:r w:rsidRPr="00CB2C31">
        <w:rPr>
          <w:rStyle w:val="FootnoteReference"/>
          <w:lang w:val="en-US"/>
        </w:rPr>
        <w:footnoteReference w:id="309"/>
      </w:r>
      <w:r w:rsidRPr="00CB2C31">
        <w:rPr>
          <w:lang w:val="en-US"/>
        </w:rPr>
        <w:t xml:space="preserve"> </w:t>
      </w:r>
      <w:r w:rsidR="0009628A">
        <w:rPr>
          <w:lang w:val="en-US"/>
        </w:rPr>
        <w:t xml:space="preserve"> </w:t>
      </w:r>
      <w:r w:rsidRPr="00CB2C31">
        <w:rPr>
          <w:lang w:val="en-US"/>
        </w:rPr>
        <w:t xml:space="preserve">These market participants are referred to as </w:t>
      </w:r>
      <w:r w:rsidR="00593F1F">
        <w:rPr>
          <w:lang w:val="en-US"/>
        </w:rPr>
        <w:t>‘</w:t>
      </w:r>
      <w:r w:rsidRPr="00CB2C31">
        <w:rPr>
          <w:lang w:val="en-US"/>
        </w:rPr>
        <w:t>regulated entities</w:t>
      </w:r>
      <w:r w:rsidR="00593F1F">
        <w:rPr>
          <w:lang w:val="en-US"/>
        </w:rPr>
        <w:t>’</w:t>
      </w:r>
      <w:r w:rsidRPr="00CB2C31">
        <w:rPr>
          <w:lang w:val="en-US"/>
        </w:rPr>
        <w:t xml:space="preserve"> and in regulating these entities, the SEC is primarily concerned with promoting the disclosure of important market-related information, maintaining fair dealing and protecting against fraud</w:t>
      </w:r>
      <w:r w:rsidR="00F111D2" w:rsidRPr="00CB2C31">
        <w:rPr>
          <w:lang w:val="en-US"/>
        </w:rPr>
        <w:t xml:space="preserve">.  </w:t>
      </w:r>
      <w:r w:rsidRPr="00CB2C31">
        <w:rPr>
          <w:lang w:val="en-US"/>
        </w:rPr>
        <w:t>In January 2018, the SEC introduced a Diversity Assessment Report for regulated entities that was designed to help regulated entities conduct self-assessments of their diversity policies and practices in order to increase efforts and encourage transparency in this area.</w:t>
      </w:r>
      <w:r w:rsidRPr="0009628A">
        <w:rPr>
          <w:rStyle w:val="FootnoteReference"/>
          <w:lang w:val="en-US"/>
        </w:rPr>
        <w:footnoteReference w:id="310"/>
      </w:r>
      <w:r w:rsidRPr="00CB2C31">
        <w:rPr>
          <w:lang w:val="en-US"/>
        </w:rPr>
        <w:t xml:space="preserve"> </w:t>
      </w:r>
      <w:r w:rsidR="0009628A">
        <w:rPr>
          <w:lang w:val="en-US"/>
        </w:rPr>
        <w:t xml:space="preserve"> </w:t>
      </w:r>
      <w:r w:rsidRPr="00CB2C31">
        <w:rPr>
          <w:lang w:val="en-US"/>
        </w:rPr>
        <w:t>The assessments are completed on a voluntary basis and the SEC intends to use the information shared to highlight diversity policies which have been successful</w:t>
      </w:r>
      <w:r w:rsidR="00F111D2" w:rsidRPr="00CB2C31">
        <w:rPr>
          <w:lang w:val="en-US"/>
        </w:rPr>
        <w:t xml:space="preserve">.  </w:t>
      </w:r>
      <w:r w:rsidRPr="00CB2C31">
        <w:rPr>
          <w:lang w:val="en-US"/>
        </w:rPr>
        <w:t xml:space="preserve">These self-assessment reports complement the Joint Standards policy statement on diversity issued by the SEC in June 2015 which establishes a joint standard for assessing diversity policies among regulated entities (the </w:t>
      </w:r>
      <w:r w:rsidR="00203E75" w:rsidRPr="00203E75">
        <w:rPr>
          <w:i/>
          <w:lang w:val="en-US"/>
        </w:rPr>
        <w:t>“</w:t>
      </w:r>
      <w:r w:rsidRPr="00CB2C31">
        <w:rPr>
          <w:b/>
          <w:lang w:val="en-US"/>
        </w:rPr>
        <w:t>Joint Standards</w:t>
      </w:r>
      <w:r w:rsidR="00203E75" w:rsidRPr="00203E75">
        <w:rPr>
          <w:i/>
          <w:lang w:val="en-US"/>
        </w:rPr>
        <w:t>”</w:t>
      </w:r>
      <w:r w:rsidRPr="00CB2C31">
        <w:rPr>
          <w:lang w:val="en-US"/>
        </w:rPr>
        <w:t>).</w:t>
      </w:r>
      <w:bookmarkStart w:id="400" w:name="_Ref16193525"/>
      <w:r w:rsidRPr="0009628A">
        <w:rPr>
          <w:rStyle w:val="FootnoteReference"/>
          <w:lang w:val="en-US"/>
        </w:rPr>
        <w:footnoteReference w:id="311"/>
      </w:r>
      <w:bookmarkEnd w:id="400"/>
      <w:r w:rsidRPr="00CB2C31">
        <w:rPr>
          <w:lang w:val="en-US"/>
        </w:rPr>
        <w:t xml:space="preserve"> </w:t>
      </w:r>
      <w:r w:rsidR="0009628A">
        <w:rPr>
          <w:lang w:val="en-US"/>
        </w:rPr>
        <w:t xml:space="preserve"> </w:t>
      </w:r>
      <w:r w:rsidRPr="00CB2C31">
        <w:rPr>
          <w:lang w:val="en-US"/>
        </w:rPr>
        <w:t xml:space="preserve">The Joint Standards define diversity as including </w:t>
      </w:r>
      <w:r w:rsidR="00203E75" w:rsidRPr="00203E75">
        <w:rPr>
          <w:i/>
          <w:lang w:val="en-US"/>
        </w:rPr>
        <w:t>“</w:t>
      </w:r>
      <w:r w:rsidRPr="00CB2C31">
        <w:rPr>
          <w:i/>
          <w:lang w:val="en-US"/>
        </w:rPr>
        <w:t>minorities and women</w:t>
      </w:r>
      <w:r w:rsidR="00203E75" w:rsidRPr="00203E75">
        <w:rPr>
          <w:i/>
          <w:lang w:val="en-US"/>
        </w:rPr>
        <w:t>”</w:t>
      </w:r>
      <w:r w:rsidRPr="00CB2C31">
        <w:rPr>
          <w:lang w:val="en-US"/>
        </w:rPr>
        <w:t xml:space="preserve"> which potentially brings the focus onto gender diversity, however the policy states that the definition provided is not exclusive.</w:t>
      </w:r>
      <w:r w:rsidRPr="0009628A">
        <w:rPr>
          <w:rStyle w:val="FootnoteReference"/>
          <w:lang w:val="en-US"/>
        </w:rPr>
        <w:footnoteReference w:id="312"/>
      </w:r>
      <w:r w:rsidRPr="00CB2C31">
        <w:rPr>
          <w:lang w:val="en-US"/>
        </w:rPr>
        <w:t xml:space="preserve"> </w:t>
      </w:r>
      <w:r w:rsidR="0009628A">
        <w:rPr>
          <w:lang w:val="en-US"/>
        </w:rPr>
        <w:t xml:space="preserve"> </w:t>
      </w:r>
      <w:r w:rsidRPr="00CB2C31">
        <w:rPr>
          <w:lang w:val="en-US"/>
        </w:rPr>
        <w:t>The Joint Standards highlight transparency, creating diversity policies and taking proactive steps to promote a diverse pool of candidates when recruiting at the senior management level, as key elements to achieving diversity</w:t>
      </w:r>
      <w:r w:rsidR="00F111D2" w:rsidRPr="00CB2C31">
        <w:rPr>
          <w:lang w:val="en-US"/>
        </w:rPr>
        <w:t xml:space="preserve">.  </w:t>
      </w:r>
      <w:r w:rsidRPr="00CB2C31">
        <w:rPr>
          <w:lang w:val="en-US"/>
        </w:rPr>
        <w:t>The Joint Standards are not legally binding and do not have specific requirements on the election of board members but exist as a possible guideline for regulated entities to follow.</w:t>
      </w:r>
      <w:r w:rsidRPr="00CB2C31">
        <w:rPr>
          <w:vertAlign w:val="superscript"/>
          <w:lang w:val="en-US"/>
        </w:rPr>
        <w:footnoteReference w:id="313"/>
      </w:r>
      <w:r w:rsidRPr="00CB2C31">
        <w:rPr>
          <w:lang w:val="en-US"/>
        </w:rPr>
        <w:t xml:space="preserve"> </w:t>
      </w:r>
      <w:bookmarkEnd w:id="395"/>
      <w:bookmarkEnd w:id="396"/>
      <w:bookmarkEnd w:id="397"/>
      <w:bookmarkEnd w:id="398"/>
    </w:p>
    <w:p w14:paraId="26E1B5B8" w14:textId="68719F6F" w:rsidR="00092738" w:rsidRPr="00CB2C31" w:rsidRDefault="00F624DA" w:rsidP="00623C41">
      <w:pPr>
        <w:pStyle w:val="DoublePara"/>
        <w:rPr>
          <w:lang w:val="en-US"/>
        </w:rPr>
      </w:pPr>
      <w:bookmarkStart w:id="401" w:name="_Toc511896461"/>
      <w:bookmarkStart w:id="402" w:name="_Toc511986888"/>
      <w:bookmarkStart w:id="403" w:name="_Toc512156416"/>
      <w:bookmarkStart w:id="404" w:name="_Toc512162780"/>
      <w:bookmarkStart w:id="405" w:name="_Toc512163749"/>
      <w:r w:rsidRPr="00CB2C31">
        <w:rPr>
          <w:lang w:val="en-US"/>
        </w:rPr>
        <w:t>N</w:t>
      </w:r>
      <w:r w:rsidR="00092738" w:rsidRPr="00CB2C31">
        <w:rPr>
          <w:lang w:val="en-US"/>
        </w:rPr>
        <w:t xml:space="preserve">umerous reports, such as the McKinsey report </w:t>
      </w:r>
      <w:r w:rsidR="00203E75" w:rsidRPr="00203E75">
        <w:rPr>
          <w:i/>
          <w:lang w:val="en-US"/>
        </w:rPr>
        <w:t>“</w:t>
      </w:r>
      <w:r w:rsidR="00092738" w:rsidRPr="00CB2C31">
        <w:rPr>
          <w:i/>
          <w:lang w:val="en-US"/>
        </w:rPr>
        <w:t>Diversity Matters</w:t>
      </w:r>
      <w:r w:rsidR="00203E75" w:rsidRPr="00203E75">
        <w:rPr>
          <w:i/>
          <w:lang w:val="en-US"/>
        </w:rPr>
        <w:t>”</w:t>
      </w:r>
      <w:r w:rsidR="009E082F" w:rsidRPr="00CB2C31">
        <w:rPr>
          <w:i/>
          <w:lang w:val="en-US"/>
        </w:rPr>
        <w:t xml:space="preserve"> </w:t>
      </w:r>
      <w:r w:rsidR="009E082F" w:rsidRPr="00CB2C31">
        <w:rPr>
          <w:lang w:val="en-US"/>
        </w:rPr>
        <w:t>discuss the need for</w:t>
      </w:r>
      <w:r w:rsidR="00092738" w:rsidRPr="00CB2C31">
        <w:rPr>
          <w:lang w:val="en-US"/>
        </w:rPr>
        <w:t xml:space="preserve"> American companies </w:t>
      </w:r>
      <w:r w:rsidR="009E082F" w:rsidRPr="00CB2C31">
        <w:rPr>
          <w:lang w:val="en-US"/>
        </w:rPr>
        <w:t>to make</w:t>
      </w:r>
      <w:r w:rsidR="00092738" w:rsidRPr="00CB2C31">
        <w:rPr>
          <w:lang w:val="en-US"/>
        </w:rPr>
        <w:t xml:space="preserve"> various improvements to gender diversity in the work place.</w:t>
      </w:r>
      <w:r w:rsidR="00092738" w:rsidRPr="0009628A">
        <w:rPr>
          <w:rStyle w:val="FootnoteReference"/>
          <w:lang w:val="en-US"/>
        </w:rPr>
        <w:footnoteReference w:id="314"/>
      </w:r>
      <w:r w:rsidR="00092738" w:rsidRPr="00CB2C31">
        <w:rPr>
          <w:lang w:val="en-US"/>
        </w:rPr>
        <w:t xml:space="preserve"> </w:t>
      </w:r>
      <w:r w:rsidR="0009628A">
        <w:rPr>
          <w:lang w:val="en-US"/>
        </w:rPr>
        <w:t xml:space="preserve"> </w:t>
      </w:r>
      <w:r w:rsidR="00092738" w:rsidRPr="00CB2C31">
        <w:rPr>
          <w:lang w:val="en-US"/>
        </w:rPr>
        <w:t>By 2014, 75% of women aged 25 through 54 participated in the work force.</w:t>
      </w:r>
      <w:bookmarkStart w:id="406" w:name="_Ref16193584"/>
      <w:r w:rsidR="00092738" w:rsidRPr="0009628A">
        <w:rPr>
          <w:rStyle w:val="FootnoteReference"/>
          <w:lang w:val="en-US"/>
        </w:rPr>
        <w:footnoteReference w:id="315"/>
      </w:r>
      <w:bookmarkEnd w:id="406"/>
      <w:r w:rsidR="0009628A">
        <w:rPr>
          <w:lang w:val="en-US"/>
        </w:rPr>
        <w:t xml:space="preserve"> </w:t>
      </w:r>
      <w:r w:rsidR="00092738" w:rsidRPr="00CB2C31">
        <w:rPr>
          <w:lang w:val="en-US"/>
        </w:rPr>
        <w:t xml:space="preserve"> However, in 2016, women represented only 20.3% of the members of the boards of the largest </w:t>
      </w:r>
      <w:r w:rsidR="009B65E1">
        <w:rPr>
          <w:lang w:val="en-US"/>
        </w:rPr>
        <w:t xml:space="preserve">U.S. </w:t>
      </w:r>
      <w:r w:rsidR="00092738" w:rsidRPr="00CB2C31">
        <w:rPr>
          <w:lang w:val="en-US"/>
        </w:rPr>
        <w:t>publicly listed companies, which is a mere 2% increase from 2010, where certain European countries have experienced on average a 14% increase in female nominations to boards of directors over the same period.</w:t>
      </w:r>
      <w:bookmarkStart w:id="407" w:name="_Ref16194137"/>
      <w:r w:rsidR="00092738" w:rsidRPr="0009628A">
        <w:rPr>
          <w:rStyle w:val="FootnoteReference"/>
          <w:lang w:val="en-US"/>
        </w:rPr>
        <w:footnoteReference w:id="316"/>
      </w:r>
      <w:bookmarkEnd w:id="407"/>
      <w:r w:rsidR="00092738" w:rsidRPr="0009628A">
        <w:rPr>
          <w:rStyle w:val="FootnoteReference"/>
          <w:rFonts w:ascii="MS Mincho" w:eastAsia="MS Mincho" w:hAnsi="MS Mincho" w:cs="MS Mincho" w:hint="eastAsia"/>
          <w:lang w:val="en-US"/>
        </w:rPr>
        <w:t> </w:t>
      </w:r>
      <w:bookmarkEnd w:id="401"/>
      <w:bookmarkEnd w:id="402"/>
      <w:bookmarkEnd w:id="403"/>
      <w:bookmarkEnd w:id="404"/>
      <w:bookmarkEnd w:id="405"/>
    </w:p>
    <w:p w14:paraId="3C051721" w14:textId="77777777" w:rsidR="00092738" w:rsidRPr="00CB2C31" w:rsidRDefault="00092738" w:rsidP="00623C41">
      <w:pPr>
        <w:pStyle w:val="DoublePara"/>
        <w:rPr>
          <w:lang w:val="en-US"/>
        </w:rPr>
      </w:pPr>
      <w:bookmarkStart w:id="408" w:name="_Toc511896462"/>
      <w:bookmarkStart w:id="409" w:name="_Toc511986889"/>
      <w:bookmarkStart w:id="410" w:name="_Toc512156417"/>
      <w:bookmarkStart w:id="411" w:name="_Toc512162781"/>
      <w:bookmarkStart w:id="412" w:name="_Toc512163750"/>
      <w:r w:rsidRPr="00CB2C31">
        <w:rPr>
          <w:lang w:val="en-US"/>
        </w:rPr>
        <w:t xml:space="preserve">Unlike certain European countries, the </w:t>
      </w:r>
      <w:r w:rsidR="009B65E1">
        <w:rPr>
          <w:lang w:val="en-US"/>
        </w:rPr>
        <w:t xml:space="preserve">U.S. </w:t>
      </w:r>
      <w:r w:rsidRPr="00CB2C31">
        <w:rPr>
          <w:lang w:val="en-US"/>
        </w:rPr>
        <w:t>federal government does not encourage quotas for female representation.</w:t>
      </w:r>
      <w:r w:rsidRPr="0009628A">
        <w:rPr>
          <w:rStyle w:val="FootnoteReference"/>
          <w:lang w:val="en-US"/>
        </w:rPr>
        <w:footnoteReference w:id="317"/>
      </w:r>
      <w:r w:rsidR="0009628A">
        <w:rPr>
          <w:lang w:val="en-US"/>
        </w:rPr>
        <w:t xml:space="preserve"> </w:t>
      </w:r>
      <w:r w:rsidRPr="00CB2C31">
        <w:rPr>
          <w:lang w:val="en-US"/>
        </w:rPr>
        <w:t xml:space="preserve"> Rather than focus on quotas, the Committee for Economic Development advises American companies to widen their pool of candidates, set targets for the nomination of women, report to their shareholders on nomination policies and allow stakeholders to have their views represented in board decisions.</w:t>
      </w:r>
      <w:r w:rsidRPr="0009628A">
        <w:rPr>
          <w:rStyle w:val="FootnoteReference"/>
          <w:lang w:val="en-US"/>
        </w:rPr>
        <w:footnoteReference w:id="318"/>
      </w:r>
      <w:bookmarkEnd w:id="408"/>
      <w:bookmarkEnd w:id="409"/>
      <w:bookmarkEnd w:id="410"/>
      <w:bookmarkEnd w:id="411"/>
      <w:bookmarkEnd w:id="412"/>
    </w:p>
    <w:p w14:paraId="2A552B2D" w14:textId="677BA499" w:rsidR="00092738" w:rsidRPr="00CB2C31" w:rsidRDefault="00092738" w:rsidP="00623C41">
      <w:pPr>
        <w:pStyle w:val="DoublePara"/>
        <w:rPr>
          <w:lang w:val="en-US"/>
        </w:rPr>
      </w:pPr>
      <w:bookmarkStart w:id="413" w:name="_Toc511896464"/>
      <w:bookmarkStart w:id="414" w:name="_Toc511986891"/>
      <w:bookmarkStart w:id="415" w:name="_Toc512156419"/>
      <w:bookmarkStart w:id="416" w:name="_Toc512162783"/>
      <w:bookmarkStart w:id="417" w:name="_Toc512163752"/>
      <w:r w:rsidRPr="00CB2C31">
        <w:rPr>
          <w:lang w:val="en-US"/>
        </w:rPr>
        <w:t xml:space="preserve">A 2015 report prepared by the </w:t>
      </w:r>
      <w:r w:rsidR="009B65E1">
        <w:rPr>
          <w:lang w:val="en-US"/>
        </w:rPr>
        <w:t xml:space="preserve">U.S. </w:t>
      </w:r>
      <w:r w:rsidRPr="00CB2C31">
        <w:rPr>
          <w:lang w:val="en-US"/>
        </w:rPr>
        <w:t xml:space="preserve">Government Accountability Office (the </w:t>
      </w:r>
      <w:r w:rsidR="00203E75" w:rsidRPr="00203E75">
        <w:rPr>
          <w:i/>
          <w:lang w:val="en-US"/>
        </w:rPr>
        <w:t>“</w:t>
      </w:r>
      <w:r w:rsidRPr="00CB2C31">
        <w:rPr>
          <w:b/>
          <w:lang w:val="en-US"/>
        </w:rPr>
        <w:t>GAO</w:t>
      </w:r>
      <w:r w:rsidR="00203E75" w:rsidRPr="00203E75">
        <w:rPr>
          <w:i/>
          <w:lang w:val="en-US"/>
        </w:rPr>
        <w:t>”</w:t>
      </w:r>
      <w:r w:rsidRPr="00CB2C31">
        <w:rPr>
          <w:lang w:val="en-US"/>
        </w:rPr>
        <w:t xml:space="preserve">) on corporate board strategies predicted that, even if equal parts men and women joined boards each year starting in 2015, it would take more than four decades before the </w:t>
      </w:r>
      <w:r w:rsidR="009B65E1">
        <w:rPr>
          <w:lang w:val="en-US"/>
        </w:rPr>
        <w:t xml:space="preserve">U.S. </w:t>
      </w:r>
      <w:r w:rsidRPr="00CB2C31">
        <w:rPr>
          <w:lang w:val="en-US"/>
        </w:rPr>
        <w:t xml:space="preserve">reached </w:t>
      </w:r>
      <w:r w:rsidR="005D755C" w:rsidRPr="00CB2C31">
        <w:rPr>
          <w:lang w:val="en-US"/>
        </w:rPr>
        <w:t>gender balance</w:t>
      </w:r>
      <w:r w:rsidRPr="00CB2C31">
        <w:rPr>
          <w:lang w:val="en-US"/>
        </w:rPr>
        <w:t xml:space="preserve"> on company boards of directors.</w:t>
      </w:r>
      <w:r w:rsidRPr="00CB2C31">
        <w:rPr>
          <w:rStyle w:val="FootnoteReference"/>
          <w:lang w:val="en-US"/>
        </w:rPr>
        <w:footnoteReference w:id="319"/>
      </w:r>
      <w:r w:rsidRPr="00CB2C31">
        <w:rPr>
          <w:lang w:val="en-US"/>
        </w:rPr>
        <w:t xml:space="preserve"> </w:t>
      </w:r>
      <w:r w:rsidR="0009628A">
        <w:rPr>
          <w:lang w:val="en-US"/>
        </w:rPr>
        <w:t xml:space="preserve"> </w:t>
      </w:r>
      <w:r w:rsidRPr="00CB2C31">
        <w:rPr>
          <w:lang w:val="en-US"/>
        </w:rPr>
        <w:t xml:space="preserve">The GAO report </w:t>
      </w:r>
      <w:r w:rsidR="00236E78" w:rsidRPr="00CB2C31">
        <w:rPr>
          <w:lang w:val="en-US"/>
        </w:rPr>
        <w:t>criticized</w:t>
      </w:r>
      <w:r w:rsidRPr="00CB2C31">
        <w:rPr>
          <w:lang w:val="en-US"/>
        </w:rPr>
        <w:t xml:space="preserve"> SEC regulations, arguing that they were not specific enough and were considered inadequate by stakeholders who </w:t>
      </w:r>
      <w:r w:rsidR="00471FCE">
        <w:rPr>
          <w:lang w:val="en-US"/>
        </w:rPr>
        <w:t>sought</w:t>
      </w:r>
      <w:r w:rsidR="00471FCE" w:rsidRPr="00CB2C31">
        <w:rPr>
          <w:lang w:val="en-US"/>
        </w:rPr>
        <w:t xml:space="preserve"> </w:t>
      </w:r>
      <w:r w:rsidRPr="00CB2C31">
        <w:rPr>
          <w:lang w:val="en-US"/>
        </w:rPr>
        <w:t>more diverse boards.</w:t>
      </w:r>
      <w:r w:rsidRPr="00932C37">
        <w:rPr>
          <w:rStyle w:val="FootnoteReference"/>
        </w:rPr>
        <w:footnoteReference w:id="320"/>
      </w:r>
      <w:r w:rsidRPr="00CB2C31">
        <w:rPr>
          <w:lang w:val="en-US"/>
        </w:rPr>
        <w:t xml:space="preserve"> </w:t>
      </w:r>
      <w:r w:rsidR="0009628A">
        <w:rPr>
          <w:lang w:val="en-US"/>
        </w:rPr>
        <w:t xml:space="preserve"> </w:t>
      </w:r>
      <w:r w:rsidRPr="00CB2C31">
        <w:rPr>
          <w:lang w:val="en-US"/>
        </w:rPr>
        <w:t>It suggested that in order to increase the number of women on boards, companies should: (i) require a diverse slate of candidates which includes at least one woman;</w:t>
      </w:r>
      <w:r w:rsidRPr="00CB2C31">
        <w:rPr>
          <w:rStyle w:val="FootnoteReference"/>
          <w:lang w:val="en-US"/>
        </w:rPr>
        <w:footnoteReference w:id="321"/>
      </w:r>
      <w:r w:rsidRPr="00CB2C31">
        <w:rPr>
          <w:lang w:val="en-US"/>
        </w:rPr>
        <w:t xml:space="preserve"> (ii) expand their board searches to allow for non-traditional ways of acceding to boards;</w:t>
      </w:r>
      <w:r w:rsidRPr="00CB2C31">
        <w:rPr>
          <w:vertAlign w:val="superscript"/>
          <w:lang w:val="en-US"/>
        </w:rPr>
        <w:footnoteReference w:id="322"/>
      </w:r>
      <w:r w:rsidRPr="00CB2C31">
        <w:rPr>
          <w:lang w:val="en-US"/>
        </w:rPr>
        <w:t xml:space="preserve"> and (iii) expand board sizes, adopt term limits and age limits and conduct board performance evaluations.</w:t>
      </w:r>
      <w:r w:rsidRPr="00CB2C31">
        <w:rPr>
          <w:vertAlign w:val="superscript"/>
          <w:lang w:val="en-US"/>
        </w:rPr>
        <w:footnoteReference w:id="323"/>
      </w:r>
      <w:r w:rsidRPr="00CB2C31">
        <w:rPr>
          <w:rFonts w:ascii="MS Mincho" w:eastAsia="MS Mincho" w:hAnsi="MS Mincho" w:cs="MS Mincho"/>
          <w:lang w:val="en-US"/>
        </w:rPr>
        <w:t> </w:t>
      </w:r>
      <w:bookmarkEnd w:id="413"/>
      <w:bookmarkEnd w:id="414"/>
      <w:bookmarkEnd w:id="415"/>
      <w:bookmarkEnd w:id="416"/>
      <w:bookmarkEnd w:id="417"/>
    </w:p>
    <w:p w14:paraId="20661D30" w14:textId="77777777" w:rsidR="00092738" w:rsidRPr="00CB2C31" w:rsidRDefault="00092738" w:rsidP="00623C41">
      <w:pPr>
        <w:pStyle w:val="DoublePara"/>
        <w:rPr>
          <w:rFonts w:ascii="MS Mincho" w:eastAsia="MS Mincho" w:hAnsi="MS Mincho" w:cs="MS Mincho"/>
          <w:lang w:val="en-US"/>
        </w:rPr>
      </w:pPr>
      <w:bookmarkStart w:id="418" w:name="_Toc511896465"/>
      <w:bookmarkStart w:id="419" w:name="_Toc511986892"/>
      <w:bookmarkStart w:id="420" w:name="_Toc512156420"/>
      <w:bookmarkStart w:id="421" w:name="_Toc512162784"/>
      <w:bookmarkStart w:id="422" w:name="_Toc512163753"/>
      <w:r w:rsidRPr="00CB2C31">
        <w:rPr>
          <w:lang w:val="en-US"/>
        </w:rPr>
        <w:t>Following the GAO report, House Representative Carolyn B. Maloney put forward a bill in March 2016 requiring the SEC to establish a Gender Diversity Advisory Group in order to advise on increasing gender diversity at the board level.</w:t>
      </w:r>
      <w:r w:rsidRPr="00932C37">
        <w:rPr>
          <w:rStyle w:val="FootnoteReference"/>
        </w:rPr>
        <w:footnoteReference w:id="324"/>
      </w:r>
      <w:r w:rsidRPr="00CB2C31">
        <w:rPr>
          <w:lang w:val="en-US"/>
        </w:rPr>
        <w:t xml:space="preserve"> </w:t>
      </w:r>
      <w:r w:rsidR="00932C37">
        <w:rPr>
          <w:lang w:val="en-US"/>
        </w:rPr>
        <w:t xml:space="preserve"> </w:t>
      </w:r>
      <w:r w:rsidRPr="00CB2C31">
        <w:rPr>
          <w:lang w:val="en-US"/>
        </w:rPr>
        <w:t>In accordance with the new bill, companies would have to disclose the gender composition of their boards in annual proxy materials</w:t>
      </w:r>
      <w:r w:rsidR="00F111D2" w:rsidRPr="00CB2C31">
        <w:rPr>
          <w:lang w:val="en-US"/>
        </w:rPr>
        <w:t xml:space="preserve">.  </w:t>
      </w:r>
      <w:r w:rsidRPr="00CB2C31">
        <w:rPr>
          <w:lang w:val="en-US"/>
        </w:rPr>
        <w:t>A year later, Representative Maloney put forward another bill with the same purpose.</w:t>
      </w:r>
      <w:r w:rsidRPr="00932C37">
        <w:rPr>
          <w:rStyle w:val="FootnoteReference"/>
        </w:rPr>
        <w:footnoteReference w:id="325"/>
      </w:r>
      <w:r w:rsidRPr="00CB2C31">
        <w:rPr>
          <w:rFonts w:ascii="MS Mincho" w:eastAsia="MS Mincho" w:hAnsi="MS Mincho" w:cs="MS Mincho"/>
          <w:lang w:val="en-US"/>
        </w:rPr>
        <w:t> </w:t>
      </w:r>
      <w:bookmarkEnd w:id="418"/>
      <w:bookmarkEnd w:id="419"/>
      <w:bookmarkEnd w:id="420"/>
      <w:bookmarkEnd w:id="421"/>
      <w:bookmarkEnd w:id="422"/>
    </w:p>
    <w:p w14:paraId="087A8AFD" w14:textId="0A9404A6" w:rsidR="00092738" w:rsidRPr="00CB2C31" w:rsidRDefault="00092738" w:rsidP="00623C41">
      <w:pPr>
        <w:pStyle w:val="DoublePara"/>
        <w:rPr>
          <w:lang w:val="en-US"/>
        </w:rPr>
      </w:pPr>
      <w:r w:rsidRPr="00CB2C31">
        <w:rPr>
          <w:lang w:val="en-US"/>
        </w:rPr>
        <w:t>While there are no gender quotas at the federal level, the State of California has recently enacted the first gender quota law in the U</w:t>
      </w:r>
      <w:r w:rsidR="00471FCE">
        <w:rPr>
          <w:lang w:val="en-US"/>
        </w:rPr>
        <w:t>.</w:t>
      </w:r>
      <w:r w:rsidRPr="00CB2C31">
        <w:rPr>
          <w:lang w:val="en-US"/>
        </w:rPr>
        <w:t>S</w:t>
      </w:r>
      <w:r w:rsidR="00F111D2" w:rsidRPr="00CB2C31">
        <w:rPr>
          <w:lang w:val="en-US"/>
        </w:rPr>
        <w:t xml:space="preserve">.  </w:t>
      </w:r>
      <w:r w:rsidRPr="00CB2C31">
        <w:rPr>
          <w:lang w:val="en-US"/>
        </w:rPr>
        <w:t>The law amends the California Corporations Code to impose a quota of at least one woman on the board of publicly listed companies whose principal executive offices are located in California by 2019 and, depending on the size of the existing board, a quota of one to three women on such companies</w:t>
      </w:r>
      <w:r w:rsidR="00593F1F">
        <w:rPr>
          <w:lang w:val="en-US"/>
        </w:rPr>
        <w:t>’</w:t>
      </w:r>
      <w:r w:rsidRPr="00CB2C31">
        <w:rPr>
          <w:lang w:val="en-US"/>
        </w:rPr>
        <w:t xml:space="preserve"> boards by 2021.</w:t>
      </w:r>
      <w:r w:rsidRPr="00932C37">
        <w:rPr>
          <w:rStyle w:val="FootnoteReference"/>
        </w:rPr>
        <w:footnoteReference w:id="326"/>
      </w:r>
      <w:r w:rsidR="00932C37">
        <w:rPr>
          <w:lang w:val="en-US"/>
        </w:rPr>
        <w:t xml:space="preserve"> </w:t>
      </w:r>
      <w:r w:rsidRPr="00CB2C31">
        <w:rPr>
          <w:lang w:val="en-US"/>
        </w:rPr>
        <w:t xml:space="preserve"> The bill was signed into law on September 30, 2018</w:t>
      </w:r>
      <w:r w:rsidR="00EE0562">
        <w:rPr>
          <w:lang w:val="en-US"/>
        </w:rPr>
        <w:t xml:space="preserve">, </w:t>
      </w:r>
      <w:r w:rsidR="00F916AB">
        <w:rPr>
          <w:lang w:val="en-US"/>
        </w:rPr>
        <w:t>although it is currently subject to a court challenge</w:t>
      </w:r>
      <w:r w:rsidRPr="00CB2C31">
        <w:rPr>
          <w:lang w:val="en-US"/>
        </w:rPr>
        <w:t>.</w:t>
      </w:r>
      <w:r w:rsidRPr="00CB2C31">
        <w:rPr>
          <w:rStyle w:val="FootnoteReference"/>
          <w:lang w:val="en-US"/>
        </w:rPr>
        <w:footnoteReference w:id="327"/>
      </w:r>
    </w:p>
    <w:p w14:paraId="6032C980" w14:textId="77777777" w:rsidR="00092738" w:rsidRPr="00E022B8" w:rsidRDefault="007A4AC7" w:rsidP="00623C41">
      <w:pPr>
        <w:pStyle w:val="LegalCombo4"/>
        <w:keepNext/>
        <w:rPr>
          <w:b/>
          <w:u w:val="single"/>
        </w:rPr>
      </w:pPr>
      <w:bookmarkStart w:id="423" w:name="_Toc512156421"/>
      <w:bookmarkStart w:id="424" w:name="_Toc512163754"/>
      <w:bookmarkStart w:id="425" w:name="_Toc513199217"/>
      <w:bookmarkStart w:id="426" w:name="_Toc525910504"/>
      <w:r w:rsidRPr="00E022B8">
        <w:rPr>
          <w:b/>
        </w:rPr>
        <w:t xml:space="preserve">Conclusion and </w:t>
      </w:r>
      <w:r w:rsidR="00092738" w:rsidRPr="00E022B8">
        <w:rPr>
          <w:b/>
        </w:rPr>
        <w:t>Best Practice Analysis</w:t>
      </w:r>
      <w:bookmarkEnd w:id="423"/>
      <w:bookmarkEnd w:id="424"/>
      <w:bookmarkEnd w:id="425"/>
      <w:bookmarkEnd w:id="426"/>
      <w:r w:rsidRPr="00E022B8">
        <w:rPr>
          <w:b/>
        </w:rPr>
        <w:t>:</w:t>
      </w:r>
      <w:r w:rsidR="00593F1F" w:rsidRPr="00E022B8">
        <w:rPr>
          <w:b/>
        </w:rPr>
        <w:t xml:space="preserve"> </w:t>
      </w:r>
      <w:r w:rsidRPr="00E022B8">
        <w:rPr>
          <w:b/>
        </w:rPr>
        <w:t>United States of America</w:t>
      </w:r>
    </w:p>
    <w:p w14:paraId="1769192E" w14:textId="77777777" w:rsidR="00092738" w:rsidRPr="00CB2C31" w:rsidRDefault="00092738" w:rsidP="00623C41">
      <w:pPr>
        <w:pStyle w:val="DoublePara"/>
        <w:rPr>
          <w:lang w:val="en-US"/>
        </w:rPr>
      </w:pPr>
      <w:r w:rsidRPr="00CB2C31">
        <w:rPr>
          <w:lang w:val="en-US"/>
        </w:rPr>
        <w:t>Several reports have demonstrated that companies perform better when their leadership teams (including in particular board members and management teams) are more diverse.</w:t>
      </w:r>
      <w:r w:rsidRPr="00932C37">
        <w:rPr>
          <w:rStyle w:val="FootnoteReference"/>
        </w:rPr>
        <w:footnoteReference w:id="328"/>
      </w:r>
      <w:r w:rsidR="00932C37">
        <w:rPr>
          <w:lang w:val="en-US"/>
        </w:rPr>
        <w:t xml:space="preserve"> </w:t>
      </w:r>
      <w:r w:rsidRPr="00CB2C31">
        <w:rPr>
          <w:lang w:val="en-US"/>
        </w:rPr>
        <w:t xml:space="preserve"> The below analysis is based on policies and reports which have for the most part focused on gender diversity</w:t>
      </w:r>
      <w:r w:rsidR="00471FCE">
        <w:rPr>
          <w:lang w:val="en-US"/>
        </w:rPr>
        <w:t>;</w:t>
      </w:r>
      <w:r w:rsidR="00471FCE" w:rsidRPr="00CB2C31">
        <w:rPr>
          <w:lang w:val="en-US"/>
        </w:rPr>
        <w:t xml:space="preserve"> </w:t>
      </w:r>
      <w:r w:rsidRPr="00CB2C31">
        <w:rPr>
          <w:lang w:val="en-US"/>
        </w:rPr>
        <w:t>however</w:t>
      </w:r>
      <w:r w:rsidR="00471FCE">
        <w:rPr>
          <w:lang w:val="en-US"/>
        </w:rPr>
        <w:t>,</w:t>
      </w:r>
      <w:r w:rsidRPr="00CB2C31">
        <w:rPr>
          <w:lang w:val="en-US"/>
        </w:rPr>
        <w:t xml:space="preserve"> American public companies have applied the measures discussed to increase diversity generally by implementing policies which guarantee a diverse pool of candidates for the board, drive diversity policies from the top down and encourage transparency in selection processes.</w:t>
      </w:r>
      <w:r w:rsidRPr="00932C37">
        <w:rPr>
          <w:rStyle w:val="FootnoteReference"/>
        </w:rPr>
        <w:footnoteReference w:id="329"/>
      </w:r>
      <w:r w:rsidR="00932C37">
        <w:rPr>
          <w:lang w:val="en-US"/>
        </w:rPr>
        <w:t xml:space="preserve"> </w:t>
      </w:r>
      <w:r w:rsidRPr="00CB2C31">
        <w:rPr>
          <w:lang w:val="en-US"/>
        </w:rPr>
        <w:t xml:space="preserve"> Below is a list of the best practices implemented by public companies across the </w:t>
      </w:r>
      <w:r w:rsidR="009B65E1">
        <w:rPr>
          <w:lang w:val="en-US"/>
        </w:rPr>
        <w:t xml:space="preserve">U.S. </w:t>
      </w:r>
      <w:r w:rsidRPr="00CB2C31">
        <w:rPr>
          <w:lang w:val="en-US"/>
        </w:rPr>
        <w:t>as well as best practices suggested by the GAO report:</w:t>
      </w:r>
    </w:p>
    <w:p w14:paraId="35F7BFD8" w14:textId="77777777" w:rsidR="00092738" w:rsidRPr="00CB2C31" w:rsidRDefault="00092738" w:rsidP="00623C41">
      <w:pPr>
        <w:pStyle w:val="LegalCombo5"/>
      </w:pPr>
      <w:r w:rsidRPr="00976256">
        <w:rPr>
          <w:b/>
        </w:rPr>
        <w:t>retirement policies which limit term length and limit tenure</w:t>
      </w:r>
      <w:r w:rsidRPr="00CB2C31">
        <w:t xml:space="preserve"> in order to allow turnover;</w:t>
      </w:r>
      <w:r w:rsidRPr="00932C37">
        <w:rPr>
          <w:rStyle w:val="FootnoteReference"/>
        </w:rPr>
        <w:footnoteReference w:id="330"/>
      </w:r>
    </w:p>
    <w:p w14:paraId="7C879BE7" w14:textId="77777777" w:rsidR="00092738" w:rsidRPr="00CB2C31" w:rsidRDefault="00092738" w:rsidP="00623C41">
      <w:pPr>
        <w:pStyle w:val="LegalCombo5"/>
      </w:pPr>
      <w:r w:rsidRPr="00976256">
        <w:rPr>
          <w:b/>
        </w:rPr>
        <w:t>expanding the size of boards</w:t>
      </w:r>
      <w:r w:rsidRPr="00CB2C31">
        <w:t>;</w:t>
      </w:r>
      <w:r w:rsidRPr="00932C37">
        <w:rPr>
          <w:rStyle w:val="FootnoteReference"/>
        </w:rPr>
        <w:footnoteReference w:id="331"/>
      </w:r>
    </w:p>
    <w:p w14:paraId="7974F655" w14:textId="77777777" w:rsidR="00092738" w:rsidRPr="00CB2C31" w:rsidRDefault="00092738" w:rsidP="00623C41">
      <w:pPr>
        <w:pStyle w:val="LegalCombo5"/>
      </w:pPr>
      <w:r w:rsidRPr="00976256">
        <w:rPr>
          <w:b/>
        </w:rPr>
        <w:t>implementing transparent election policies and publicly measuring and reporting election and selection processes</w:t>
      </w:r>
      <w:r w:rsidRPr="00CB2C31">
        <w:t>, including through publishing candidate slates to all managerial positions as well as tracking and evaluating progress;</w:t>
      </w:r>
      <w:r w:rsidRPr="00932C37">
        <w:rPr>
          <w:rStyle w:val="FootnoteReference"/>
        </w:rPr>
        <w:footnoteReference w:id="332"/>
      </w:r>
    </w:p>
    <w:p w14:paraId="171B202E" w14:textId="77777777" w:rsidR="00092738" w:rsidRPr="00CB2C31" w:rsidRDefault="00092738" w:rsidP="00623C41">
      <w:pPr>
        <w:pStyle w:val="LegalCombo5"/>
      </w:pPr>
      <w:r w:rsidRPr="00976256">
        <w:rPr>
          <w:b/>
        </w:rPr>
        <w:t>adopting a clear diversity policy which tackles inherent bias</w:t>
      </w:r>
      <w:r w:rsidRPr="00CB2C31">
        <w:t xml:space="preserve"> by systematically including higher level managers in diversity initiatives who lead the policy from the top down,</w:t>
      </w:r>
      <w:r w:rsidRPr="00932C37">
        <w:rPr>
          <w:rStyle w:val="FootnoteReference"/>
        </w:rPr>
        <w:footnoteReference w:id="333"/>
      </w:r>
      <w:r w:rsidRPr="00CB2C31">
        <w:t xml:space="preserve"> and as such</w:t>
      </w:r>
      <w:r w:rsidR="00EE0562">
        <w:t>,</w:t>
      </w:r>
      <w:r w:rsidRPr="00CB2C31">
        <w:t xml:space="preserve"> hold partners and senior leaders accountable for achieving such initiatives;</w:t>
      </w:r>
      <w:r w:rsidRPr="00932C37">
        <w:rPr>
          <w:rStyle w:val="FootnoteReference"/>
        </w:rPr>
        <w:footnoteReference w:id="334"/>
      </w:r>
    </w:p>
    <w:p w14:paraId="06AE3D96" w14:textId="77777777" w:rsidR="00092738" w:rsidRPr="00CB2C31" w:rsidRDefault="00092738" w:rsidP="00623C41">
      <w:pPr>
        <w:pStyle w:val="LegalCombo5"/>
      </w:pPr>
      <w:r w:rsidRPr="00976256">
        <w:rPr>
          <w:b/>
        </w:rPr>
        <w:t xml:space="preserve">mentoring and sponsorship programs </w:t>
      </w:r>
      <w:r w:rsidRPr="00CB2C31">
        <w:t>which encourage leadership skills and lead to a broadening of the pool of candidates to the board;</w:t>
      </w:r>
      <w:r w:rsidRPr="00932C37">
        <w:rPr>
          <w:rStyle w:val="FootnoteReference"/>
        </w:rPr>
        <w:footnoteReference w:id="335"/>
      </w:r>
    </w:p>
    <w:p w14:paraId="657D51CC" w14:textId="77777777" w:rsidR="00092738" w:rsidRPr="00CB2C31" w:rsidRDefault="00092738" w:rsidP="00623C41">
      <w:pPr>
        <w:pStyle w:val="LegalCombo5"/>
      </w:pPr>
      <w:r w:rsidRPr="00976256">
        <w:t>shaping a diverse pipeline for future leaders</w:t>
      </w:r>
      <w:r w:rsidRPr="00CB2C31">
        <w:t xml:space="preserve"> by </w:t>
      </w:r>
      <w:r w:rsidRPr="00976256">
        <w:rPr>
          <w:b/>
        </w:rPr>
        <w:t>nominating candidates to leadership programs from across the entire company</w:t>
      </w:r>
      <w:r w:rsidRPr="00CB2C31">
        <w:t>;</w:t>
      </w:r>
      <w:r w:rsidRPr="00932C37">
        <w:rPr>
          <w:rStyle w:val="FootnoteReference"/>
        </w:rPr>
        <w:footnoteReference w:id="336"/>
      </w:r>
    </w:p>
    <w:p w14:paraId="13B7E2B1" w14:textId="6B83096D" w:rsidR="00092738" w:rsidRPr="00CB2C31" w:rsidRDefault="00092738" w:rsidP="00623C41">
      <w:pPr>
        <w:pStyle w:val="LegalCombo5"/>
      </w:pPr>
      <w:r w:rsidRPr="00976256">
        <w:rPr>
          <w:b/>
        </w:rPr>
        <w:t>creating targeted diversity initiatives</w:t>
      </w:r>
      <w:r w:rsidR="007276F8" w:rsidRPr="00976256">
        <w:rPr>
          <w:b/>
        </w:rPr>
        <w:t xml:space="preserve"> </w:t>
      </w:r>
      <w:r w:rsidR="0099443C">
        <w:t>–</w:t>
      </w:r>
      <w:r w:rsidR="007276F8">
        <w:t xml:space="preserve"> </w:t>
      </w:r>
      <w:r w:rsidRPr="00CB2C31">
        <w:t>policies which apply to gender initiatives may not be suitable for other diversity groups;</w:t>
      </w:r>
      <w:r w:rsidRPr="00932C37">
        <w:rPr>
          <w:rStyle w:val="FootnoteReference"/>
        </w:rPr>
        <w:footnoteReference w:id="337"/>
      </w:r>
      <w:r w:rsidRPr="00CB2C31">
        <w:t xml:space="preserve"> and</w:t>
      </w:r>
    </w:p>
    <w:p w14:paraId="10806324" w14:textId="77777777" w:rsidR="00092738" w:rsidRPr="00CB2C31" w:rsidRDefault="00092738" w:rsidP="00623C41">
      <w:pPr>
        <w:pStyle w:val="LegalCombo5"/>
      </w:pPr>
      <w:r w:rsidRPr="00976256">
        <w:rPr>
          <w:b/>
        </w:rPr>
        <w:t>promoting flexible working at senior level and promoting return-to-work policies</w:t>
      </w:r>
      <w:r w:rsidRPr="00CB2C31">
        <w:t>.</w:t>
      </w:r>
      <w:r w:rsidRPr="00932C37">
        <w:rPr>
          <w:rStyle w:val="FootnoteReference"/>
        </w:rPr>
        <w:footnoteReference w:id="338"/>
      </w:r>
    </w:p>
    <w:p w14:paraId="28681074" w14:textId="77777777" w:rsidR="00B328FD" w:rsidRPr="002E5273" w:rsidRDefault="00B328FD" w:rsidP="00623C41">
      <w:pPr>
        <w:pStyle w:val="LegalCombo3"/>
        <w:rPr>
          <w:b w:val="0"/>
        </w:rPr>
      </w:pPr>
      <w:bookmarkStart w:id="427" w:name="_Toc15027212"/>
      <w:bookmarkStart w:id="428" w:name="_Toc15027603"/>
      <w:bookmarkStart w:id="429" w:name="_Toc15027881"/>
      <w:bookmarkStart w:id="430" w:name="_Toc16692504"/>
      <w:bookmarkStart w:id="431" w:name="_Toc22905007"/>
      <w:bookmarkStart w:id="432" w:name="_Toc24114406"/>
      <w:r w:rsidRPr="002E5273">
        <w:t>C</w:t>
      </w:r>
      <w:bookmarkEnd w:id="427"/>
      <w:bookmarkEnd w:id="428"/>
      <w:bookmarkEnd w:id="429"/>
      <w:r w:rsidRPr="002E5273">
        <w:t>anada</w:t>
      </w:r>
      <w:bookmarkEnd w:id="430"/>
      <w:bookmarkEnd w:id="431"/>
      <w:bookmarkEnd w:id="432"/>
    </w:p>
    <w:p w14:paraId="3B4C0AB5" w14:textId="77777777" w:rsidR="00D41435" w:rsidRPr="00CB2C31" w:rsidRDefault="00D41435" w:rsidP="00623C41">
      <w:pPr>
        <w:pStyle w:val="LegalCombo4"/>
        <w:keepNext/>
      </w:pPr>
      <w:bookmarkStart w:id="433" w:name="_Toc511986902"/>
      <w:bookmarkStart w:id="434" w:name="_Toc512156430"/>
      <w:bookmarkStart w:id="435" w:name="_Toc512162794"/>
      <w:bookmarkStart w:id="436" w:name="_Toc512163763"/>
      <w:r w:rsidRPr="00CB2C31">
        <w:t>Introduction</w:t>
      </w:r>
    </w:p>
    <w:p w14:paraId="6F43900D" w14:textId="1D0D927C" w:rsidR="00D41435" w:rsidRPr="00CB2C31" w:rsidRDefault="009B65E1" w:rsidP="00623C41">
      <w:pPr>
        <w:pStyle w:val="DoublePara"/>
        <w:rPr>
          <w:lang w:val="en-US"/>
        </w:rPr>
      </w:pPr>
      <w:r>
        <w:rPr>
          <w:lang w:val="en-US"/>
        </w:rPr>
        <w:t>Gender diversity i</w:t>
      </w:r>
      <w:r w:rsidR="00D41435" w:rsidRPr="00CB2C31">
        <w:rPr>
          <w:lang w:val="en-US"/>
        </w:rPr>
        <w:t>n governing bodies in Canada has been addressed through legislation, both at the federal and provincial level, as well as through regulation and industry and investor lead initiatives</w:t>
      </w:r>
      <w:bookmarkEnd w:id="433"/>
      <w:bookmarkEnd w:id="434"/>
      <w:bookmarkEnd w:id="435"/>
      <w:bookmarkEnd w:id="436"/>
      <w:r w:rsidR="00F111D2" w:rsidRPr="00CB2C31">
        <w:rPr>
          <w:lang w:val="en-US"/>
        </w:rPr>
        <w:t xml:space="preserve">.  </w:t>
      </w:r>
      <w:r w:rsidR="00D41435" w:rsidRPr="00CB2C31">
        <w:rPr>
          <w:lang w:val="en-US"/>
        </w:rPr>
        <w:t xml:space="preserve">These initiatives range from a </w:t>
      </w:r>
      <w:r w:rsidR="00593F1F">
        <w:rPr>
          <w:lang w:val="en-US"/>
        </w:rPr>
        <w:t>‘</w:t>
      </w:r>
      <w:r w:rsidR="00D41435" w:rsidRPr="00CB2C31">
        <w:rPr>
          <w:lang w:val="en-US"/>
        </w:rPr>
        <w:t xml:space="preserve">comply </w:t>
      </w:r>
      <w:r w:rsidR="00236E78" w:rsidRPr="00CB2C31">
        <w:rPr>
          <w:lang w:val="en-US"/>
        </w:rPr>
        <w:t>or</w:t>
      </w:r>
      <w:r w:rsidR="00D41435" w:rsidRPr="00CB2C31">
        <w:rPr>
          <w:lang w:val="en-US"/>
        </w:rPr>
        <w:t xml:space="preserve"> explain</w:t>
      </w:r>
      <w:r w:rsidR="00593F1F">
        <w:rPr>
          <w:lang w:val="en-US"/>
        </w:rPr>
        <w:t>’</w:t>
      </w:r>
      <w:r w:rsidR="00D41435" w:rsidRPr="00CB2C31">
        <w:rPr>
          <w:lang w:val="en-US"/>
        </w:rPr>
        <w:t xml:space="preserve"> model at the federal level to quotas in certain provinces for </w:t>
      </w:r>
      <w:r w:rsidR="00EE0562" w:rsidRPr="00CB2C31">
        <w:rPr>
          <w:lang w:val="en-US"/>
        </w:rPr>
        <w:t>govern</w:t>
      </w:r>
      <w:r w:rsidR="00EE0562">
        <w:rPr>
          <w:lang w:val="en-US"/>
        </w:rPr>
        <w:t>ment-</w:t>
      </w:r>
      <w:r w:rsidR="00D41435" w:rsidRPr="00CB2C31">
        <w:rPr>
          <w:lang w:val="en-US"/>
        </w:rPr>
        <w:t>owned enterprises.</w:t>
      </w:r>
    </w:p>
    <w:p w14:paraId="0DFA3BCF" w14:textId="77777777" w:rsidR="00D41435" w:rsidRPr="00CB2C31" w:rsidRDefault="00D41435" w:rsidP="00623C41">
      <w:pPr>
        <w:pStyle w:val="LegalCombo4"/>
        <w:keepNext/>
      </w:pPr>
      <w:r w:rsidRPr="00CB2C31">
        <w:t xml:space="preserve">Corporate Governance </w:t>
      </w:r>
    </w:p>
    <w:p w14:paraId="53D53C0E" w14:textId="77777777" w:rsidR="00D41435" w:rsidRPr="00CB2C31" w:rsidRDefault="00D41435" w:rsidP="00623C41">
      <w:pPr>
        <w:pStyle w:val="HeadingLeftItal"/>
        <w:jc w:val="both"/>
        <w:rPr>
          <w:u w:val="single"/>
          <w:lang w:val="en-US"/>
        </w:rPr>
      </w:pPr>
      <w:bookmarkStart w:id="437" w:name="_Toc511986903"/>
      <w:bookmarkStart w:id="438" w:name="_Toc512156431"/>
      <w:bookmarkStart w:id="439" w:name="_Toc512162795"/>
      <w:bookmarkStart w:id="440" w:name="_Toc512163764"/>
      <w:r w:rsidRPr="00CB2C31">
        <w:rPr>
          <w:lang w:val="en-US"/>
        </w:rPr>
        <w:t>Federal</w:t>
      </w:r>
      <w:bookmarkEnd w:id="437"/>
      <w:bookmarkEnd w:id="438"/>
      <w:bookmarkEnd w:id="439"/>
      <w:bookmarkEnd w:id="440"/>
    </w:p>
    <w:p w14:paraId="366DC658" w14:textId="5F4439DA" w:rsidR="00D41435" w:rsidRPr="00CB2C31" w:rsidRDefault="00D41435" w:rsidP="00623C41">
      <w:pPr>
        <w:pStyle w:val="DoublePara"/>
        <w:rPr>
          <w:lang w:val="en-US"/>
        </w:rPr>
      </w:pPr>
      <w:bookmarkStart w:id="441" w:name="_Toc511986904"/>
      <w:bookmarkStart w:id="442" w:name="_Toc512156432"/>
      <w:bookmarkStart w:id="443" w:name="_Toc512162796"/>
      <w:bookmarkStart w:id="444" w:name="_Toc512163765"/>
      <w:r w:rsidRPr="00CB2C31">
        <w:rPr>
          <w:lang w:val="en-US"/>
        </w:rPr>
        <w:t xml:space="preserve">At the federal level, the Canadian government has implemented a </w:t>
      </w:r>
      <w:r w:rsidR="00593F1F">
        <w:rPr>
          <w:lang w:val="en-US"/>
        </w:rPr>
        <w:t>‘</w:t>
      </w:r>
      <w:r w:rsidRPr="00CB2C31">
        <w:rPr>
          <w:lang w:val="en-US"/>
        </w:rPr>
        <w:t>comply or explain</w:t>
      </w:r>
      <w:r w:rsidR="00593F1F">
        <w:rPr>
          <w:lang w:val="en-US"/>
        </w:rPr>
        <w:t>’</w:t>
      </w:r>
      <w:r w:rsidRPr="00CB2C31">
        <w:rPr>
          <w:lang w:val="en-US"/>
        </w:rPr>
        <w:t xml:space="preserve"> model to promote the participation of women on corporate boards</w:t>
      </w:r>
      <w:r w:rsidR="00F111D2" w:rsidRPr="00CB2C31">
        <w:rPr>
          <w:lang w:val="en-US"/>
        </w:rPr>
        <w:t xml:space="preserve">.  </w:t>
      </w:r>
      <w:r w:rsidRPr="00CB2C31">
        <w:rPr>
          <w:lang w:val="en-US"/>
        </w:rPr>
        <w:t>On May 1, 2018, Bill C-25 was enacted into law which amends the Canada Business Corporations Act (</w:t>
      </w:r>
      <w:r w:rsidR="00203E75" w:rsidRPr="00203E75">
        <w:rPr>
          <w:i/>
          <w:lang w:val="en-US"/>
        </w:rPr>
        <w:t>“</w:t>
      </w:r>
      <w:r w:rsidRPr="00CB2C31">
        <w:rPr>
          <w:b/>
          <w:lang w:val="en-US"/>
        </w:rPr>
        <w:t>CBCA</w:t>
      </w:r>
      <w:r w:rsidR="00203E75" w:rsidRPr="00203E75">
        <w:rPr>
          <w:i/>
          <w:lang w:val="en-US"/>
        </w:rPr>
        <w:t>”</w:t>
      </w:r>
      <w:r w:rsidRPr="00CB2C31">
        <w:rPr>
          <w:lang w:val="en-US"/>
        </w:rPr>
        <w:t>)</w:t>
      </w:r>
      <w:r w:rsidR="00F111D2" w:rsidRPr="00CB2C31">
        <w:rPr>
          <w:lang w:val="en-US"/>
        </w:rPr>
        <w:t xml:space="preserve">.  </w:t>
      </w:r>
      <w:r w:rsidRPr="00CB2C31">
        <w:rPr>
          <w:lang w:val="en-US"/>
        </w:rPr>
        <w:t xml:space="preserve">The amendments include: (i) reforming the process of electing directors of certain corporations; (ii) </w:t>
      </w:r>
      <w:r w:rsidR="00236E78" w:rsidRPr="00CB2C31">
        <w:rPr>
          <w:lang w:val="en-US"/>
        </w:rPr>
        <w:t>modernizing</w:t>
      </w:r>
      <w:r w:rsidRPr="00CB2C31">
        <w:rPr>
          <w:lang w:val="en-US"/>
        </w:rPr>
        <w:t xml:space="preserve"> communications between corporations and their shareholders; and (iii) requiring disclosure of information in relation to diversity among directors and senior management.</w:t>
      </w:r>
      <w:r w:rsidRPr="00CB2C31">
        <w:rPr>
          <w:rStyle w:val="FootnoteReference"/>
          <w:lang w:val="en-US"/>
        </w:rPr>
        <w:footnoteReference w:id="339"/>
      </w:r>
      <w:r w:rsidR="00932C37">
        <w:rPr>
          <w:lang w:val="en-US"/>
        </w:rPr>
        <w:t xml:space="preserve"> </w:t>
      </w:r>
      <w:r w:rsidRPr="00CB2C31">
        <w:rPr>
          <w:lang w:val="en-US"/>
        </w:rPr>
        <w:t xml:space="preserve"> One key change that has been </w:t>
      </w:r>
      <w:r w:rsidR="00236E78" w:rsidRPr="00CB2C31">
        <w:rPr>
          <w:lang w:val="en-US"/>
        </w:rPr>
        <w:t>recognized</w:t>
      </w:r>
      <w:r w:rsidRPr="00CB2C31">
        <w:rPr>
          <w:lang w:val="en-US"/>
        </w:rPr>
        <w:t xml:space="preserve"> as a progressive reform of corporate governance is the requirement for corporations governed by the CBCA to annually disclose the gender composition of boards and senior management, and a </w:t>
      </w:r>
      <w:r w:rsidR="00593F1F">
        <w:rPr>
          <w:lang w:val="en-US"/>
        </w:rPr>
        <w:t>‘</w:t>
      </w:r>
      <w:r w:rsidRPr="00CB2C31">
        <w:rPr>
          <w:lang w:val="en-US"/>
        </w:rPr>
        <w:t>comply or explain</w:t>
      </w:r>
      <w:r w:rsidR="00593F1F">
        <w:rPr>
          <w:lang w:val="en-US"/>
        </w:rPr>
        <w:t>’</w:t>
      </w:r>
      <w:r w:rsidRPr="00CB2C31">
        <w:rPr>
          <w:lang w:val="en-US"/>
        </w:rPr>
        <w:t xml:space="preserve"> approach to the disclosure of diversity initiatives</w:t>
      </w:r>
      <w:r w:rsidR="00F111D2" w:rsidRPr="00CB2C31">
        <w:rPr>
          <w:lang w:val="en-US"/>
        </w:rPr>
        <w:t xml:space="preserve">.  </w:t>
      </w:r>
      <w:r w:rsidRPr="00CB2C31">
        <w:rPr>
          <w:lang w:val="en-US"/>
        </w:rPr>
        <w:t>Companies are not under a legal obligation to adopt specific policies or targets regarding diversity but they must disclose whether or not they have done so and explain their rationale for failing to do so.</w:t>
      </w:r>
      <w:r w:rsidRPr="00CB2C31">
        <w:rPr>
          <w:rStyle w:val="FootnoteReference"/>
          <w:lang w:val="en-US"/>
        </w:rPr>
        <w:footnoteReference w:id="340"/>
      </w:r>
      <w:r w:rsidR="00932C37">
        <w:rPr>
          <w:lang w:val="en-US"/>
        </w:rPr>
        <w:t xml:space="preserve"> </w:t>
      </w:r>
      <w:r w:rsidRPr="00CB2C31">
        <w:rPr>
          <w:lang w:val="en-US"/>
        </w:rPr>
        <w:t xml:space="preserve"> </w:t>
      </w:r>
      <w:bookmarkEnd w:id="441"/>
      <w:bookmarkEnd w:id="442"/>
      <w:bookmarkEnd w:id="443"/>
      <w:bookmarkEnd w:id="444"/>
      <w:r w:rsidRPr="00CB2C31">
        <w:rPr>
          <w:lang w:val="en-US"/>
        </w:rPr>
        <w:t>The Canadian Government will review the new diversity provisions five years after they take effect to determine whether the measures need to be amended or if new targets need to be introduced.</w:t>
      </w:r>
      <w:r w:rsidRPr="00CB2C31">
        <w:rPr>
          <w:rStyle w:val="FootnoteReference"/>
          <w:lang w:val="en-US"/>
        </w:rPr>
        <w:footnoteReference w:id="341"/>
      </w:r>
    </w:p>
    <w:p w14:paraId="2C5EEEF8" w14:textId="77777777" w:rsidR="00D41435" w:rsidRPr="00CB2C31" w:rsidRDefault="00D41435" w:rsidP="00623C41">
      <w:pPr>
        <w:pStyle w:val="DoublePara"/>
        <w:rPr>
          <w:lang w:val="en-US"/>
        </w:rPr>
      </w:pPr>
      <w:r w:rsidRPr="00CB2C31">
        <w:rPr>
          <w:lang w:val="en-US"/>
        </w:rPr>
        <w:t>Further, Bill C-309 received Royal Assent in June 2018 which establishes an annual Gender Equality Week in the last week of September</w:t>
      </w:r>
      <w:r w:rsidR="00B06F01" w:rsidRPr="00CB2C31">
        <w:rPr>
          <w:lang w:val="en-US"/>
        </w:rPr>
        <w:t xml:space="preserve"> each calendar year</w:t>
      </w:r>
      <w:r w:rsidRPr="00CB2C31">
        <w:rPr>
          <w:lang w:val="en-US"/>
        </w:rPr>
        <w:t>.</w:t>
      </w:r>
      <w:bookmarkStart w:id="445" w:name="_Ref16193481"/>
      <w:r w:rsidRPr="00CB2C31">
        <w:rPr>
          <w:rStyle w:val="FootnoteReference"/>
          <w:lang w:val="en-US"/>
        </w:rPr>
        <w:footnoteReference w:id="342"/>
      </w:r>
      <w:bookmarkEnd w:id="445"/>
      <w:r w:rsidR="00932C37">
        <w:rPr>
          <w:lang w:val="en-US"/>
        </w:rPr>
        <w:t xml:space="preserve"> </w:t>
      </w:r>
      <w:r w:rsidRPr="00CB2C31">
        <w:rPr>
          <w:lang w:val="en-US"/>
        </w:rPr>
        <w:t xml:space="preserve"> Canada celebrated its first ever Gender Equality week in late September 2018</w:t>
      </w:r>
      <w:r w:rsidR="00F111D2" w:rsidRPr="00CB2C31">
        <w:rPr>
          <w:lang w:val="en-US"/>
        </w:rPr>
        <w:t xml:space="preserve">.  </w:t>
      </w:r>
      <w:r w:rsidRPr="00CB2C31">
        <w:rPr>
          <w:lang w:val="en-US"/>
        </w:rPr>
        <w:t xml:space="preserve">The theme and aim of the week is to promote equality. </w:t>
      </w:r>
    </w:p>
    <w:p w14:paraId="51026121" w14:textId="77777777" w:rsidR="00D41435" w:rsidRPr="00CB2C31" w:rsidRDefault="00D41435" w:rsidP="00623C41">
      <w:pPr>
        <w:pStyle w:val="DoublePara"/>
        <w:rPr>
          <w:lang w:val="en-US"/>
        </w:rPr>
      </w:pPr>
      <w:r w:rsidRPr="00CB2C31">
        <w:rPr>
          <w:lang w:val="en-US"/>
        </w:rPr>
        <w:t>The Canadian Government is also supporting gender equality through non-legislative measures</w:t>
      </w:r>
      <w:r w:rsidR="00F111D2" w:rsidRPr="00CB2C31">
        <w:rPr>
          <w:lang w:val="en-US"/>
        </w:rPr>
        <w:t xml:space="preserve">.  </w:t>
      </w:r>
      <w:r w:rsidRPr="00CB2C31">
        <w:rPr>
          <w:lang w:val="en-US"/>
        </w:rPr>
        <w:t xml:space="preserve">In the 2018 Budget, the Canadian Government announced a fund of </w:t>
      </w:r>
      <w:r w:rsidR="00B06F01" w:rsidRPr="00CB2C31">
        <w:rPr>
          <w:lang w:val="en-US"/>
        </w:rPr>
        <w:t xml:space="preserve">Canadian </w:t>
      </w:r>
      <w:r w:rsidRPr="00CB2C31">
        <w:rPr>
          <w:lang w:val="en-US"/>
        </w:rPr>
        <w:t>$100 million over five years to promote gender equality</w:t>
      </w:r>
      <w:r w:rsidR="00F111D2" w:rsidRPr="00CB2C31">
        <w:rPr>
          <w:lang w:val="en-US"/>
        </w:rPr>
        <w:t xml:space="preserve">.  </w:t>
      </w:r>
      <w:r w:rsidRPr="00CB2C31">
        <w:rPr>
          <w:lang w:val="en-US"/>
        </w:rPr>
        <w:t>On March 8, 2019, Minister Monsef announced that over 250 women</w:t>
      </w:r>
      <w:r w:rsidR="00593F1F">
        <w:rPr>
          <w:lang w:val="en-US"/>
        </w:rPr>
        <w:t>’</w:t>
      </w:r>
      <w:r w:rsidRPr="00CB2C31">
        <w:rPr>
          <w:lang w:val="en-US"/>
        </w:rPr>
        <w:t xml:space="preserve">s </w:t>
      </w:r>
      <w:r w:rsidR="00236E78" w:rsidRPr="00CB2C31">
        <w:rPr>
          <w:lang w:val="en-US"/>
        </w:rPr>
        <w:t>organizations</w:t>
      </w:r>
      <w:r w:rsidRPr="00CB2C31">
        <w:rPr>
          <w:lang w:val="en-US"/>
        </w:rPr>
        <w:t xml:space="preserve"> would receive funding.</w:t>
      </w:r>
      <w:r w:rsidRPr="00CB2C31">
        <w:rPr>
          <w:rStyle w:val="FootnoteReference"/>
          <w:lang w:val="en-US"/>
        </w:rPr>
        <w:footnoteReference w:id="343"/>
      </w:r>
      <w:r w:rsidRPr="00CB2C31">
        <w:rPr>
          <w:lang w:val="en-US"/>
        </w:rPr>
        <w:t xml:space="preserve"> </w:t>
      </w:r>
    </w:p>
    <w:p w14:paraId="6355224D" w14:textId="77777777" w:rsidR="00D41435" w:rsidRPr="00CB2C31" w:rsidRDefault="00D41435" w:rsidP="00623C41">
      <w:pPr>
        <w:pStyle w:val="HeadingLeftItal"/>
        <w:jc w:val="both"/>
        <w:rPr>
          <w:lang w:val="en-US"/>
        </w:rPr>
      </w:pPr>
      <w:r w:rsidRPr="00CB2C31">
        <w:rPr>
          <w:lang w:val="en-US"/>
        </w:rPr>
        <w:t xml:space="preserve">Provincial </w:t>
      </w:r>
    </w:p>
    <w:p w14:paraId="5411D2B7" w14:textId="77777777" w:rsidR="00D41435" w:rsidRPr="00CB2C31" w:rsidRDefault="00D41435" w:rsidP="00623C41">
      <w:pPr>
        <w:pStyle w:val="DoublePara"/>
        <w:rPr>
          <w:lang w:val="en-US"/>
        </w:rPr>
      </w:pPr>
      <w:bookmarkStart w:id="446" w:name="_Toc511986906"/>
      <w:bookmarkStart w:id="447" w:name="_Toc512156434"/>
      <w:bookmarkStart w:id="448" w:name="_Toc512162798"/>
      <w:bookmarkStart w:id="449" w:name="_Toc512163767"/>
      <w:r w:rsidRPr="00CB2C31">
        <w:rPr>
          <w:lang w:val="en-US"/>
        </w:rPr>
        <w:t xml:space="preserve">At the provincial level, provincial governments have implemented a range of initiatives from </w:t>
      </w:r>
      <w:r w:rsidR="00EA64F0">
        <w:rPr>
          <w:lang w:val="en-US"/>
        </w:rPr>
        <w:t>mandatory</w:t>
      </w:r>
      <w:r w:rsidR="00EA64F0" w:rsidRPr="00CB2C31">
        <w:rPr>
          <w:lang w:val="en-US"/>
        </w:rPr>
        <w:t xml:space="preserve"> </w:t>
      </w:r>
      <w:r w:rsidRPr="00CB2C31">
        <w:rPr>
          <w:lang w:val="en-US"/>
        </w:rPr>
        <w:t xml:space="preserve">quotas to </w:t>
      </w:r>
      <w:r w:rsidR="00EA64F0">
        <w:rPr>
          <w:lang w:val="en-US"/>
        </w:rPr>
        <w:t xml:space="preserve">non-mandatory </w:t>
      </w:r>
      <w:r w:rsidRPr="00CB2C31">
        <w:rPr>
          <w:lang w:val="en-US"/>
        </w:rPr>
        <w:t>targets with varying degrees of success</w:t>
      </w:r>
      <w:r w:rsidR="00F111D2" w:rsidRPr="00CB2C31">
        <w:rPr>
          <w:lang w:val="en-US"/>
        </w:rPr>
        <w:t xml:space="preserve">.  </w:t>
      </w:r>
      <w:r w:rsidRPr="00CB2C31">
        <w:rPr>
          <w:lang w:val="en-US"/>
        </w:rPr>
        <w:t xml:space="preserve">In 2006, the provincial government of Quebec passed a law requiring 50% </w:t>
      </w:r>
      <w:r w:rsidR="007F34FF" w:rsidRPr="00CB2C31">
        <w:rPr>
          <w:lang w:val="en-US"/>
        </w:rPr>
        <w:t>representation by</w:t>
      </w:r>
      <w:r w:rsidRPr="00CB2C31">
        <w:rPr>
          <w:lang w:val="en-US"/>
        </w:rPr>
        <w:t xml:space="preserve"> women on </w:t>
      </w:r>
      <w:r w:rsidR="007F34FF" w:rsidRPr="00CB2C31">
        <w:rPr>
          <w:lang w:val="en-US"/>
        </w:rPr>
        <w:t xml:space="preserve">the </w:t>
      </w:r>
      <w:r w:rsidRPr="00CB2C31">
        <w:rPr>
          <w:lang w:val="en-US"/>
        </w:rPr>
        <w:t xml:space="preserve">boards of </w:t>
      </w:r>
      <w:r w:rsidR="007F34FF" w:rsidRPr="00CB2C31">
        <w:rPr>
          <w:lang w:val="en-US"/>
        </w:rPr>
        <w:t xml:space="preserve">all </w:t>
      </w:r>
      <w:r w:rsidRPr="00CB2C31">
        <w:rPr>
          <w:lang w:val="en-US"/>
        </w:rPr>
        <w:t>government-owned enterprises</w:t>
      </w:r>
      <w:r w:rsidR="007F34FF" w:rsidRPr="00CB2C31">
        <w:rPr>
          <w:lang w:val="en-US"/>
        </w:rPr>
        <w:t xml:space="preserve"> to be fully implemented by the end of 2011</w:t>
      </w:r>
      <w:r w:rsidRPr="00CB2C31">
        <w:rPr>
          <w:lang w:val="en-US"/>
        </w:rPr>
        <w:t>.</w:t>
      </w:r>
      <w:r w:rsidRPr="00CB2C31">
        <w:rPr>
          <w:rStyle w:val="FootnoteReference"/>
          <w:lang w:val="en-US"/>
        </w:rPr>
        <w:footnoteReference w:id="344"/>
      </w:r>
      <w:r w:rsidR="00932C37">
        <w:rPr>
          <w:lang w:val="en-US"/>
        </w:rPr>
        <w:t xml:space="preserve"> </w:t>
      </w:r>
      <w:r w:rsidRPr="00CB2C31">
        <w:rPr>
          <w:rFonts w:ascii="Helvetica" w:hAnsi="Helvetica"/>
          <w:shd w:val="clear" w:color="auto" w:fill="FFFFFF"/>
          <w:lang w:val="en-US"/>
        </w:rPr>
        <w:t xml:space="preserve"> </w:t>
      </w:r>
      <w:r w:rsidRPr="00CB2C31">
        <w:rPr>
          <w:lang w:val="en-US"/>
        </w:rPr>
        <w:t>In May 2013, the Ontario provincial government commissioned a report to investigate potential initiatives aimed at gender diversity at major businesses, not-for-profits and other large organizations</w:t>
      </w:r>
      <w:r w:rsidR="00F111D2" w:rsidRPr="00CB2C31">
        <w:rPr>
          <w:lang w:val="en-US"/>
        </w:rPr>
        <w:t xml:space="preserve">.  </w:t>
      </w:r>
      <w:r w:rsidRPr="00CB2C31">
        <w:rPr>
          <w:lang w:val="en-US"/>
        </w:rPr>
        <w:t>As a consequence, in June 2016, the Ontario provincial government set a target that by 2019, women will make up at least 40% of all appointments to every board and agency.</w:t>
      </w:r>
      <w:bookmarkEnd w:id="446"/>
      <w:bookmarkEnd w:id="447"/>
      <w:bookmarkEnd w:id="448"/>
      <w:bookmarkEnd w:id="449"/>
      <w:r w:rsidRPr="00CB2C31">
        <w:rPr>
          <w:rStyle w:val="FootnoteReference"/>
          <w:lang w:val="en-US"/>
        </w:rPr>
        <w:footnoteReference w:id="345"/>
      </w:r>
      <w:r w:rsidR="00932C37">
        <w:rPr>
          <w:lang w:val="en-US"/>
        </w:rPr>
        <w:t xml:space="preserve"> </w:t>
      </w:r>
      <w:r w:rsidRPr="00CB2C31">
        <w:rPr>
          <w:lang w:val="en-US"/>
        </w:rPr>
        <w:t xml:space="preserve"> More recently, a private member</w:t>
      </w:r>
      <w:r w:rsidR="00593F1F">
        <w:rPr>
          <w:lang w:val="en-US"/>
        </w:rPr>
        <w:t>’</w:t>
      </w:r>
      <w:r w:rsidRPr="00CB2C31">
        <w:rPr>
          <w:lang w:val="en-US"/>
        </w:rPr>
        <w:t>s bill has been proposed to amend the Business Corporations Act (Ontario) with similar changes to those made to the CBCA</w:t>
      </w:r>
      <w:r w:rsidR="007F34FF" w:rsidRPr="00CB2C31">
        <w:rPr>
          <w:lang w:val="en-US"/>
        </w:rPr>
        <w:t xml:space="preserve"> described above</w:t>
      </w:r>
      <w:r w:rsidRPr="00CB2C31">
        <w:rPr>
          <w:lang w:val="en-US"/>
        </w:rPr>
        <w:t>.</w:t>
      </w:r>
      <w:r w:rsidRPr="00CB2C31">
        <w:rPr>
          <w:rStyle w:val="FootnoteReference"/>
          <w:lang w:val="en-US"/>
        </w:rPr>
        <w:footnoteReference w:id="346"/>
      </w:r>
      <w:r w:rsidR="00932C37">
        <w:rPr>
          <w:lang w:val="en-US"/>
        </w:rPr>
        <w:t xml:space="preserve"> </w:t>
      </w:r>
      <w:r w:rsidRPr="00CB2C31">
        <w:rPr>
          <w:lang w:val="en-US"/>
        </w:rPr>
        <w:t xml:space="preserve"> The bill has passed its second reading and on March 9, 2019 it was referred to the Standing Committee on Finance and Economic Affairs</w:t>
      </w:r>
      <w:r w:rsidR="00F111D2" w:rsidRPr="00CB2C31">
        <w:rPr>
          <w:lang w:val="en-US"/>
        </w:rPr>
        <w:t xml:space="preserve">.  </w:t>
      </w:r>
      <w:r w:rsidRPr="00CB2C31">
        <w:rPr>
          <w:lang w:val="en-US"/>
        </w:rPr>
        <w:t>It remains to be seen if this bill will become law.</w:t>
      </w:r>
    </w:p>
    <w:p w14:paraId="4ACDA227" w14:textId="77777777" w:rsidR="00D41435" w:rsidRPr="00CB2C31" w:rsidRDefault="00D41435" w:rsidP="00623C41">
      <w:pPr>
        <w:pStyle w:val="HeadingLeftItal"/>
        <w:jc w:val="both"/>
        <w:rPr>
          <w:lang w:val="en-US"/>
        </w:rPr>
      </w:pPr>
      <w:r w:rsidRPr="00CB2C31">
        <w:rPr>
          <w:lang w:val="en-US"/>
        </w:rPr>
        <w:t>Regulation</w:t>
      </w:r>
    </w:p>
    <w:p w14:paraId="4DD28CAE" w14:textId="076D5832" w:rsidR="00D41435" w:rsidRPr="00CB2C31" w:rsidRDefault="00D41435" w:rsidP="00623C41">
      <w:pPr>
        <w:pStyle w:val="DoublePara"/>
        <w:rPr>
          <w:lang w:val="en-US"/>
        </w:rPr>
      </w:pPr>
      <w:r w:rsidRPr="00CB2C31">
        <w:rPr>
          <w:lang w:val="en-US"/>
        </w:rPr>
        <w:t>In 2014 the securities regulatory authorities in Manitoba, New Brunswick, Newfoundland and Labrador, Northwest Territories, Nova Scotia, Nunavut, Ontario, Quebec, Saskatchewan and Yukon approved implementation of amendments to the National Instrument 58-101F1 (</w:t>
      </w:r>
      <w:r w:rsidRPr="00CB2C31">
        <w:rPr>
          <w:i/>
          <w:lang w:val="en-US"/>
        </w:rPr>
        <w:t>Corporate Governance Disclosure</w:t>
      </w:r>
      <w:r w:rsidRPr="00CB2C31">
        <w:rPr>
          <w:lang w:val="en-US"/>
        </w:rPr>
        <w:t>) and Form 58-101F1 (</w:t>
      </w:r>
      <w:r w:rsidRPr="00CB2C31">
        <w:rPr>
          <w:i/>
          <w:iCs/>
          <w:lang w:val="en-US"/>
        </w:rPr>
        <w:t>Corporate Governance Disclosure</w:t>
      </w:r>
      <w:r w:rsidRPr="00CB2C31">
        <w:rPr>
          <w:iCs/>
          <w:lang w:val="en-US"/>
        </w:rPr>
        <w:t>)</w:t>
      </w:r>
      <w:r w:rsidRPr="00CB2C31">
        <w:rPr>
          <w:lang w:val="en-US"/>
        </w:rPr>
        <w:t xml:space="preserve"> to increase transparency regarding representation of women on boards of directors and senior management.</w:t>
      </w:r>
      <w:r w:rsidRPr="00CB2C31">
        <w:rPr>
          <w:rStyle w:val="FootnoteReference"/>
          <w:lang w:val="en-US"/>
        </w:rPr>
        <w:footnoteReference w:id="347"/>
      </w:r>
      <w:r w:rsidR="00932C37">
        <w:rPr>
          <w:lang w:val="en-US"/>
        </w:rPr>
        <w:t xml:space="preserve"> </w:t>
      </w:r>
      <w:r w:rsidRPr="00CB2C31">
        <w:rPr>
          <w:lang w:val="en-US"/>
        </w:rPr>
        <w:t xml:space="preserve"> Effective in 2015, the amendments require all non-venture issuers to disclose, among other things, the number and percentage of women on boards and in executive positions, any targets it has for such numbers and percentages, any written policies relating to identification and nomination of female directors and whether consideration is given to female representation during recruitment.</w:t>
      </w:r>
      <w:r w:rsidRPr="00CB2C31">
        <w:rPr>
          <w:rStyle w:val="FootnoteReference"/>
          <w:lang w:val="en-US"/>
        </w:rPr>
        <w:footnoteReference w:id="348"/>
      </w:r>
      <w:r w:rsidR="00932C37">
        <w:rPr>
          <w:lang w:val="en-US"/>
        </w:rPr>
        <w:t xml:space="preserve"> </w:t>
      </w:r>
      <w:r w:rsidRPr="00CB2C31">
        <w:rPr>
          <w:lang w:val="en-US"/>
        </w:rPr>
        <w:t xml:space="preserve"> This is a </w:t>
      </w:r>
      <w:r w:rsidR="00593F1F">
        <w:rPr>
          <w:lang w:val="en-US"/>
        </w:rPr>
        <w:t>‘</w:t>
      </w:r>
      <w:r w:rsidRPr="00CB2C31">
        <w:rPr>
          <w:lang w:val="en-US"/>
        </w:rPr>
        <w:t>comply or explain</w:t>
      </w:r>
      <w:r w:rsidR="00593F1F">
        <w:rPr>
          <w:lang w:val="en-US"/>
        </w:rPr>
        <w:t>’</w:t>
      </w:r>
      <w:r w:rsidRPr="00CB2C31">
        <w:rPr>
          <w:lang w:val="en-US"/>
        </w:rPr>
        <w:t xml:space="preserve"> regime and the Canadian Securities Administration (</w:t>
      </w:r>
      <w:r w:rsidR="00203E75" w:rsidRPr="00203E75">
        <w:rPr>
          <w:i/>
          <w:lang w:val="en-US"/>
        </w:rPr>
        <w:t>“</w:t>
      </w:r>
      <w:r w:rsidRPr="00CB2C31">
        <w:rPr>
          <w:b/>
          <w:lang w:val="en-US"/>
        </w:rPr>
        <w:t>CSA</w:t>
      </w:r>
      <w:r w:rsidR="00203E75" w:rsidRPr="00203E75">
        <w:rPr>
          <w:i/>
          <w:lang w:val="en-US"/>
        </w:rPr>
        <w:t>”</w:t>
      </w:r>
      <w:r w:rsidRPr="00CB2C31">
        <w:rPr>
          <w:lang w:val="en-US"/>
        </w:rPr>
        <w:t>) has been reporting on the results of disclosures received since the amendments were in force</w:t>
      </w:r>
      <w:r w:rsidR="00F111D2" w:rsidRPr="00CB2C31">
        <w:rPr>
          <w:lang w:val="en-US"/>
        </w:rPr>
        <w:t xml:space="preserve">.  </w:t>
      </w:r>
      <w:r w:rsidRPr="00CB2C31">
        <w:rPr>
          <w:lang w:val="en-US"/>
        </w:rPr>
        <w:t>The latest report, published in September 2018, indicated that progress has been made by companies listed on the Toronto Stock Exchange who are subject to the requirements, albeit at a relatively slow pace.</w:t>
      </w:r>
      <w:r w:rsidRPr="00CB2C31">
        <w:rPr>
          <w:rStyle w:val="FootnoteReference"/>
          <w:lang w:val="en-US"/>
        </w:rPr>
        <w:footnoteReference w:id="349"/>
      </w:r>
      <w:r w:rsidR="00932C37">
        <w:rPr>
          <w:lang w:val="en-US"/>
        </w:rPr>
        <w:t xml:space="preserve"> </w:t>
      </w:r>
      <w:r w:rsidRPr="00CB2C31">
        <w:rPr>
          <w:lang w:val="en-US"/>
        </w:rPr>
        <w:t xml:space="preserve"> It reported that the total </w:t>
      </w:r>
      <w:r w:rsidR="00B06F01" w:rsidRPr="00CB2C31">
        <w:rPr>
          <w:lang w:val="en-US"/>
        </w:rPr>
        <w:t xml:space="preserve">proportion of </w:t>
      </w:r>
      <w:r w:rsidRPr="00CB2C31">
        <w:rPr>
          <w:lang w:val="en-US"/>
        </w:rPr>
        <w:t>board seats occupied by women had increased to 15% in 2018 from 11% in 2015 and 66% of issuers had at least one woman on their board compared to 49% in 2011</w:t>
      </w:r>
      <w:r w:rsidR="00F111D2" w:rsidRPr="00CB2C31">
        <w:rPr>
          <w:lang w:val="en-US"/>
        </w:rPr>
        <w:t xml:space="preserve">.  </w:t>
      </w:r>
      <w:r w:rsidRPr="00CB2C31">
        <w:rPr>
          <w:lang w:val="en-US"/>
        </w:rPr>
        <w:t xml:space="preserve">The number of issuers which had implemented policies regarding representation of women on </w:t>
      </w:r>
      <w:r w:rsidR="00B06F01" w:rsidRPr="00CB2C31">
        <w:rPr>
          <w:lang w:val="en-US"/>
        </w:rPr>
        <w:t xml:space="preserve">their </w:t>
      </w:r>
      <w:r w:rsidRPr="00CB2C31">
        <w:rPr>
          <w:lang w:val="en-US"/>
        </w:rPr>
        <w:t>board</w:t>
      </w:r>
      <w:r w:rsidR="00816066" w:rsidRPr="00CB2C31">
        <w:rPr>
          <w:lang w:val="en-US"/>
        </w:rPr>
        <w:t>s</w:t>
      </w:r>
      <w:r w:rsidRPr="00CB2C31">
        <w:rPr>
          <w:lang w:val="en-US"/>
        </w:rPr>
        <w:t xml:space="preserve"> did show significant improvement, increasing to 42% in 2018 from 15% in 2011</w:t>
      </w:r>
      <w:r w:rsidR="00F111D2" w:rsidRPr="00CB2C31">
        <w:rPr>
          <w:lang w:val="en-US"/>
        </w:rPr>
        <w:t xml:space="preserve">.  </w:t>
      </w:r>
      <w:r w:rsidRPr="00CB2C31">
        <w:rPr>
          <w:lang w:val="en-US"/>
        </w:rPr>
        <w:t>The report indicated that the CSA is continuing to carry out research and consultations to determine whether further changes to the regulatory regime are warranted but no decisions have yet been made.</w:t>
      </w:r>
    </w:p>
    <w:p w14:paraId="216BD93D" w14:textId="77777777" w:rsidR="00D41435" w:rsidRPr="00CB2C31" w:rsidRDefault="00D41435" w:rsidP="00623C41">
      <w:pPr>
        <w:pStyle w:val="HeadingLeftItal"/>
        <w:jc w:val="both"/>
        <w:rPr>
          <w:lang w:val="en-US"/>
        </w:rPr>
      </w:pPr>
      <w:r w:rsidRPr="00CB2C31">
        <w:rPr>
          <w:lang w:val="en-US"/>
        </w:rPr>
        <w:t>Industry and Investor Initiatives</w:t>
      </w:r>
    </w:p>
    <w:p w14:paraId="4179AD76" w14:textId="7BD48DE2" w:rsidR="00D41435" w:rsidRPr="00CB2C31" w:rsidRDefault="00D41435" w:rsidP="00623C41">
      <w:pPr>
        <w:pStyle w:val="DoublePara"/>
        <w:rPr>
          <w:lang w:val="en-US"/>
        </w:rPr>
      </w:pPr>
      <w:r w:rsidRPr="00CB2C31">
        <w:rPr>
          <w:lang w:val="en-US"/>
        </w:rPr>
        <w:t>A number of non-governmental groups have been established to increase gender diversity on Canadian corporate boards, a few of which are highlighted here</w:t>
      </w:r>
      <w:r w:rsidR="00F111D2" w:rsidRPr="00CB2C31">
        <w:rPr>
          <w:lang w:val="en-US"/>
        </w:rPr>
        <w:t xml:space="preserve">.  </w:t>
      </w:r>
      <w:r w:rsidRPr="00CB2C31">
        <w:rPr>
          <w:lang w:val="en-US"/>
        </w:rPr>
        <w:t>In 2017 the Canadian Gender and Good Governance Alliance was established with the aim of amplifying and coordinating efforts to increase gender equality on boards and in executive positions.</w:t>
      </w:r>
      <w:r w:rsidRPr="00CB2C31">
        <w:rPr>
          <w:rStyle w:val="FootnoteReference"/>
          <w:lang w:val="en-US"/>
        </w:rPr>
        <w:footnoteReference w:id="350"/>
      </w:r>
      <w:r w:rsidR="00932C37">
        <w:rPr>
          <w:lang w:val="en-US"/>
        </w:rPr>
        <w:t xml:space="preserve"> </w:t>
      </w:r>
      <w:r w:rsidRPr="00CB2C31">
        <w:rPr>
          <w:lang w:val="en-US"/>
        </w:rPr>
        <w:t xml:space="preserve"> It has published a Directors</w:t>
      </w:r>
      <w:r w:rsidR="00593F1F">
        <w:rPr>
          <w:lang w:val="en-US"/>
        </w:rPr>
        <w:t>’</w:t>
      </w:r>
      <w:r w:rsidRPr="00CB2C31">
        <w:rPr>
          <w:lang w:val="en-US"/>
        </w:rPr>
        <w:t xml:space="preserve"> Playbook which includes practical tools that can be used to achieve gender balance</w:t>
      </w:r>
      <w:r w:rsidR="00F111D2" w:rsidRPr="00CB2C31">
        <w:rPr>
          <w:lang w:val="en-US"/>
        </w:rPr>
        <w:t xml:space="preserve">.  </w:t>
      </w:r>
      <w:r w:rsidRPr="00CB2C31">
        <w:rPr>
          <w:lang w:val="en-US"/>
        </w:rPr>
        <w:t>In September 2017, a Statement of Intent was issued by the 30% Club Canadian Investor Group, a group of 16 large asset management firms</w:t>
      </w:r>
      <w:r w:rsidR="00F111D2" w:rsidRPr="00CB2C31">
        <w:rPr>
          <w:lang w:val="en-US"/>
        </w:rPr>
        <w:t xml:space="preserve">.  </w:t>
      </w:r>
      <w:r w:rsidRPr="00CB2C31">
        <w:rPr>
          <w:lang w:val="en-US"/>
        </w:rPr>
        <w:t xml:space="preserve">The statement set out their objective </w:t>
      </w:r>
      <w:r w:rsidR="00203E75" w:rsidRPr="00203E75">
        <w:rPr>
          <w:i/>
          <w:lang w:val="en-US"/>
        </w:rPr>
        <w:t>“</w:t>
      </w:r>
      <w:r w:rsidRPr="00CB2C31">
        <w:rPr>
          <w:i/>
          <w:lang w:val="en-US"/>
        </w:rPr>
        <w:t>to achieve a minimum of 30% women on the boards and at the executive management level of S&amp;P/TSX composite index companies by 2022</w:t>
      </w:r>
      <w:r w:rsidR="007276F8">
        <w:rPr>
          <w:lang w:val="en-US"/>
        </w:rPr>
        <w:t>.</w:t>
      </w:r>
      <w:r w:rsidR="00203E75" w:rsidRPr="00203E75">
        <w:rPr>
          <w:i/>
          <w:lang w:val="en-US"/>
        </w:rPr>
        <w:t>”</w:t>
      </w:r>
      <w:r w:rsidRPr="00CB2C31">
        <w:rPr>
          <w:rStyle w:val="FootnoteReference"/>
          <w:lang w:val="en-US"/>
        </w:rPr>
        <w:footnoteReference w:id="351"/>
      </w:r>
      <w:r w:rsidR="00932C37">
        <w:rPr>
          <w:lang w:val="en-US"/>
        </w:rPr>
        <w:t xml:space="preserve"> </w:t>
      </w:r>
      <w:r w:rsidRPr="00CB2C31">
        <w:rPr>
          <w:lang w:val="en-US"/>
        </w:rPr>
        <w:t xml:space="preserve"> The statement included a call to action for companies to take a number of steps, including publicly disclosing their diversity policies, a new approach to director appointment with due regard to the benefits of gender diversity and a rigorous assessment of director performance and regular board refreshment. </w:t>
      </w:r>
    </w:p>
    <w:p w14:paraId="74005976" w14:textId="4D41A319" w:rsidR="00D41435" w:rsidRPr="00CB2C31" w:rsidRDefault="00D41435" w:rsidP="00623C41">
      <w:pPr>
        <w:pStyle w:val="DoublePara"/>
        <w:rPr>
          <w:lang w:val="en-US"/>
        </w:rPr>
      </w:pPr>
      <w:r w:rsidRPr="00CB2C31">
        <w:rPr>
          <w:lang w:val="en-US"/>
        </w:rPr>
        <w:t>Ontario Teachers</w:t>
      </w:r>
      <w:r w:rsidR="00593F1F">
        <w:rPr>
          <w:lang w:val="en-US"/>
        </w:rPr>
        <w:t>’</w:t>
      </w:r>
      <w:r w:rsidRPr="00CB2C31">
        <w:rPr>
          <w:lang w:val="en-US"/>
        </w:rPr>
        <w:t xml:space="preserve"> Pension Plan has updated its proxy voting guidelines to emphasize diversity</w:t>
      </w:r>
      <w:r w:rsidR="00EE0562">
        <w:rPr>
          <w:lang w:val="en-US"/>
        </w:rPr>
        <w:t>;</w:t>
      </w:r>
      <w:r w:rsidRPr="00CB2C31">
        <w:rPr>
          <w:lang w:val="en-US"/>
        </w:rPr>
        <w:t xml:space="preserve"> they state that they support a minimum of three women on </w:t>
      </w:r>
      <w:r w:rsidR="00816066" w:rsidRPr="00CB2C31">
        <w:rPr>
          <w:lang w:val="en-US"/>
        </w:rPr>
        <w:t>each corporate</w:t>
      </w:r>
      <w:r w:rsidRPr="00CB2C31">
        <w:rPr>
          <w:lang w:val="en-US"/>
        </w:rPr>
        <w:t xml:space="preserve"> board.</w:t>
      </w:r>
      <w:r w:rsidRPr="00CB2C31">
        <w:rPr>
          <w:rStyle w:val="FootnoteReference"/>
          <w:lang w:val="en-US"/>
        </w:rPr>
        <w:footnoteReference w:id="352"/>
      </w:r>
      <w:r w:rsidRPr="00CB2C31">
        <w:rPr>
          <w:lang w:val="en-US"/>
        </w:rPr>
        <w:t xml:space="preserve"> </w:t>
      </w:r>
      <w:r w:rsidR="00932C37">
        <w:rPr>
          <w:lang w:val="en-US"/>
        </w:rPr>
        <w:t xml:space="preserve"> </w:t>
      </w:r>
      <w:r w:rsidRPr="00CB2C31">
        <w:rPr>
          <w:lang w:val="en-US"/>
        </w:rPr>
        <w:t>Effective January 1, 2019 proxy advisor Glass Lewis</w:t>
      </w:r>
      <w:r w:rsidR="00593F1F">
        <w:rPr>
          <w:lang w:val="en-US"/>
        </w:rPr>
        <w:t>’</w:t>
      </w:r>
      <w:r w:rsidRPr="00CB2C31">
        <w:rPr>
          <w:lang w:val="en-US"/>
        </w:rPr>
        <w:t>s board gender diversity policy took effect pursuant to which Glass Lewis will generally recommend voting against the nominating committee chair if the board has no female members.</w:t>
      </w:r>
      <w:r w:rsidRPr="00CB2C31">
        <w:rPr>
          <w:rStyle w:val="FootnoteReference"/>
          <w:lang w:val="en-US"/>
        </w:rPr>
        <w:footnoteReference w:id="353"/>
      </w:r>
      <w:r w:rsidR="00932C37">
        <w:rPr>
          <w:lang w:val="en-US"/>
        </w:rPr>
        <w:t xml:space="preserve"> </w:t>
      </w:r>
      <w:r w:rsidRPr="00CB2C31">
        <w:rPr>
          <w:lang w:val="en-US"/>
        </w:rPr>
        <w:t xml:space="preserve"> They may also recommend voting against the chair if the board does not have a form</w:t>
      </w:r>
      <w:r w:rsidR="008E6C51" w:rsidRPr="00CB2C31">
        <w:rPr>
          <w:lang w:val="en-US"/>
        </w:rPr>
        <w:t>al written diversity policy</w:t>
      </w:r>
      <w:r w:rsidR="00F111D2" w:rsidRPr="00CB2C31">
        <w:rPr>
          <w:lang w:val="en-US"/>
        </w:rPr>
        <w:t xml:space="preserve">.  </w:t>
      </w:r>
      <w:r w:rsidR="008E6C51" w:rsidRPr="00CB2C31">
        <w:rPr>
          <w:lang w:val="en-US"/>
        </w:rPr>
        <w:t>Canada</w:t>
      </w:r>
      <w:r w:rsidR="00593F1F">
        <w:rPr>
          <w:lang w:val="en-US"/>
        </w:rPr>
        <w:t>’</w:t>
      </w:r>
      <w:r w:rsidR="008E6C51" w:rsidRPr="00CB2C31">
        <w:rPr>
          <w:lang w:val="en-US"/>
        </w:rPr>
        <w:t>s Institution Shareholder Service</w:t>
      </w:r>
      <w:r w:rsidRPr="00CB2C31">
        <w:rPr>
          <w:lang w:val="en-US"/>
        </w:rPr>
        <w:t xml:space="preserve"> has also updated its proxy voting guidelines along similar lines so they will generally recommend voting against the chair of the nominating committee or the chair of the board if there is no nominating committee, if the company has not disclosed a formal written diversity policy or there are no female directors.</w:t>
      </w:r>
      <w:r w:rsidRPr="00CB2C31">
        <w:rPr>
          <w:rStyle w:val="FootnoteReference"/>
          <w:lang w:val="en-US"/>
        </w:rPr>
        <w:footnoteReference w:id="354"/>
      </w:r>
      <w:r w:rsidRPr="00CB2C31">
        <w:rPr>
          <w:lang w:val="en-US"/>
        </w:rPr>
        <w:t xml:space="preserve"> </w:t>
      </w:r>
    </w:p>
    <w:p w14:paraId="4C74FCA7" w14:textId="77777777" w:rsidR="007F34FF" w:rsidRPr="00976256" w:rsidRDefault="007F34FF" w:rsidP="00623C41">
      <w:pPr>
        <w:pStyle w:val="LegalCombo4"/>
        <w:keepNext/>
        <w:rPr>
          <w:b/>
        </w:rPr>
      </w:pPr>
      <w:r w:rsidRPr="00976256">
        <w:rPr>
          <w:b/>
        </w:rPr>
        <w:t>Conclusion and Best Practice Analysis</w:t>
      </w:r>
      <w:r w:rsidR="007A4AC7" w:rsidRPr="00976256">
        <w:rPr>
          <w:b/>
        </w:rPr>
        <w:t>:</w:t>
      </w:r>
      <w:r w:rsidR="00593F1F" w:rsidRPr="00976256">
        <w:rPr>
          <w:b/>
        </w:rPr>
        <w:t xml:space="preserve"> </w:t>
      </w:r>
      <w:r w:rsidR="007A4AC7" w:rsidRPr="00976256">
        <w:rPr>
          <w:b/>
        </w:rPr>
        <w:t>Canada</w:t>
      </w:r>
    </w:p>
    <w:p w14:paraId="3F0D6504" w14:textId="77777777" w:rsidR="007F34FF" w:rsidRPr="00CB2C31" w:rsidRDefault="007F34FF" w:rsidP="00623C41">
      <w:pPr>
        <w:pStyle w:val="DoublePara"/>
        <w:rPr>
          <w:lang w:val="en-US"/>
        </w:rPr>
      </w:pPr>
      <w:r w:rsidRPr="00CB2C31">
        <w:rPr>
          <w:lang w:val="en-US"/>
        </w:rPr>
        <w:t>As can be shown through the variety of initiatives in Canada, diversity on boards remains a significant topic of debate</w:t>
      </w:r>
      <w:r w:rsidR="00F111D2" w:rsidRPr="00CB2C31">
        <w:rPr>
          <w:lang w:val="en-US"/>
        </w:rPr>
        <w:t xml:space="preserve">.  </w:t>
      </w:r>
      <w:r w:rsidRPr="00CB2C31">
        <w:rPr>
          <w:lang w:val="en-US"/>
        </w:rPr>
        <w:t>Consistent with other nations, Canada</w:t>
      </w:r>
      <w:r w:rsidR="00593F1F">
        <w:rPr>
          <w:lang w:val="en-US"/>
        </w:rPr>
        <w:t>’</w:t>
      </w:r>
      <w:r w:rsidRPr="00CB2C31">
        <w:rPr>
          <w:lang w:val="en-US"/>
        </w:rPr>
        <w:t xml:space="preserve">s best practices include having a </w:t>
      </w:r>
      <w:r w:rsidRPr="00976256">
        <w:rPr>
          <w:b/>
          <w:lang w:val="en-US"/>
        </w:rPr>
        <w:t>formal written diversity policy</w:t>
      </w:r>
      <w:r w:rsidRPr="00CB2C31">
        <w:rPr>
          <w:lang w:val="en-US"/>
        </w:rPr>
        <w:t xml:space="preserve">, implementing a </w:t>
      </w:r>
      <w:r w:rsidR="00593F1F" w:rsidRPr="00976256">
        <w:rPr>
          <w:b/>
          <w:lang w:val="en-US"/>
        </w:rPr>
        <w:t>‘</w:t>
      </w:r>
      <w:r w:rsidRPr="00976256">
        <w:rPr>
          <w:b/>
          <w:lang w:val="en-US"/>
        </w:rPr>
        <w:t>comply or explain</w:t>
      </w:r>
      <w:r w:rsidR="00593F1F" w:rsidRPr="00976256">
        <w:rPr>
          <w:b/>
          <w:lang w:val="en-US"/>
        </w:rPr>
        <w:t>’</w:t>
      </w:r>
      <w:r w:rsidRPr="00976256">
        <w:rPr>
          <w:b/>
          <w:lang w:val="en-US"/>
        </w:rPr>
        <w:t xml:space="preserve"> regime</w:t>
      </w:r>
      <w:r w:rsidRPr="00CB2C31">
        <w:rPr>
          <w:lang w:val="en-US"/>
        </w:rPr>
        <w:t xml:space="preserve"> and </w:t>
      </w:r>
      <w:r w:rsidRPr="00976256">
        <w:rPr>
          <w:b/>
          <w:lang w:val="en-US"/>
        </w:rPr>
        <w:t xml:space="preserve">requiring targets </w:t>
      </w:r>
      <w:r w:rsidRPr="00CB2C31">
        <w:rPr>
          <w:lang w:val="en-US"/>
        </w:rPr>
        <w:t xml:space="preserve">or </w:t>
      </w:r>
      <w:r w:rsidR="00EA64F0" w:rsidRPr="00976256">
        <w:rPr>
          <w:b/>
          <w:lang w:val="en-US"/>
        </w:rPr>
        <w:t xml:space="preserve">mandatory </w:t>
      </w:r>
      <w:r w:rsidRPr="00976256">
        <w:rPr>
          <w:b/>
          <w:lang w:val="en-US"/>
        </w:rPr>
        <w:t>quotas</w:t>
      </w:r>
      <w:r w:rsidRPr="00CB2C31">
        <w:rPr>
          <w:lang w:val="en-US"/>
        </w:rPr>
        <w:t>.</w:t>
      </w:r>
    </w:p>
    <w:p w14:paraId="7FE915D4" w14:textId="77777777" w:rsidR="008F79F3" w:rsidRDefault="00761BAA" w:rsidP="008F79F3">
      <w:pPr>
        <w:pStyle w:val="LegalCombo3"/>
        <w:rPr>
          <w:b w:val="0"/>
        </w:rPr>
      </w:pPr>
      <w:bookmarkStart w:id="450" w:name="_Toc22905008"/>
      <w:bookmarkStart w:id="451" w:name="_Toc24114407"/>
      <w:bookmarkStart w:id="452" w:name="_Toc15027274"/>
      <w:bookmarkStart w:id="453" w:name="_Toc15027665"/>
      <w:bookmarkStart w:id="454" w:name="_Toc15027943"/>
      <w:bookmarkStart w:id="455" w:name="_Toc16692505"/>
      <w:r w:rsidRPr="008F79F3">
        <w:t>C</w:t>
      </w:r>
      <w:r w:rsidR="001B4C38" w:rsidRPr="008F79F3">
        <w:t>hile</w:t>
      </w:r>
      <w:bookmarkEnd w:id="450"/>
      <w:bookmarkEnd w:id="451"/>
    </w:p>
    <w:p w14:paraId="2BF75BE1" w14:textId="77777777" w:rsidR="008F79F3" w:rsidRPr="00BD241F" w:rsidRDefault="008F79F3" w:rsidP="008F79F3">
      <w:pPr>
        <w:pStyle w:val="LegalCombo4"/>
        <w:rPr>
          <w:b/>
          <w:szCs w:val="22"/>
        </w:rPr>
      </w:pPr>
      <w:r w:rsidRPr="00BD241F">
        <w:rPr>
          <w:szCs w:val="22"/>
        </w:rPr>
        <w:t xml:space="preserve">Introduction </w:t>
      </w:r>
    </w:p>
    <w:p w14:paraId="4B8C95F0" w14:textId="0F3CF609" w:rsidR="008F79F3" w:rsidRPr="00BD241F" w:rsidRDefault="008F79F3" w:rsidP="00A90312">
      <w:pPr>
        <w:pStyle w:val="DoublePara"/>
        <w:rPr>
          <w:szCs w:val="22"/>
          <w:lang w:val="en-US"/>
        </w:rPr>
      </w:pPr>
      <w:r w:rsidRPr="00BD241F">
        <w:rPr>
          <w:szCs w:val="22"/>
          <w:lang w:val="en-US"/>
        </w:rPr>
        <w:t xml:space="preserve">The Chilean government has embarked on a public-private partnership to encourage gender equality in the work place and in particular in leadership positions.  In the private sector, Chile has relied mostly on a </w:t>
      </w:r>
      <w:r w:rsidR="00EE0562">
        <w:rPr>
          <w:szCs w:val="22"/>
          <w:lang w:val="en-US"/>
        </w:rPr>
        <w:t>‘</w:t>
      </w:r>
      <w:r w:rsidRPr="00BD241F">
        <w:rPr>
          <w:szCs w:val="22"/>
          <w:lang w:val="en-US"/>
        </w:rPr>
        <w:t>comply or explain model</w:t>
      </w:r>
      <w:r w:rsidR="000C6BF1">
        <w:rPr>
          <w:szCs w:val="22"/>
          <w:lang w:val="en-US"/>
        </w:rPr>
        <w:t>,</w:t>
      </w:r>
      <w:r w:rsidR="00EE0562">
        <w:rPr>
          <w:szCs w:val="22"/>
          <w:lang w:val="en-US"/>
        </w:rPr>
        <w:t>’</w:t>
      </w:r>
      <w:r w:rsidRPr="00BD241F">
        <w:rPr>
          <w:szCs w:val="22"/>
          <w:lang w:val="en-US"/>
        </w:rPr>
        <w:t xml:space="preserve"> but in the political sphere, Chile has recently enacted a law that imposes gender quotas for female candidates on party ballots as a temporary special measure.  Further details of Chilean corporate governance requirements applicable to larger joint stock corporations (</w:t>
      </w:r>
      <w:r w:rsidRPr="00BD241F">
        <w:rPr>
          <w:i/>
          <w:szCs w:val="22"/>
          <w:lang w:val="en-US"/>
        </w:rPr>
        <w:t xml:space="preserve">Sociedades Anónimas or </w:t>
      </w:r>
      <w:r w:rsidR="00203E75" w:rsidRPr="00203E75">
        <w:rPr>
          <w:i/>
          <w:szCs w:val="22"/>
          <w:lang w:val="en-US"/>
        </w:rPr>
        <w:t>“</w:t>
      </w:r>
      <w:r w:rsidRPr="00BD241F">
        <w:rPr>
          <w:b/>
          <w:szCs w:val="22"/>
          <w:lang w:val="en-US"/>
        </w:rPr>
        <w:t>Corporations</w:t>
      </w:r>
      <w:r w:rsidR="00203E75" w:rsidRPr="00203E75">
        <w:rPr>
          <w:i/>
          <w:szCs w:val="22"/>
          <w:lang w:val="en-US"/>
        </w:rPr>
        <w:t>”</w:t>
      </w:r>
      <w:r w:rsidRPr="00BD241F">
        <w:rPr>
          <w:szCs w:val="22"/>
          <w:lang w:val="en-US"/>
        </w:rPr>
        <w:t>)</w:t>
      </w:r>
      <w:r w:rsidR="00EE0562">
        <w:rPr>
          <w:szCs w:val="22"/>
          <w:lang w:val="en-US"/>
        </w:rPr>
        <w:t xml:space="preserve"> </w:t>
      </w:r>
      <w:r w:rsidRPr="00BD241F">
        <w:rPr>
          <w:szCs w:val="22"/>
          <w:lang w:val="en-US"/>
        </w:rPr>
        <w:t>–</w:t>
      </w:r>
      <w:r w:rsidR="00EE0562">
        <w:rPr>
          <w:szCs w:val="22"/>
          <w:lang w:val="en-US"/>
        </w:rPr>
        <w:t xml:space="preserve"> </w:t>
      </w:r>
      <w:r w:rsidRPr="00BD241F">
        <w:rPr>
          <w:szCs w:val="22"/>
          <w:lang w:val="en-US"/>
        </w:rPr>
        <w:t>whether listed or closed</w:t>
      </w:r>
      <w:r w:rsidR="00EE0562">
        <w:rPr>
          <w:szCs w:val="22"/>
          <w:lang w:val="en-US"/>
        </w:rPr>
        <w:t xml:space="preserve"> </w:t>
      </w:r>
      <w:r w:rsidRPr="00BD241F">
        <w:rPr>
          <w:szCs w:val="22"/>
          <w:lang w:val="en-US"/>
        </w:rPr>
        <w:t>– are set out below.</w:t>
      </w:r>
    </w:p>
    <w:p w14:paraId="6B60F1CD" w14:textId="77777777" w:rsidR="008F79F3" w:rsidRPr="00BD241F" w:rsidRDefault="008F79F3" w:rsidP="008F79F3">
      <w:pPr>
        <w:pStyle w:val="LegalCombo4"/>
        <w:rPr>
          <w:szCs w:val="22"/>
        </w:rPr>
      </w:pPr>
      <w:r w:rsidRPr="00BD241F">
        <w:rPr>
          <w:szCs w:val="22"/>
        </w:rPr>
        <w:t>Corporate Governance</w:t>
      </w:r>
    </w:p>
    <w:p w14:paraId="0129289B" w14:textId="71485347" w:rsidR="008F79F3" w:rsidRPr="00BD241F" w:rsidRDefault="008F79F3" w:rsidP="00A90312">
      <w:pPr>
        <w:pStyle w:val="DoublePara"/>
        <w:rPr>
          <w:rFonts w:ascii="Roboto" w:hAnsi="Roboto" w:cs="Helvetica"/>
          <w:color w:val="333333"/>
          <w:szCs w:val="22"/>
          <w:lang w:val="en"/>
        </w:rPr>
      </w:pPr>
      <w:r w:rsidRPr="00BD241F">
        <w:rPr>
          <w:szCs w:val="22"/>
          <w:lang w:val="en-US"/>
        </w:rPr>
        <w:t xml:space="preserve">Chilean corporate governance rules can be found in the Chilean Corporations Act (the </w:t>
      </w:r>
      <w:r w:rsidR="00203E75" w:rsidRPr="00203E75">
        <w:rPr>
          <w:i/>
          <w:szCs w:val="22"/>
          <w:lang w:val="en-US"/>
        </w:rPr>
        <w:t>“</w:t>
      </w:r>
      <w:r w:rsidRPr="00BD241F">
        <w:rPr>
          <w:b/>
          <w:szCs w:val="22"/>
          <w:lang w:val="en-US"/>
        </w:rPr>
        <w:t>CCA</w:t>
      </w:r>
      <w:r w:rsidR="00203E75" w:rsidRPr="00203E75">
        <w:rPr>
          <w:i/>
          <w:szCs w:val="22"/>
          <w:lang w:val="en-US"/>
        </w:rPr>
        <w:t>”</w:t>
      </w:r>
      <w:r w:rsidRPr="00BD241F">
        <w:rPr>
          <w:szCs w:val="22"/>
          <w:lang w:val="en-US"/>
        </w:rPr>
        <w:t>) and related rules and regulations</w:t>
      </w:r>
      <w:r w:rsidR="00BD241F" w:rsidRPr="00BD241F">
        <w:rPr>
          <w:szCs w:val="22"/>
          <w:lang w:val="en-US"/>
        </w:rPr>
        <w:t>.</w:t>
      </w:r>
      <w:r w:rsidRPr="00BD241F">
        <w:rPr>
          <w:rStyle w:val="FootnoteReference"/>
          <w:szCs w:val="22"/>
          <w:lang w:val="en-US"/>
        </w:rPr>
        <w:footnoteReference w:id="355"/>
      </w:r>
      <w:r w:rsidRPr="00BD241F">
        <w:rPr>
          <w:szCs w:val="22"/>
          <w:lang w:val="en-US"/>
        </w:rPr>
        <w:t xml:space="preserve">  Listed corporations are required to register with the securities registry held by </w:t>
      </w:r>
      <w:r w:rsidRPr="00BD241F">
        <w:rPr>
          <w:rFonts w:ascii="Roboto" w:hAnsi="Roboto" w:cs="Helvetica"/>
          <w:color w:val="333333"/>
          <w:szCs w:val="22"/>
          <w:lang w:val="en"/>
        </w:rPr>
        <w:t xml:space="preserve">the </w:t>
      </w:r>
      <w:r w:rsidR="00EE0562" w:rsidRPr="00BD241F">
        <w:rPr>
          <w:rFonts w:ascii="Roboto" w:hAnsi="Roboto" w:cs="Helvetica"/>
          <w:color w:val="333333"/>
          <w:szCs w:val="22"/>
          <w:lang w:val="en"/>
        </w:rPr>
        <w:t>Superintendenc</w:t>
      </w:r>
      <w:r w:rsidR="00EE0562">
        <w:rPr>
          <w:rFonts w:ascii="Roboto" w:hAnsi="Roboto" w:cs="Helvetica"/>
          <w:color w:val="333333"/>
          <w:szCs w:val="22"/>
          <w:lang w:val="en"/>
        </w:rPr>
        <w:t>y</w:t>
      </w:r>
      <w:r w:rsidR="00EE0562" w:rsidRPr="00BD241F">
        <w:rPr>
          <w:rFonts w:ascii="Roboto" w:hAnsi="Roboto" w:cs="Helvetica"/>
          <w:color w:val="333333"/>
          <w:szCs w:val="22"/>
          <w:lang w:val="en"/>
        </w:rPr>
        <w:t xml:space="preserve"> </w:t>
      </w:r>
      <w:r w:rsidRPr="00BD241F">
        <w:rPr>
          <w:rFonts w:ascii="Roboto" w:hAnsi="Roboto" w:cs="Helvetica"/>
          <w:color w:val="333333"/>
          <w:szCs w:val="22"/>
          <w:lang w:val="en"/>
        </w:rPr>
        <w:t>of Securities and Insurance (</w:t>
      </w:r>
      <w:r w:rsidRPr="00BD241F">
        <w:rPr>
          <w:rFonts w:ascii="Roboto" w:hAnsi="Roboto" w:cs="Helvetica"/>
          <w:i/>
          <w:color w:val="333333"/>
          <w:szCs w:val="22"/>
          <w:lang w:val="en"/>
        </w:rPr>
        <w:t>Superintendencia de Valores y Seguros de Chile</w:t>
      </w:r>
      <w:r w:rsidRPr="00BD241F">
        <w:rPr>
          <w:rFonts w:ascii="Roboto" w:hAnsi="Roboto" w:cs="Helvetica"/>
          <w:color w:val="333333"/>
          <w:szCs w:val="22"/>
          <w:lang w:val="en"/>
        </w:rPr>
        <w:t xml:space="preserve"> or </w:t>
      </w:r>
      <w:r w:rsidR="00203E75" w:rsidRPr="00203E75">
        <w:rPr>
          <w:rFonts w:ascii="Roboto" w:hAnsi="Roboto" w:cs="Helvetica"/>
          <w:i/>
          <w:color w:val="333333"/>
          <w:szCs w:val="22"/>
          <w:lang w:val="en"/>
        </w:rPr>
        <w:t>“</w:t>
      </w:r>
      <w:r w:rsidRPr="00BD241F">
        <w:rPr>
          <w:rFonts w:ascii="Roboto" w:hAnsi="Roboto" w:cs="Helvetica"/>
          <w:b/>
          <w:color w:val="333333"/>
          <w:szCs w:val="22"/>
          <w:lang w:val="en"/>
        </w:rPr>
        <w:t>SVS</w:t>
      </w:r>
      <w:r w:rsidR="00203E75" w:rsidRPr="00203E75">
        <w:rPr>
          <w:rFonts w:ascii="Roboto" w:hAnsi="Roboto" w:cs="Helvetica"/>
          <w:i/>
          <w:color w:val="333333"/>
          <w:szCs w:val="22"/>
          <w:lang w:val="en"/>
        </w:rPr>
        <w:t>”</w:t>
      </w:r>
      <w:r w:rsidRPr="00BD241F">
        <w:rPr>
          <w:rFonts w:ascii="Roboto" w:hAnsi="Roboto" w:cs="Helvetica"/>
          <w:color w:val="333333"/>
          <w:szCs w:val="22"/>
          <w:lang w:val="en"/>
        </w:rPr>
        <w:t xml:space="preserve">) </w:t>
      </w:r>
      <w:r w:rsidRPr="00BD241F">
        <w:rPr>
          <w:szCs w:val="22"/>
          <w:lang w:val="en-US"/>
        </w:rPr>
        <w:t xml:space="preserve">and </w:t>
      </w:r>
      <w:r w:rsidRPr="00BD241F">
        <w:rPr>
          <w:rFonts w:ascii="Roboto" w:hAnsi="Roboto" w:cs="Helvetica"/>
          <w:color w:val="333333"/>
          <w:szCs w:val="22"/>
          <w:lang w:val="en"/>
        </w:rPr>
        <w:t xml:space="preserve">to inform the SVS and the general public, annually, about the corporate governance, social responsibility and sustainable development practices adopted by them on a </w:t>
      </w:r>
      <w:r w:rsidR="00593F1F">
        <w:rPr>
          <w:rFonts w:ascii="Roboto" w:hAnsi="Roboto" w:cs="Helvetica"/>
          <w:color w:val="333333"/>
          <w:szCs w:val="22"/>
          <w:lang w:val="en"/>
        </w:rPr>
        <w:t>‘</w:t>
      </w:r>
      <w:r w:rsidRPr="00BD241F">
        <w:rPr>
          <w:rFonts w:ascii="Roboto" w:hAnsi="Roboto" w:cs="Helvetica"/>
          <w:color w:val="333333"/>
          <w:szCs w:val="22"/>
          <w:lang w:val="en"/>
        </w:rPr>
        <w:t>comply or explain</w:t>
      </w:r>
      <w:r w:rsidR="00593F1F">
        <w:rPr>
          <w:rFonts w:ascii="Roboto" w:hAnsi="Roboto" w:cs="Helvetica"/>
          <w:color w:val="333333"/>
          <w:szCs w:val="22"/>
          <w:lang w:val="en"/>
        </w:rPr>
        <w:t>’</w:t>
      </w:r>
      <w:r w:rsidRPr="00BD241F">
        <w:rPr>
          <w:rFonts w:ascii="Roboto" w:hAnsi="Roboto" w:cs="Helvetica"/>
          <w:color w:val="333333"/>
          <w:szCs w:val="22"/>
          <w:lang w:val="en"/>
        </w:rPr>
        <w:t xml:space="preserve"> basis.</w:t>
      </w:r>
      <w:bookmarkStart w:id="456" w:name="_Ref22050168"/>
      <w:r w:rsidRPr="00BD241F">
        <w:rPr>
          <w:rStyle w:val="FootnoteReference"/>
          <w:rFonts w:ascii="Roboto" w:hAnsi="Roboto" w:cs="Helvetica"/>
          <w:color w:val="333333"/>
          <w:szCs w:val="22"/>
          <w:lang w:val="en"/>
        </w:rPr>
        <w:footnoteReference w:id="356"/>
      </w:r>
      <w:bookmarkEnd w:id="456"/>
      <w:r w:rsidRPr="00BD241F">
        <w:rPr>
          <w:rFonts w:ascii="Roboto" w:hAnsi="Roboto" w:cs="Helvetica"/>
          <w:color w:val="333333"/>
          <w:szCs w:val="22"/>
          <w:lang w:val="en"/>
        </w:rPr>
        <w:t xml:space="preserve">  In Chile, corporations are managed by a board of directors; the CCA does not envisage a two-tier structure.</w:t>
      </w:r>
    </w:p>
    <w:p w14:paraId="230781C6" w14:textId="77777777" w:rsidR="008F79F3" w:rsidRPr="00BD241F" w:rsidRDefault="008F79F3" w:rsidP="00A90312">
      <w:pPr>
        <w:pStyle w:val="DoublePara"/>
        <w:rPr>
          <w:rFonts w:ascii="Roboto" w:hAnsi="Roboto" w:cs="Helvetica"/>
          <w:color w:val="333333"/>
          <w:szCs w:val="22"/>
          <w:lang w:val="en"/>
        </w:rPr>
      </w:pPr>
      <w:r w:rsidRPr="00BD241F">
        <w:rPr>
          <w:rFonts w:ascii="Roboto" w:hAnsi="Roboto" w:cs="Helvetica"/>
          <w:color w:val="333333"/>
          <w:szCs w:val="22"/>
          <w:lang w:val="en"/>
        </w:rPr>
        <w:t>Under general rules,</w:t>
      </w:r>
      <w:r w:rsidRPr="00BD241F">
        <w:rPr>
          <w:rStyle w:val="FootnoteReference"/>
          <w:rFonts w:ascii="Roboto" w:hAnsi="Roboto" w:cs="Helvetica"/>
          <w:color w:val="333333"/>
          <w:szCs w:val="22"/>
          <w:lang w:val="en"/>
        </w:rPr>
        <w:footnoteReference w:id="357"/>
      </w:r>
      <w:r w:rsidRPr="00BD241F">
        <w:rPr>
          <w:rFonts w:ascii="Roboto" w:hAnsi="Roboto" w:cs="Helvetica"/>
          <w:color w:val="333333"/>
          <w:szCs w:val="22"/>
          <w:lang w:val="en"/>
        </w:rPr>
        <w:t xml:space="preserve"> the prescribed minimum number of directors on the board is three for closed corporations, five for listed corporations and seven in corporations that establish a director</w:t>
      </w:r>
      <w:r w:rsidR="00593F1F">
        <w:rPr>
          <w:rFonts w:ascii="Roboto" w:hAnsi="Roboto" w:cs="Helvetica"/>
          <w:color w:val="333333"/>
          <w:szCs w:val="22"/>
          <w:lang w:val="en"/>
        </w:rPr>
        <w:t>’</w:t>
      </w:r>
      <w:r w:rsidRPr="00BD241F">
        <w:rPr>
          <w:rFonts w:ascii="Roboto" w:hAnsi="Roboto" w:cs="Helvetica"/>
          <w:color w:val="333333"/>
          <w:szCs w:val="22"/>
          <w:lang w:val="en"/>
        </w:rPr>
        <w:t>s committee;</w:t>
      </w:r>
      <w:r w:rsidRPr="00BD241F">
        <w:rPr>
          <w:rStyle w:val="FootnoteReference"/>
          <w:rFonts w:ascii="Roboto" w:hAnsi="Roboto" w:cs="Helvetica"/>
          <w:color w:val="333333"/>
          <w:szCs w:val="22"/>
          <w:lang w:val="en"/>
        </w:rPr>
        <w:footnoteReference w:id="358"/>
      </w:r>
      <w:r w:rsidRPr="00BD241F">
        <w:rPr>
          <w:rFonts w:ascii="Roboto" w:hAnsi="Roboto" w:cs="Helvetica"/>
          <w:color w:val="333333"/>
          <w:szCs w:val="22"/>
          <w:lang w:val="en"/>
        </w:rPr>
        <w:t xml:space="preserve"> there is no maximum number of directors.  </w:t>
      </w:r>
      <w:r w:rsidRPr="00F90097">
        <w:rPr>
          <w:rFonts w:ascii="Roboto" w:hAnsi="Roboto" w:cs="Helvetica"/>
          <w:color w:val="333333"/>
          <w:szCs w:val="22"/>
          <w:lang w:val="en"/>
        </w:rPr>
        <w:t>Directors are appointed and removed by shareholders at a shareholders</w:t>
      </w:r>
      <w:r w:rsidR="00593F1F" w:rsidRPr="00F90097">
        <w:rPr>
          <w:rFonts w:ascii="Roboto" w:hAnsi="Roboto" w:cs="Helvetica"/>
          <w:color w:val="333333"/>
          <w:szCs w:val="22"/>
          <w:lang w:val="en"/>
        </w:rPr>
        <w:t>’</w:t>
      </w:r>
      <w:r w:rsidRPr="00F90097">
        <w:rPr>
          <w:rFonts w:ascii="Roboto" w:hAnsi="Roboto" w:cs="Helvetica"/>
          <w:color w:val="333333"/>
          <w:szCs w:val="22"/>
          <w:lang w:val="en"/>
        </w:rPr>
        <w:t xml:space="preserve"> meeting and can be re-elected.</w:t>
      </w:r>
      <w:r w:rsidRPr="00BD241F">
        <w:rPr>
          <w:szCs w:val="22"/>
          <w:lang w:val="en-US"/>
        </w:rPr>
        <w:t xml:space="preserve"> </w:t>
      </w:r>
      <w:r w:rsidR="00BD241F" w:rsidRPr="00BD241F">
        <w:rPr>
          <w:szCs w:val="22"/>
          <w:lang w:val="en-US"/>
        </w:rPr>
        <w:t xml:space="preserve"> </w:t>
      </w:r>
      <w:r w:rsidR="00BD241F" w:rsidRPr="00F90097">
        <w:rPr>
          <w:rFonts w:ascii="Roboto" w:hAnsi="Roboto" w:cs="Helvetica"/>
          <w:color w:val="333333"/>
          <w:szCs w:val="22"/>
          <w:lang w:val="en"/>
        </w:rPr>
        <w:t>However,</w:t>
      </w:r>
      <w:r w:rsidR="00BD241F" w:rsidRPr="00BD241F">
        <w:rPr>
          <w:szCs w:val="22"/>
          <w:lang w:val="en-US"/>
        </w:rPr>
        <w:t xml:space="preserve"> </w:t>
      </w:r>
      <w:r w:rsidR="00BD241F" w:rsidRPr="00BD241F">
        <w:rPr>
          <w:rFonts w:ascii="Roboto" w:hAnsi="Roboto" w:cs="Helvetica"/>
          <w:color w:val="333333"/>
          <w:szCs w:val="22"/>
          <w:lang w:val="en"/>
        </w:rPr>
        <w:t>shareholders</w:t>
      </w:r>
      <w:r w:rsidRPr="00BD241F">
        <w:rPr>
          <w:rFonts w:ascii="Roboto" w:hAnsi="Roboto" w:cs="Helvetica"/>
          <w:color w:val="333333"/>
          <w:szCs w:val="22"/>
          <w:lang w:val="en"/>
        </w:rPr>
        <w:t xml:space="preserve"> may not remove one or more directors; in order to revoke the board, all members must be removed at once.</w:t>
      </w:r>
    </w:p>
    <w:p w14:paraId="720A5CFF" w14:textId="77777777" w:rsidR="008F79F3" w:rsidRPr="00BD241F" w:rsidRDefault="008F79F3" w:rsidP="00A90312">
      <w:pPr>
        <w:pStyle w:val="DoublePara"/>
        <w:rPr>
          <w:rFonts w:ascii="Roboto" w:hAnsi="Roboto" w:cs="Helvetica"/>
          <w:color w:val="333333"/>
          <w:szCs w:val="22"/>
          <w:lang w:val="en"/>
        </w:rPr>
      </w:pPr>
      <w:r w:rsidRPr="00BD241F">
        <w:rPr>
          <w:rFonts w:ascii="Roboto" w:hAnsi="Roboto" w:cs="Helvetica"/>
          <w:color w:val="333333"/>
          <w:szCs w:val="22"/>
          <w:lang w:val="en"/>
        </w:rPr>
        <w:t>Although there are no legal requirements as to the gender, nationality, age, diversity or expertise of directors of corporations, the SVS has imposed on listed corporations an obligation to disclose, in their annual report, the number of directors by gender, nationality, age range and years as director,</w:t>
      </w:r>
      <w:r w:rsidRPr="00BD241F">
        <w:rPr>
          <w:rStyle w:val="FootnoteReference"/>
          <w:rFonts w:ascii="Roboto" w:hAnsi="Roboto" w:cs="Helvetica"/>
          <w:color w:val="333333"/>
          <w:szCs w:val="22"/>
          <w:lang w:val="en"/>
        </w:rPr>
        <w:footnoteReference w:id="359"/>
      </w:r>
      <w:r w:rsidRPr="00BD241F">
        <w:rPr>
          <w:rFonts w:ascii="Roboto" w:hAnsi="Roboto" w:cs="Helvetica"/>
          <w:color w:val="333333"/>
          <w:szCs w:val="22"/>
          <w:lang w:val="en"/>
        </w:rPr>
        <w:t xml:space="preserve"> and to establish a system to inform shareholders about diversity on the board.</w:t>
      </w:r>
      <w:r w:rsidRPr="00BD241F">
        <w:rPr>
          <w:rStyle w:val="FootnoteReference"/>
          <w:rFonts w:ascii="Roboto" w:hAnsi="Roboto" w:cs="Helvetica"/>
          <w:color w:val="333333"/>
          <w:szCs w:val="22"/>
          <w:lang w:val="en"/>
        </w:rPr>
        <w:footnoteReference w:id="360"/>
      </w:r>
      <w:r w:rsidRPr="00BD241F">
        <w:rPr>
          <w:rFonts w:ascii="Roboto" w:hAnsi="Roboto" w:cs="Helvetica"/>
          <w:color w:val="333333"/>
          <w:szCs w:val="22"/>
          <w:lang w:val="en"/>
        </w:rPr>
        <w:t xml:space="preserve">  Compliance with those obligations is monitored only on a </w:t>
      </w:r>
      <w:r w:rsidR="00593F1F">
        <w:rPr>
          <w:rFonts w:ascii="Roboto" w:hAnsi="Roboto" w:cs="Helvetica"/>
          <w:color w:val="333333"/>
          <w:szCs w:val="22"/>
          <w:lang w:val="en"/>
        </w:rPr>
        <w:t>‘</w:t>
      </w:r>
      <w:r w:rsidRPr="00BD241F">
        <w:rPr>
          <w:rFonts w:ascii="Roboto" w:hAnsi="Roboto" w:cs="Helvetica"/>
          <w:color w:val="333333"/>
          <w:szCs w:val="22"/>
          <w:lang w:val="en"/>
        </w:rPr>
        <w:t>comply or explain</w:t>
      </w:r>
      <w:r w:rsidR="00593F1F">
        <w:rPr>
          <w:rFonts w:ascii="Roboto" w:hAnsi="Roboto" w:cs="Helvetica"/>
          <w:color w:val="333333"/>
          <w:szCs w:val="22"/>
          <w:lang w:val="en"/>
        </w:rPr>
        <w:t>’</w:t>
      </w:r>
      <w:r w:rsidRPr="00BD241F">
        <w:rPr>
          <w:rFonts w:ascii="Roboto" w:hAnsi="Roboto" w:cs="Helvetica"/>
          <w:color w:val="333333"/>
          <w:szCs w:val="22"/>
          <w:lang w:val="en"/>
        </w:rPr>
        <w:t xml:space="preserve"> basis.</w:t>
      </w:r>
    </w:p>
    <w:p w14:paraId="129EA6B3" w14:textId="68F3F25F" w:rsidR="008F79F3" w:rsidRPr="00BD241F" w:rsidRDefault="008F79F3" w:rsidP="00A90312">
      <w:pPr>
        <w:pStyle w:val="DoublePara"/>
        <w:rPr>
          <w:szCs w:val="22"/>
          <w:lang w:val="en-US"/>
        </w:rPr>
      </w:pPr>
      <w:r w:rsidRPr="00BD241F">
        <w:rPr>
          <w:szCs w:val="22"/>
          <w:lang w:val="en-US"/>
        </w:rPr>
        <w:t>However, the Ministry of Women and Gender is see</w:t>
      </w:r>
      <w:r w:rsidR="00BD241F">
        <w:rPr>
          <w:szCs w:val="22"/>
          <w:lang w:val="en-US"/>
        </w:rPr>
        <w:t xml:space="preserve">king to make it compulsory for </w:t>
      </w:r>
      <w:r w:rsidRPr="00BD241F">
        <w:rPr>
          <w:szCs w:val="22"/>
          <w:lang w:val="en-US"/>
        </w:rPr>
        <w:t>state-owned comp</w:t>
      </w:r>
      <w:r w:rsidR="00BD241F">
        <w:rPr>
          <w:szCs w:val="22"/>
          <w:lang w:val="en-US"/>
        </w:rPr>
        <w:t>anies to have at least one woman</w:t>
      </w:r>
      <w:r w:rsidRPr="00BD241F">
        <w:rPr>
          <w:szCs w:val="22"/>
          <w:lang w:val="en-US"/>
        </w:rPr>
        <w:t xml:space="preserve"> on the board and, to that end, two draft laws were proposed to the Chilean congress: (i) in September 2014 regarding a gender quota of 30% on the board of certain companies; and (ii) in January 2015 regarding a 40% gender quota.</w:t>
      </w:r>
      <w:r w:rsidR="009F66A6">
        <w:rPr>
          <w:rStyle w:val="FootnoteReference"/>
          <w:szCs w:val="22"/>
          <w:lang w:val="en-US"/>
        </w:rPr>
        <w:footnoteReference w:id="361"/>
      </w:r>
      <w:r w:rsidR="00057CD2">
        <w:rPr>
          <w:szCs w:val="22"/>
          <w:lang w:val="en-US"/>
        </w:rPr>
        <w:t xml:space="preserve"> </w:t>
      </w:r>
      <w:r w:rsidRPr="00BD241F">
        <w:rPr>
          <w:szCs w:val="22"/>
          <w:lang w:val="en-US"/>
        </w:rPr>
        <w:t>Both these draft laws are still under discussion.</w:t>
      </w:r>
      <w:r w:rsidRPr="00BD241F">
        <w:rPr>
          <w:rStyle w:val="FootnoteReference"/>
          <w:szCs w:val="22"/>
          <w:lang w:val="en-US"/>
        </w:rPr>
        <w:footnoteReference w:id="362"/>
      </w:r>
    </w:p>
    <w:p w14:paraId="6B6DED3A" w14:textId="0B9464E2" w:rsidR="008F79F3" w:rsidRPr="00F44984" w:rsidRDefault="008F79F3" w:rsidP="008F79F3">
      <w:pPr>
        <w:pStyle w:val="LegalCombo4"/>
        <w:rPr>
          <w:b/>
          <w:szCs w:val="22"/>
        </w:rPr>
      </w:pPr>
      <w:r w:rsidRPr="00F44984">
        <w:rPr>
          <w:b/>
          <w:szCs w:val="22"/>
        </w:rPr>
        <w:t>Conclusion and Best Practice Analysis</w:t>
      </w:r>
      <w:r w:rsidR="00F44984">
        <w:rPr>
          <w:b/>
          <w:szCs w:val="22"/>
        </w:rPr>
        <w:t xml:space="preserve">: Chile </w:t>
      </w:r>
    </w:p>
    <w:p w14:paraId="7332BFDB" w14:textId="77777777" w:rsidR="008F79F3" w:rsidRPr="00BD241F" w:rsidRDefault="008F79F3" w:rsidP="00A90312">
      <w:pPr>
        <w:pStyle w:val="DoublePara"/>
        <w:rPr>
          <w:szCs w:val="22"/>
          <w:lang w:val="en-US"/>
        </w:rPr>
      </w:pPr>
      <w:r w:rsidRPr="00BD241F">
        <w:rPr>
          <w:szCs w:val="22"/>
          <w:lang w:val="en-US"/>
        </w:rPr>
        <w:t xml:space="preserve">In the political sphere, </w:t>
      </w:r>
      <w:r w:rsidRPr="00AB493D">
        <w:rPr>
          <w:b/>
          <w:szCs w:val="22"/>
          <w:lang w:val="en-US"/>
        </w:rPr>
        <w:t>a new law was passed in 2015 to reform the national electoral system</w:t>
      </w:r>
      <w:r w:rsidRPr="00BD241F">
        <w:rPr>
          <w:szCs w:val="22"/>
          <w:lang w:val="en-US"/>
        </w:rPr>
        <w:t xml:space="preserve">, which also effectively required that at least 40% of all candidates on the ballot in congressional elections (for both chamber of deputies/lower house and senate/upper house) be women, failing which all the candidates of a </w:t>
      </w:r>
      <w:r w:rsidRPr="00AB493D">
        <w:rPr>
          <w:b/>
          <w:szCs w:val="22"/>
          <w:lang w:val="en-US"/>
        </w:rPr>
        <w:t>non-compliant party will be rejected</w:t>
      </w:r>
      <w:r w:rsidRPr="00BD241F">
        <w:rPr>
          <w:szCs w:val="22"/>
          <w:lang w:val="en-US"/>
        </w:rPr>
        <w:t>.</w:t>
      </w:r>
      <w:r w:rsidRPr="00BD241F">
        <w:rPr>
          <w:rStyle w:val="FootnoteReference"/>
          <w:szCs w:val="22"/>
          <w:lang w:val="en-US"/>
        </w:rPr>
        <w:footnoteReference w:id="363"/>
      </w:r>
      <w:r w:rsidRPr="00BD241F">
        <w:rPr>
          <w:szCs w:val="22"/>
          <w:lang w:val="en-US"/>
        </w:rPr>
        <w:t xml:space="preserve">  This special measure is only temporary, as it applies only to elections between 2017 and 2029, but it is accompanied by financial assistance to female candidates and parties who work to increase female representation.  As a result, following the 2017 elections, women now represent 23% of the chamber of deputies/lower house and the senate/upper house,</w:t>
      </w:r>
      <w:r w:rsidRPr="00BD241F">
        <w:rPr>
          <w:rStyle w:val="FootnoteReference"/>
          <w:szCs w:val="22"/>
          <w:lang w:val="en-US"/>
        </w:rPr>
        <w:footnoteReference w:id="364"/>
      </w:r>
      <w:r w:rsidRPr="00BD241F">
        <w:rPr>
          <w:szCs w:val="22"/>
          <w:lang w:val="en-US"/>
        </w:rPr>
        <w:t xml:space="preserve"> compared to only 16% in the chamber of deputies/lower house immediately before the 2017 elections and 4% in 2006.</w:t>
      </w:r>
      <w:r w:rsidRPr="00BD241F">
        <w:rPr>
          <w:rStyle w:val="FootnoteReference"/>
          <w:szCs w:val="22"/>
          <w:lang w:val="en-US"/>
        </w:rPr>
        <w:footnoteReference w:id="365"/>
      </w:r>
      <w:r w:rsidRPr="00BD241F">
        <w:rPr>
          <w:szCs w:val="22"/>
          <w:lang w:val="en-US"/>
        </w:rPr>
        <w:t xml:space="preserve">  </w:t>
      </w:r>
    </w:p>
    <w:p w14:paraId="7CF72313" w14:textId="423373DE" w:rsidR="008F79F3" w:rsidRPr="00BD241F" w:rsidRDefault="008F79F3" w:rsidP="00A90312">
      <w:pPr>
        <w:pStyle w:val="DoublePara"/>
        <w:rPr>
          <w:szCs w:val="22"/>
          <w:lang w:val="en-US"/>
        </w:rPr>
      </w:pPr>
      <w:r w:rsidRPr="00BD241F">
        <w:rPr>
          <w:szCs w:val="22"/>
          <w:lang w:val="en-US"/>
        </w:rPr>
        <w:t xml:space="preserve">The Chilean Government does not appear to have plans to impose gender quotas in the private sector, but it is carefully </w:t>
      </w:r>
      <w:r w:rsidRPr="00ED6A5D">
        <w:rPr>
          <w:b/>
          <w:szCs w:val="22"/>
          <w:lang w:val="en-US"/>
        </w:rPr>
        <w:t>monitoring the progress of women</w:t>
      </w:r>
      <w:r w:rsidR="00593F1F" w:rsidRPr="00ED6A5D">
        <w:rPr>
          <w:b/>
          <w:szCs w:val="22"/>
          <w:lang w:val="en-US"/>
        </w:rPr>
        <w:t>’</w:t>
      </w:r>
      <w:r w:rsidRPr="00ED6A5D">
        <w:rPr>
          <w:b/>
          <w:szCs w:val="22"/>
          <w:lang w:val="en-US"/>
        </w:rPr>
        <w:t>s representation in Chilean boardrooms</w:t>
      </w:r>
      <w:r w:rsidRPr="00BD241F">
        <w:rPr>
          <w:szCs w:val="22"/>
          <w:lang w:val="en-US"/>
        </w:rPr>
        <w:t>: in 2017, less than 5%</w:t>
      </w:r>
      <w:r w:rsidR="00BD241F">
        <w:rPr>
          <w:szCs w:val="22"/>
          <w:lang w:val="en-US"/>
        </w:rPr>
        <w:t xml:space="preserve"> of Chilean companies had a woma</w:t>
      </w:r>
      <w:r w:rsidRPr="00BD241F">
        <w:rPr>
          <w:szCs w:val="22"/>
          <w:lang w:val="en-US"/>
        </w:rPr>
        <w:t>n on their board of direct</w:t>
      </w:r>
      <w:r w:rsidR="00BD241F">
        <w:rPr>
          <w:szCs w:val="22"/>
          <w:lang w:val="en-US"/>
        </w:rPr>
        <w:t>ors and less than 10% had a woma</w:t>
      </w:r>
      <w:r w:rsidRPr="00BD241F">
        <w:rPr>
          <w:szCs w:val="22"/>
          <w:lang w:val="en-US"/>
        </w:rPr>
        <w:t>n on their executive committee.</w:t>
      </w:r>
      <w:r w:rsidRPr="00BD241F">
        <w:rPr>
          <w:rStyle w:val="FootnoteReference"/>
          <w:szCs w:val="22"/>
          <w:lang w:val="en-US"/>
        </w:rPr>
        <w:footnoteReference w:id="366"/>
      </w:r>
      <w:r w:rsidRPr="00BD241F">
        <w:rPr>
          <w:szCs w:val="22"/>
          <w:lang w:val="en-US"/>
        </w:rPr>
        <w:t xml:space="preserve">  On December 6, 2016, </w:t>
      </w:r>
      <w:r w:rsidR="00EE0562" w:rsidRPr="00BD241F">
        <w:rPr>
          <w:szCs w:val="22"/>
          <w:lang w:val="en-US"/>
        </w:rPr>
        <w:t>then</w:t>
      </w:r>
      <w:r w:rsidR="00EE0562">
        <w:rPr>
          <w:szCs w:val="22"/>
          <w:lang w:val="en-US"/>
        </w:rPr>
        <w:t>-</w:t>
      </w:r>
      <w:r w:rsidRPr="00BD241F">
        <w:rPr>
          <w:szCs w:val="22"/>
          <w:lang w:val="en-US"/>
        </w:rPr>
        <w:t xml:space="preserve">president Michelle Bachelet launched the first </w:t>
      </w:r>
      <w:r w:rsidR="00593F1F">
        <w:rPr>
          <w:szCs w:val="22"/>
          <w:lang w:val="en-US"/>
        </w:rPr>
        <w:t>‘</w:t>
      </w:r>
      <w:r w:rsidRPr="00BD241F">
        <w:rPr>
          <w:szCs w:val="22"/>
          <w:lang w:val="en-US"/>
        </w:rPr>
        <w:t>Gender Parity Initiative</w:t>
      </w:r>
      <w:r w:rsidR="00593F1F">
        <w:rPr>
          <w:szCs w:val="22"/>
          <w:lang w:val="en-US"/>
        </w:rPr>
        <w:t>’</w:t>
      </w:r>
      <w:r w:rsidRPr="00BD241F">
        <w:rPr>
          <w:szCs w:val="22"/>
          <w:lang w:val="en-US"/>
        </w:rPr>
        <w:t xml:space="preserve"> in the world to include concrete actions in both the public and private sectors.  This initiative, which is supported by the Inter-American Development Bank and the World Economic Forum, is aimed at promoting better participation of women in the work place and boosting their access to leadership positions.  Raising awareness as to the benefits of increased female presence in lead roles and implementing a method to measure wage gaps are among the steps being implemented.  Chile is a test case, as it is intended that this model will be replicated in other countries in Latin America and the Caribbean.</w:t>
      </w:r>
      <w:r w:rsidRPr="00BD241F">
        <w:rPr>
          <w:rStyle w:val="FootnoteReference"/>
          <w:szCs w:val="22"/>
          <w:lang w:val="en-US"/>
        </w:rPr>
        <w:footnoteReference w:id="367"/>
      </w:r>
      <w:r w:rsidRPr="00BD241F">
        <w:rPr>
          <w:szCs w:val="22"/>
          <w:lang w:val="en-US"/>
        </w:rPr>
        <w:t xml:space="preserve">  Drawn</w:t>
      </w:r>
      <w:r w:rsidR="00EE0562">
        <w:rPr>
          <w:szCs w:val="22"/>
          <w:lang w:val="en-US"/>
        </w:rPr>
        <w:t xml:space="preserve"> </w:t>
      </w:r>
      <w:r w:rsidRPr="00BD241F">
        <w:rPr>
          <w:szCs w:val="22"/>
          <w:lang w:val="en-US"/>
        </w:rPr>
        <w:t>in by recent research highlighting the economic benefits of gender diversity, approximately 90 of Chile</w:t>
      </w:r>
      <w:r w:rsidR="00593F1F">
        <w:rPr>
          <w:szCs w:val="22"/>
          <w:lang w:val="en-US"/>
        </w:rPr>
        <w:t>’</w:t>
      </w:r>
      <w:r w:rsidRPr="00BD241F">
        <w:rPr>
          <w:szCs w:val="22"/>
          <w:lang w:val="en-US"/>
        </w:rPr>
        <w:t>s largest companies have joined this initiative to analyze gender inequality in the private sector and take action on women</w:t>
      </w:r>
      <w:r w:rsidR="00593F1F">
        <w:rPr>
          <w:szCs w:val="22"/>
          <w:lang w:val="en-US"/>
        </w:rPr>
        <w:t>’</w:t>
      </w:r>
      <w:r w:rsidRPr="00BD241F">
        <w:rPr>
          <w:szCs w:val="22"/>
          <w:lang w:val="en-US"/>
        </w:rPr>
        <w:t>s empowerment with a view to implementing substantial changes within three years.</w:t>
      </w:r>
      <w:r w:rsidRPr="00BD241F">
        <w:rPr>
          <w:rStyle w:val="FootnoteReference"/>
          <w:szCs w:val="22"/>
          <w:lang w:val="en-US"/>
        </w:rPr>
        <w:footnoteReference w:id="368"/>
      </w:r>
    </w:p>
    <w:p w14:paraId="30098D1C" w14:textId="313280EF" w:rsidR="008F79F3" w:rsidRPr="00BD241F" w:rsidRDefault="008F79F3" w:rsidP="00A90312">
      <w:pPr>
        <w:pStyle w:val="DoublePara"/>
        <w:rPr>
          <w:szCs w:val="22"/>
          <w:lang w:val="en-US"/>
        </w:rPr>
      </w:pPr>
      <w:r w:rsidRPr="00BD241F">
        <w:rPr>
          <w:szCs w:val="22"/>
          <w:lang w:val="en-US"/>
        </w:rPr>
        <w:t xml:space="preserve">Other measures taken by the Chilean Government to facilitate the promotion of women includes the requirement that </w:t>
      </w:r>
      <w:r w:rsidRPr="00C326AC">
        <w:rPr>
          <w:b/>
          <w:szCs w:val="22"/>
          <w:lang w:val="en-US"/>
        </w:rPr>
        <w:t xml:space="preserve">companies with more than 20 female employees should pay for day care </w:t>
      </w:r>
      <w:r w:rsidRPr="00BD241F">
        <w:rPr>
          <w:szCs w:val="22"/>
          <w:lang w:val="en-US"/>
        </w:rPr>
        <w:t>until children reach the age of two – although there is a debate as t</w:t>
      </w:r>
      <w:r w:rsidR="00BD241F">
        <w:rPr>
          <w:szCs w:val="22"/>
          <w:lang w:val="en-US"/>
        </w:rPr>
        <w:t xml:space="preserve">o whether this measure is </w:t>
      </w:r>
      <w:r w:rsidRPr="00BD241F">
        <w:rPr>
          <w:szCs w:val="22"/>
          <w:lang w:val="en-US"/>
        </w:rPr>
        <w:t>actually causing big businesses to turn away from hiring women.</w:t>
      </w:r>
      <w:r w:rsidRPr="00BD241F">
        <w:rPr>
          <w:rStyle w:val="FootnoteReference"/>
          <w:szCs w:val="22"/>
          <w:lang w:val="en-US"/>
        </w:rPr>
        <w:footnoteReference w:id="369"/>
      </w:r>
      <w:r w:rsidRPr="00BD241F">
        <w:rPr>
          <w:szCs w:val="22"/>
          <w:lang w:val="en-US"/>
        </w:rPr>
        <w:t xml:space="preserve">  More recently, in response to the </w:t>
      </w:r>
      <w:r w:rsidR="00BD241F">
        <w:rPr>
          <w:szCs w:val="22"/>
          <w:lang w:val="en-US"/>
        </w:rPr>
        <w:t>complaint that there were not en</w:t>
      </w:r>
      <w:r w:rsidRPr="00BD241F">
        <w:rPr>
          <w:szCs w:val="22"/>
          <w:lang w:val="en-US"/>
        </w:rPr>
        <w:t>ough suitable women to serve on private sector boards, the Chilean Government published a list of 136 female</w:t>
      </w:r>
      <w:r w:rsidR="00EE0562">
        <w:rPr>
          <w:szCs w:val="22"/>
          <w:lang w:val="en-US"/>
        </w:rPr>
        <w:t>s</w:t>
      </w:r>
      <w:r w:rsidRPr="00BD241F">
        <w:rPr>
          <w:szCs w:val="22"/>
          <w:lang w:val="en-US"/>
        </w:rPr>
        <w:t>.</w:t>
      </w:r>
      <w:r w:rsidRPr="00BD241F">
        <w:rPr>
          <w:rStyle w:val="FootnoteReference"/>
          <w:szCs w:val="22"/>
          <w:lang w:val="en-US"/>
        </w:rPr>
        <w:footnoteReference w:id="370"/>
      </w:r>
      <w:r w:rsidRPr="00BD241F">
        <w:rPr>
          <w:szCs w:val="22"/>
          <w:lang w:val="en-US"/>
        </w:rPr>
        <w:t xml:space="preserve">  </w:t>
      </w:r>
      <w:r w:rsidR="0043468C">
        <w:rPr>
          <w:szCs w:val="22"/>
          <w:lang w:val="en-US"/>
        </w:rPr>
        <w:t>Two of the women appearing on the government list were subsequently elected to boards.</w:t>
      </w:r>
      <w:r w:rsidR="0043468C">
        <w:rPr>
          <w:rStyle w:val="FootnoteReference"/>
          <w:szCs w:val="22"/>
          <w:lang w:val="en-US"/>
        </w:rPr>
        <w:footnoteReference w:id="371"/>
      </w:r>
      <w:r w:rsidR="0043468C">
        <w:rPr>
          <w:szCs w:val="22"/>
          <w:lang w:val="en-US"/>
        </w:rPr>
        <w:t xml:space="preserve"> </w:t>
      </w:r>
    </w:p>
    <w:p w14:paraId="797732BA" w14:textId="77777777" w:rsidR="00B10BB8" w:rsidRPr="002E5273" w:rsidRDefault="00B10BB8" w:rsidP="00623C41">
      <w:pPr>
        <w:pStyle w:val="LegalCombo3"/>
        <w:rPr>
          <w:b w:val="0"/>
        </w:rPr>
      </w:pPr>
      <w:bookmarkStart w:id="457" w:name="_Toc22905009"/>
      <w:bookmarkStart w:id="458" w:name="_Toc24114408"/>
      <w:r w:rsidRPr="002E5273">
        <w:t>Jamaica</w:t>
      </w:r>
      <w:bookmarkEnd w:id="452"/>
      <w:bookmarkEnd w:id="453"/>
      <w:bookmarkEnd w:id="454"/>
      <w:bookmarkEnd w:id="455"/>
      <w:bookmarkEnd w:id="457"/>
      <w:bookmarkEnd w:id="458"/>
    </w:p>
    <w:p w14:paraId="6CE1F551" w14:textId="77777777" w:rsidR="00B10BB8" w:rsidRPr="00CB2C31" w:rsidRDefault="00B10BB8" w:rsidP="00623C41">
      <w:pPr>
        <w:pStyle w:val="LegalCombo4"/>
        <w:keepNext/>
      </w:pPr>
      <w:bookmarkStart w:id="459" w:name="_Toc15027275"/>
      <w:bookmarkStart w:id="460" w:name="_Toc15027666"/>
      <w:bookmarkStart w:id="461" w:name="_Toc15027944"/>
      <w:r w:rsidRPr="00CB2C31">
        <w:t xml:space="preserve">Introduction </w:t>
      </w:r>
      <w:bookmarkEnd w:id="459"/>
      <w:bookmarkEnd w:id="460"/>
      <w:bookmarkEnd w:id="461"/>
    </w:p>
    <w:p w14:paraId="338D060F" w14:textId="77777777" w:rsidR="00B10BB8" w:rsidRPr="00CB2C31" w:rsidRDefault="00194C76" w:rsidP="00623C41">
      <w:pPr>
        <w:pStyle w:val="DoublePara"/>
        <w:rPr>
          <w:lang w:val="en-US"/>
        </w:rPr>
      </w:pPr>
      <w:r w:rsidRPr="00CB2C31">
        <w:rPr>
          <w:lang w:val="en-US"/>
        </w:rPr>
        <w:t xml:space="preserve">Jamaica has primarily addressed gender balance through a </w:t>
      </w:r>
      <w:r w:rsidR="00593F1F">
        <w:rPr>
          <w:lang w:val="en-US"/>
        </w:rPr>
        <w:t>‘</w:t>
      </w:r>
      <w:r w:rsidRPr="00CB2C31">
        <w:rPr>
          <w:lang w:val="en-US"/>
        </w:rPr>
        <w:t>comply and explain</w:t>
      </w:r>
      <w:r w:rsidR="00593F1F">
        <w:rPr>
          <w:lang w:val="en-US"/>
        </w:rPr>
        <w:t>’</w:t>
      </w:r>
      <w:r w:rsidRPr="00CB2C31">
        <w:rPr>
          <w:lang w:val="en-US"/>
        </w:rPr>
        <w:t xml:space="preserve"> regime, backed by initiatives from NGOs and the private sector to train women for </w:t>
      </w:r>
      <w:r w:rsidR="00816066" w:rsidRPr="00CB2C31">
        <w:rPr>
          <w:lang w:val="en-US"/>
        </w:rPr>
        <w:t xml:space="preserve">corporate </w:t>
      </w:r>
      <w:r w:rsidRPr="00CB2C31">
        <w:rPr>
          <w:lang w:val="en-US"/>
        </w:rPr>
        <w:t>board service.</w:t>
      </w:r>
    </w:p>
    <w:p w14:paraId="442E3B00" w14:textId="77777777" w:rsidR="00B10BB8" w:rsidRPr="00CB2C31" w:rsidRDefault="00B328FD" w:rsidP="00623C41">
      <w:pPr>
        <w:pStyle w:val="LegalCombo4"/>
      </w:pPr>
      <w:bookmarkStart w:id="462" w:name="_Toc9264283"/>
      <w:bookmarkStart w:id="463" w:name="_Toc9325700"/>
      <w:bookmarkEnd w:id="462"/>
      <w:bookmarkEnd w:id="463"/>
      <w:r w:rsidRPr="00CB2C31">
        <w:t>Corporate Governance</w:t>
      </w:r>
    </w:p>
    <w:p w14:paraId="3C9A48C4" w14:textId="297101EA" w:rsidR="004A1D68" w:rsidRPr="00CB2C31" w:rsidRDefault="004A1D68" w:rsidP="00623C41">
      <w:pPr>
        <w:pStyle w:val="DoublePara"/>
        <w:rPr>
          <w:lang w:val="en-US"/>
        </w:rPr>
      </w:pPr>
      <w:r w:rsidRPr="00CB2C31">
        <w:rPr>
          <w:lang w:val="en-US"/>
        </w:rPr>
        <w:t xml:space="preserve">Legislation and corporate governance rules </w:t>
      </w:r>
      <w:r w:rsidR="00194C76" w:rsidRPr="00CB2C31">
        <w:rPr>
          <w:lang w:val="en-US"/>
        </w:rPr>
        <w:t>a</w:t>
      </w:r>
      <w:r w:rsidRPr="00CB2C31">
        <w:rPr>
          <w:lang w:val="en-US"/>
        </w:rPr>
        <w:t xml:space="preserve">re enshrined </w:t>
      </w:r>
      <w:r w:rsidR="00194C76" w:rsidRPr="00CB2C31">
        <w:rPr>
          <w:lang w:val="en-US"/>
        </w:rPr>
        <w:t>in Jamaica</w:t>
      </w:r>
      <w:r w:rsidR="00593F1F">
        <w:rPr>
          <w:lang w:val="en-US"/>
        </w:rPr>
        <w:t>’</w:t>
      </w:r>
      <w:r w:rsidR="00194C76" w:rsidRPr="00CB2C31">
        <w:rPr>
          <w:lang w:val="en-US"/>
        </w:rPr>
        <w:t>s Companies Act 2004</w:t>
      </w:r>
      <w:r w:rsidRPr="00CB2C31">
        <w:rPr>
          <w:lang w:val="en-US"/>
        </w:rPr>
        <w:t>, the Employment (Equal Pay for Men and Women) Act 1975 and the Private Sector Organization of Jamaica</w:t>
      </w:r>
      <w:r w:rsidR="00593F1F">
        <w:rPr>
          <w:lang w:val="en-US"/>
        </w:rPr>
        <w:t>’</w:t>
      </w:r>
      <w:r w:rsidRPr="00CB2C31">
        <w:rPr>
          <w:lang w:val="en-US"/>
        </w:rPr>
        <w:t xml:space="preserve">s Corporate Governance Code (the </w:t>
      </w:r>
      <w:r w:rsidR="00203E75" w:rsidRPr="00203E75">
        <w:rPr>
          <w:i/>
          <w:lang w:val="en-US"/>
        </w:rPr>
        <w:t>“</w:t>
      </w:r>
      <w:r w:rsidRPr="00CB2C31">
        <w:rPr>
          <w:b/>
          <w:lang w:val="en-US"/>
        </w:rPr>
        <w:t>Code</w:t>
      </w:r>
      <w:r w:rsidR="00203E75" w:rsidRPr="00203E75">
        <w:rPr>
          <w:i/>
          <w:lang w:val="en-US"/>
        </w:rPr>
        <w:t>”</w:t>
      </w:r>
      <w:r w:rsidRPr="00CB2C31">
        <w:rPr>
          <w:lang w:val="en-US"/>
        </w:rPr>
        <w:t xml:space="preserve">) and its Corporate Governance Code for Micro, Small or Medium-Sized Enterprises (the </w:t>
      </w:r>
      <w:r w:rsidR="00203E75" w:rsidRPr="00203E75">
        <w:rPr>
          <w:i/>
          <w:lang w:val="en-US"/>
        </w:rPr>
        <w:t>“</w:t>
      </w:r>
      <w:r w:rsidRPr="00CB2C31">
        <w:rPr>
          <w:b/>
          <w:lang w:val="en-US"/>
        </w:rPr>
        <w:t>MSME Code</w:t>
      </w:r>
      <w:r w:rsidR="00203E75" w:rsidRPr="00203E75">
        <w:rPr>
          <w:i/>
          <w:lang w:val="en-US"/>
        </w:rPr>
        <w:t>”</w:t>
      </w:r>
      <w:r w:rsidRPr="00CB2C31">
        <w:rPr>
          <w:lang w:val="en-US"/>
        </w:rPr>
        <w:t>).</w:t>
      </w:r>
      <w:r w:rsidRPr="00CB2C31">
        <w:rPr>
          <w:rStyle w:val="FootnoteReference"/>
          <w:lang w:val="en-US"/>
        </w:rPr>
        <w:footnoteReference w:id="372"/>
      </w:r>
      <w:r w:rsidR="00932C37">
        <w:rPr>
          <w:lang w:val="en-US"/>
        </w:rPr>
        <w:t xml:space="preserve"> </w:t>
      </w:r>
      <w:r w:rsidRPr="00CB2C31">
        <w:rPr>
          <w:lang w:val="en-US"/>
        </w:rPr>
        <w:t xml:space="preserve"> The provisions of the Code are not mandatory, relying instead on a </w:t>
      </w:r>
      <w:r w:rsidR="00593F1F">
        <w:rPr>
          <w:lang w:val="en-US"/>
        </w:rPr>
        <w:t>‘</w:t>
      </w:r>
      <w:r w:rsidRPr="00CB2C31">
        <w:rPr>
          <w:lang w:val="en-US"/>
        </w:rPr>
        <w:t>comply or explain</w:t>
      </w:r>
      <w:r w:rsidR="00593F1F">
        <w:rPr>
          <w:lang w:val="en-US"/>
        </w:rPr>
        <w:t>’</w:t>
      </w:r>
      <w:r w:rsidRPr="00CB2C31">
        <w:rPr>
          <w:lang w:val="en-US"/>
        </w:rPr>
        <w:t xml:space="preserve"> principle, and are described as </w:t>
      </w:r>
      <w:r w:rsidR="00203E75" w:rsidRPr="00203E75">
        <w:rPr>
          <w:i/>
          <w:lang w:val="en-US"/>
        </w:rPr>
        <w:t>“</w:t>
      </w:r>
      <w:r w:rsidRPr="00CB2C31">
        <w:rPr>
          <w:lang w:val="en-US"/>
        </w:rPr>
        <w:t xml:space="preserve">practical guidelines for business leaders to enhance corporate governance practices within their </w:t>
      </w:r>
      <w:r w:rsidR="001877C9" w:rsidRPr="00CB2C31">
        <w:rPr>
          <w:lang w:val="en-US"/>
        </w:rPr>
        <w:t>entities</w:t>
      </w:r>
      <w:r w:rsidR="007276F8">
        <w:rPr>
          <w:lang w:val="en-US"/>
        </w:rPr>
        <w:t>.</w:t>
      </w:r>
      <w:r w:rsidR="00203E75" w:rsidRPr="00203E75">
        <w:rPr>
          <w:i/>
          <w:lang w:val="en-US"/>
        </w:rPr>
        <w:t>”</w:t>
      </w:r>
      <w:r w:rsidR="001877C9" w:rsidRPr="00CB2C31">
        <w:rPr>
          <w:lang w:val="en-US"/>
        </w:rPr>
        <w:t xml:space="preserve">  </w:t>
      </w:r>
      <w:r w:rsidRPr="00CB2C31">
        <w:rPr>
          <w:lang w:val="en-US"/>
        </w:rPr>
        <w:t>The foreword to the Code states that its provisions are aimed particularl</w:t>
      </w:r>
      <w:r w:rsidR="003D7D92" w:rsidRPr="00CB2C31">
        <w:rPr>
          <w:lang w:val="en-US"/>
        </w:rPr>
        <w:t>y at companies listed on the Jamaican Stock Exchange (</w:t>
      </w:r>
      <w:r w:rsidR="00203E75" w:rsidRPr="00203E75">
        <w:rPr>
          <w:i/>
          <w:lang w:val="en-US"/>
        </w:rPr>
        <w:t>“</w:t>
      </w:r>
      <w:r w:rsidR="003D7D92" w:rsidRPr="00CB2C31">
        <w:rPr>
          <w:b/>
          <w:lang w:val="en-US"/>
        </w:rPr>
        <w:t>JSE</w:t>
      </w:r>
      <w:r w:rsidR="00203E75" w:rsidRPr="00203E75">
        <w:rPr>
          <w:i/>
          <w:lang w:val="en-US"/>
        </w:rPr>
        <w:t>”</w:t>
      </w:r>
      <w:r w:rsidR="003D7D92" w:rsidRPr="00CB2C31">
        <w:rPr>
          <w:lang w:val="en-US"/>
        </w:rPr>
        <w:t>)</w:t>
      </w:r>
      <w:r w:rsidRPr="00CB2C31">
        <w:rPr>
          <w:lang w:val="en-US"/>
        </w:rPr>
        <w:t>, but includes a note that unlisted companies may also find the Code a useful tool to improve their corporate gove</w:t>
      </w:r>
      <w:r w:rsidR="00816066" w:rsidRPr="00CB2C31">
        <w:rPr>
          <w:lang w:val="en-US"/>
        </w:rPr>
        <w:t>rnance practices.  T</w:t>
      </w:r>
      <w:r w:rsidRPr="00CB2C31">
        <w:rPr>
          <w:lang w:val="en-US"/>
        </w:rPr>
        <w:t xml:space="preserve">he provisions of the MSME Code are </w:t>
      </w:r>
      <w:r w:rsidR="00816066" w:rsidRPr="00CB2C31">
        <w:rPr>
          <w:lang w:val="en-US"/>
        </w:rPr>
        <w:t xml:space="preserve">also </w:t>
      </w:r>
      <w:r w:rsidRPr="00CB2C31">
        <w:rPr>
          <w:lang w:val="en-US"/>
        </w:rPr>
        <w:t xml:space="preserve">not mandatory, though there is no </w:t>
      </w:r>
      <w:r w:rsidR="00593F1F">
        <w:rPr>
          <w:lang w:val="en-US"/>
        </w:rPr>
        <w:t>‘</w:t>
      </w:r>
      <w:r w:rsidRPr="00CB2C31">
        <w:rPr>
          <w:lang w:val="en-US"/>
        </w:rPr>
        <w:t>comply or explain</w:t>
      </w:r>
      <w:r w:rsidR="00593F1F">
        <w:rPr>
          <w:lang w:val="en-US"/>
        </w:rPr>
        <w:t>’</w:t>
      </w:r>
      <w:r w:rsidRPr="00CB2C31">
        <w:rPr>
          <w:lang w:val="en-US"/>
        </w:rPr>
        <w:t xml:space="preserve"> requirement for relevant micro, small and medium-sized enterprises.</w:t>
      </w:r>
    </w:p>
    <w:p w14:paraId="05E651E9" w14:textId="77777777" w:rsidR="00B10BB8" w:rsidRPr="00CB2C31" w:rsidRDefault="00B10BB8" w:rsidP="00623C41">
      <w:pPr>
        <w:pStyle w:val="DoublePara"/>
        <w:rPr>
          <w:lang w:val="en-US"/>
        </w:rPr>
      </w:pPr>
      <w:r w:rsidRPr="00CB2C31">
        <w:rPr>
          <w:lang w:val="en-US"/>
        </w:rPr>
        <w:t>Jamaica</w:t>
      </w:r>
      <w:r w:rsidR="00593F1F">
        <w:rPr>
          <w:lang w:val="en-US"/>
        </w:rPr>
        <w:t>’</w:t>
      </w:r>
      <w:r w:rsidRPr="00CB2C31">
        <w:rPr>
          <w:lang w:val="en-US"/>
        </w:rPr>
        <w:t xml:space="preserve">s Companies Act 2004 </w:t>
      </w:r>
      <w:r w:rsidRPr="00CB2C31">
        <w:rPr>
          <w:lang w:val="en-US" w:eastAsia="en-GB"/>
        </w:rPr>
        <w:t>prescribes</w:t>
      </w:r>
      <w:r w:rsidRPr="00CB2C31">
        <w:rPr>
          <w:lang w:val="en-US"/>
        </w:rPr>
        <w:t xml:space="preserve"> a statutory minimum of at least one director for a private company board, and three directors for the board of a public company (at least two of whom must not be employees of the public company or its affiliates).</w:t>
      </w:r>
      <w:r w:rsidRPr="00CB2C31">
        <w:rPr>
          <w:rStyle w:val="FootnoteReference"/>
          <w:lang w:val="en-US"/>
        </w:rPr>
        <w:footnoteReference w:id="373"/>
      </w:r>
      <w:r w:rsidRPr="00CB2C31">
        <w:rPr>
          <w:lang w:val="en-US"/>
        </w:rPr>
        <w:t xml:space="preserve"> </w:t>
      </w:r>
    </w:p>
    <w:p w14:paraId="6FE10ECA" w14:textId="77777777" w:rsidR="00194C76" w:rsidRPr="00CB2C31" w:rsidRDefault="00B10BB8" w:rsidP="00623C41">
      <w:pPr>
        <w:pStyle w:val="DoublePara"/>
        <w:rPr>
          <w:lang w:val="en-US"/>
        </w:rPr>
      </w:pPr>
      <w:r w:rsidRPr="00CB2C31">
        <w:rPr>
          <w:lang w:val="en-US"/>
        </w:rPr>
        <w:t>For Jamaican listed companies, the Code recommends that a nomination committee, made up predominantly of independent non-executive directors, should lead the process for board appointments and make recommendations to the board.</w:t>
      </w:r>
      <w:r w:rsidRPr="00CB2C31">
        <w:rPr>
          <w:rStyle w:val="FootnoteReference"/>
          <w:lang w:val="en-US"/>
        </w:rPr>
        <w:footnoteReference w:id="374"/>
      </w:r>
      <w:r w:rsidRPr="00CB2C31">
        <w:rPr>
          <w:lang w:val="en-US"/>
        </w:rPr>
        <w:t xml:space="preserve"> </w:t>
      </w:r>
      <w:r w:rsidR="00932C37">
        <w:rPr>
          <w:lang w:val="en-US"/>
        </w:rPr>
        <w:t xml:space="preserve"> </w:t>
      </w:r>
      <w:r w:rsidRPr="00CB2C31">
        <w:rPr>
          <w:lang w:val="en-US"/>
        </w:rPr>
        <w:t>The Code provides that this process should be transparent.</w:t>
      </w:r>
      <w:r w:rsidRPr="00CB2C31">
        <w:rPr>
          <w:rStyle w:val="FootnoteReference"/>
          <w:lang w:val="en-US"/>
        </w:rPr>
        <w:footnoteReference w:id="375"/>
      </w:r>
      <w:r w:rsidR="00932C37">
        <w:rPr>
          <w:lang w:val="en-US"/>
        </w:rPr>
        <w:t xml:space="preserve"> </w:t>
      </w:r>
      <w:r w:rsidRPr="00CB2C31">
        <w:rPr>
          <w:lang w:val="en-US"/>
        </w:rPr>
        <w:t xml:space="preserve"> There are no restrictions under the Companies Act 2004 on the term of appointment of directors. </w:t>
      </w:r>
    </w:p>
    <w:p w14:paraId="28014F99" w14:textId="101F16C0" w:rsidR="00194C76" w:rsidRPr="00CB2C31" w:rsidRDefault="00194C76" w:rsidP="00623C41">
      <w:pPr>
        <w:pStyle w:val="DoublePara"/>
        <w:rPr>
          <w:lang w:val="en-US"/>
        </w:rPr>
      </w:pPr>
      <w:r w:rsidRPr="00CB2C31">
        <w:rPr>
          <w:lang w:val="en-US"/>
        </w:rPr>
        <w:t xml:space="preserve">With respect to gender </w:t>
      </w:r>
      <w:r w:rsidRPr="00CB2C31">
        <w:rPr>
          <w:lang w:val="en-US" w:eastAsia="en-GB"/>
        </w:rPr>
        <w:t>representation</w:t>
      </w:r>
      <w:r w:rsidRPr="00CB2C31">
        <w:rPr>
          <w:lang w:val="en-US"/>
        </w:rPr>
        <w:t xml:space="preserve"> on company boards, Jamaica has not imposed any mandatory gender quotas</w:t>
      </w:r>
      <w:r w:rsidR="00F111D2" w:rsidRPr="00CB2C31">
        <w:rPr>
          <w:lang w:val="en-US"/>
        </w:rPr>
        <w:t xml:space="preserve">.  </w:t>
      </w:r>
      <w:r w:rsidRPr="00CB2C31">
        <w:rPr>
          <w:lang w:val="en-US"/>
        </w:rPr>
        <w:t>However, the Code requires listed Jamaican companies to state in their annual reports that they have complied with its rules</w:t>
      </w:r>
      <w:r w:rsidR="00471FCE">
        <w:rPr>
          <w:lang w:val="en-US"/>
        </w:rPr>
        <w:t xml:space="preserve"> and</w:t>
      </w:r>
      <w:r w:rsidRPr="00CB2C31">
        <w:rPr>
          <w:lang w:val="en-US"/>
        </w:rPr>
        <w:t xml:space="preserve"> explain any deviations therefrom.</w:t>
      </w:r>
      <w:r w:rsidRPr="00CB2C31">
        <w:rPr>
          <w:rStyle w:val="FootnoteReference"/>
          <w:lang w:val="en-US"/>
        </w:rPr>
        <w:footnoteReference w:id="376"/>
      </w:r>
      <w:r w:rsidRPr="00CB2C31">
        <w:rPr>
          <w:lang w:val="en-US"/>
        </w:rPr>
        <w:t xml:space="preserve"> </w:t>
      </w:r>
      <w:r w:rsidR="00932C37">
        <w:rPr>
          <w:lang w:val="en-US"/>
        </w:rPr>
        <w:t xml:space="preserve"> </w:t>
      </w:r>
      <w:r w:rsidRPr="00CB2C31">
        <w:rPr>
          <w:lang w:val="en-US"/>
        </w:rPr>
        <w:t>Within the Code</w:t>
      </w:r>
      <w:r w:rsidR="00593F1F">
        <w:rPr>
          <w:lang w:val="en-US"/>
        </w:rPr>
        <w:t>’</w:t>
      </w:r>
      <w:r w:rsidRPr="00CB2C31">
        <w:rPr>
          <w:lang w:val="en-US"/>
        </w:rPr>
        <w:t xml:space="preserve">s provisions is a requirement that companies consider diversity when constructing boards, with diversity defined in relation to </w:t>
      </w:r>
      <w:r w:rsidR="00203E75" w:rsidRPr="00203E75">
        <w:rPr>
          <w:i/>
          <w:lang w:val="en-US"/>
        </w:rPr>
        <w:t>“</w:t>
      </w:r>
      <w:r w:rsidRPr="00CB2C31">
        <w:rPr>
          <w:i/>
          <w:lang w:val="en-US"/>
        </w:rPr>
        <w:t>academic qualifications, technical expertise, relevant industry knowledge and gender</w:t>
      </w:r>
      <w:r w:rsidR="007276F8">
        <w:rPr>
          <w:lang w:val="en-US"/>
        </w:rPr>
        <w:t>.</w:t>
      </w:r>
      <w:r w:rsidR="00203E75" w:rsidRPr="00203E75">
        <w:rPr>
          <w:i/>
          <w:lang w:val="en-US"/>
        </w:rPr>
        <w:t>”</w:t>
      </w:r>
      <w:r w:rsidRPr="00CB2C31">
        <w:rPr>
          <w:rStyle w:val="FootnoteReference"/>
          <w:lang w:val="en-US"/>
        </w:rPr>
        <w:footnoteReference w:id="377"/>
      </w:r>
      <w:r w:rsidRPr="00CB2C31">
        <w:rPr>
          <w:lang w:val="en-US"/>
        </w:rPr>
        <w:t xml:space="preserve"> </w:t>
      </w:r>
      <w:r w:rsidR="00932C37">
        <w:rPr>
          <w:lang w:val="en-US"/>
        </w:rPr>
        <w:t xml:space="preserve"> </w:t>
      </w:r>
      <w:r w:rsidRPr="00CB2C31">
        <w:rPr>
          <w:lang w:val="en-US"/>
        </w:rPr>
        <w:t xml:space="preserve">Similarly, the Code contains a principle that board appointments should be based </w:t>
      </w:r>
      <w:r w:rsidR="00203E75" w:rsidRPr="00203E75">
        <w:rPr>
          <w:i/>
          <w:lang w:val="en-US"/>
        </w:rPr>
        <w:t>“</w:t>
      </w:r>
      <w:r w:rsidRPr="00CB2C31">
        <w:rPr>
          <w:i/>
          <w:lang w:val="en-US"/>
        </w:rPr>
        <w:t>on merit and against objective criteria . . . with due regard for the benefits of diversity on the board (including gender)</w:t>
      </w:r>
      <w:r w:rsidR="007276F8">
        <w:rPr>
          <w:lang w:val="en-US"/>
        </w:rPr>
        <w:t>.</w:t>
      </w:r>
      <w:r w:rsidR="00203E75" w:rsidRPr="00203E75">
        <w:rPr>
          <w:i/>
          <w:lang w:val="en-US"/>
        </w:rPr>
        <w:t>”</w:t>
      </w:r>
      <w:r w:rsidRPr="00CB2C31">
        <w:rPr>
          <w:rStyle w:val="FootnoteReference"/>
          <w:lang w:val="en-US"/>
        </w:rPr>
        <w:footnoteReference w:id="378"/>
      </w:r>
    </w:p>
    <w:p w14:paraId="55576FEE" w14:textId="77777777" w:rsidR="00B10BB8" w:rsidRPr="00C326AC" w:rsidRDefault="00B10BB8" w:rsidP="00623C41">
      <w:pPr>
        <w:pStyle w:val="LegalCombo4"/>
        <w:keepNext/>
        <w:rPr>
          <w:b/>
        </w:rPr>
      </w:pPr>
      <w:bookmarkStart w:id="464" w:name="_Toc15027278"/>
      <w:bookmarkStart w:id="465" w:name="_Toc15027669"/>
      <w:bookmarkStart w:id="466" w:name="_Toc15027947"/>
      <w:r w:rsidRPr="00C326AC">
        <w:rPr>
          <w:b/>
        </w:rPr>
        <w:t>Conclusion and Best Practice Analysis</w:t>
      </w:r>
      <w:bookmarkEnd w:id="464"/>
      <w:bookmarkEnd w:id="465"/>
      <w:bookmarkEnd w:id="466"/>
      <w:r w:rsidR="007A4AC7" w:rsidRPr="00C326AC">
        <w:rPr>
          <w:b/>
        </w:rPr>
        <w:t>:</w:t>
      </w:r>
      <w:r w:rsidR="00593F1F" w:rsidRPr="00C326AC">
        <w:rPr>
          <w:b/>
        </w:rPr>
        <w:t xml:space="preserve"> </w:t>
      </w:r>
      <w:r w:rsidR="007A4AC7" w:rsidRPr="00C326AC">
        <w:rPr>
          <w:b/>
        </w:rPr>
        <w:t>Jamaica</w:t>
      </w:r>
    </w:p>
    <w:p w14:paraId="166DE504" w14:textId="77777777" w:rsidR="00B10BB8" w:rsidRPr="00CB2C31" w:rsidRDefault="00B10BB8" w:rsidP="00623C41">
      <w:pPr>
        <w:pStyle w:val="DoublePara"/>
        <w:rPr>
          <w:lang w:val="en-US"/>
        </w:rPr>
      </w:pPr>
      <w:r w:rsidRPr="00CB2C31">
        <w:rPr>
          <w:lang w:val="en-US"/>
        </w:rPr>
        <w:t>Jamaica presents a split picture in terms of women in corporate leadership positions</w:t>
      </w:r>
      <w:r w:rsidR="00F111D2" w:rsidRPr="00CB2C31">
        <w:rPr>
          <w:lang w:val="en-US"/>
        </w:rPr>
        <w:t xml:space="preserve">.  </w:t>
      </w:r>
      <w:r w:rsidR="00194C76" w:rsidRPr="00CB2C31">
        <w:rPr>
          <w:lang w:val="en-US"/>
        </w:rPr>
        <w:t>While Jamaica has the largest proportion of fe</w:t>
      </w:r>
      <w:r w:rsidR="00941BA5" w:rsidRPr="00CB2C31">
        <w:rPr>
          <w:lang w:val="en-US"/>
        </w:rPr>
        <w:t>male managers in the world (59% in 2017</w:t>
      </w:r>
      <w:r w:rsidR="00194C76" w:rsidRPr="00CB2C31">
        <w:rPr>
          <w:lang w:val="en-US"/>
        </w:rPr>
        <w:t>),</w:t>
      </w:r>
      <w:r w:rsidR="00194C76" w:rsidRPr="00CB2C31">
        <w:rPr>
          <w:rStyle w:val="FootnoteReference"/>
          <w:lang w:val="en-US"/>
        </w:rPr>
        <w:footnoteReference w:id="379"/>
      </w:r>
      <w:r w:rsidR="00194C76" w:rsidRPr="00CB2C31">
        <w:rPr>
          <w:lang w:val="en-US"/>
        </w:rPr>
        <w:t xml:space="preserve"> women comprised only 17.4% of Jamaica</w:t>
      </w:r>
      <w:r w:rsidR="00593F1F">
        <w:rPr>
          <w:lang w:val="en-US"/>
        </w:rPr>
        <w:t>’</w:t>
      </w:r>
      <w:r w:rsidR="00194C76" w:rsidRPr="00CB2C31">
        <w:rPr>
          <w:lang w:val="en-US"/>
        </w:rPr>
        <w:t xml:space="preserve">s 53 listed company boards in 2012, with ten of the 53 companies listed on the </w:t>
      </w:r>
      <w:r w:rsidR="003D7D92" w:rsidRPr="00CB2C31">
        <w:rPr>
          <w:lang w:val="en-US"/>
        </w:rPr>
        <w:t>JSE</w:t>
      </w:r>
      <w:r w:rsidR="00194C76" w:rsidRPr="00CB2C31">
        <w:rPr>
          <w:lang w:val="en-US"/>
        </w:rPr>
        <w:t xml:space="preserve"> having no women on their boards at all.</w:t>
      </w:r>
      <w:r w:rsidR="00194C76" w:rsidRPr="00CB2C31">
        <w:rPr>
          <w:rStyle w:val="FootnoteReference"/>
          <w:lang w:val="en-US"/>
        </w:rPr>
        <w:footnoteReference w:id="380"/>
      </w:r>
      <w:r w:rsidR="00194C76" w:rsidRPr="00CB2C31">
        <w:rPr>
          <w:lang w:val="en-US"/>
        </w:rPr>
        <w:t xml:space="preserve"> </w:t>
      </w:r>
      <w:r w:rsidRPr="00CB2C31">
        <w:rPr>
          <w:lang w:val="en-US"/>
        </w:rPr>
        <w:t xml:space="preserve"> The statistical gap between the number of Jamaica</w:t>
      </w:r>
      <w:r w:rsidR="00593F1F">
        <w:rPr>
          <w:lang w:val="en-US"/>
        </w:rPr>
        <w:t>’</w:t>
      </w:r>
      <w:r w:rsidRPr="00CB2C31">
        <w:rPr>
          <w:lang w:val="en-US"/>
        </w:rPr>
        <w:t xml:space="preserve">s female managers and female directors on listed company boards suggests </w:t>
      </w:r>
      <w:r w:rsidRPr="00CB2C31">
        <w:rPr>
          <w:lang w:val="en-US" w:eastAsia="en-GB"/>
        </w:rPr>
        <w:t>that</w:t>
      </w:r>
      <w:r w:rsidRPr="00CB2C31">
        <w:rPr>
          <w:lang w:val="en-US"/>
        </w:rPr>
        <w:t>, while women are still under-represented in top management within major Jamaican companies, the number of women in senior and middle management positions is very strong compared to the global average.</w:t>
      </w:r>
      <w:r w:rsidR="00194C76" w:rsidRPr="00CB2C31">
        <w:rPr>
          <w:lang w:val="en-US"/>
        </w:rPr>
        <w:t xml:space="preserve"> </w:t>
      </w:r>
    </w:p>
    <w:p w14:paraId="10F77EFB" w14:textId="65803A13" w:rsidR="00B10BB8" w:rsidRPr="00CB2C31" w:rsidRDefault="00B10BB8" w:rsidP="00623C41">
      <w:pPr>
        <w:pStyle w:val="DoublePara"/>
        <w:rPr>
          <w:lang w:val="en-US"/>
        </w:rPr>
      </w:pPr>
      <w:r w:rsidRPr="00CB2C31">
        <w:rPr>
          <w:lang w:val="en-US"/>
        </w:rPr>
        <w:t>Several initiatives have been developed in Jamaica to help close this gap</w:t>
      </w:r>
      <w:r w:rsidR="00F111D2" w:rsidRPr="00CB2C31">
        <w:rPr>
          <w:lang w:val="en-US"/>
        </w:rPr>
        <w:t xml:space="preserve">.  </w:t>
      </w:r>
      <w:r w:rsidRPr="00CB2C31">
        <w:rPr>
          <w:lang w:val="en-US"/>
        </w:rPr>
        <w:t xml:space="preserve">One such initiative is the 51% Coalition: Women in </w:t>
      </w:r>
      <w:r w:rsidRPr="00CB2C31">
        <w:rPr>
          <w:lang w:val="en-US" w:eastAsia="en-GB"/>
        </w:rPr>
        <w:t>Partnership</w:t>
      </w:r>
      <w:r w:rsidRPr="00CB2C31">
        <w:rPr>
          <w:lang w:val="en-US"/>
        </w:rPr>
        <w:t xml:space="preserve"> for Development and Empowerment through Equity (the </w:t>
      </w:r>
      <w:r w:rsidR="00203E75" w:rsidRPr="00203E75">
        <w:rPr>
          <w:i/>
          <w:lang w:val="en-US"/>
        </w:rPr>
        <w:t>“</w:t>
      </w:r>
      <w:r w:rsidRPr="00CB2C31">
        <w:rPr>
          <w:b/>
          <w:lang w:val="en-US"/>
        </w:rPr>
        <w:t>51% Coalition</w:t>
      </w:r>
      <w:r w:rsidR="00203E75" w:rsidRPr="00203E75">
        <w:rPr>
          <w:i/>
          <w:lang w:val="en-US"/>
        </w:rPr>
        <w:t>”</w:t>
      </w:r>
      <w:r w:rsidRPr="00CB2C31">
        <w:rPr>
          <w:lang w:val="en-US"/>
        </w:rPr>
        <w:t xml:space="preserve">); an </w:t>
      </w:r>
      <w:r w:rsidRPr="00C326AC">
        <w:rPr>
          <w:b/>
          <w:lang w:val="en-US"/>
        </w:rPr>
        <w:t>alliance of women</w:t>
      </w:r>
      <w:r w:rsidR="00593F1F" w:rsidRPr="00C326AC">
        <w:rPr>
          <w:b/>
          <w:lang w:val="en-US"/>
        </w:rPr>
        <w:t>’</w:t>
      </w:r>
      <w:r w:rsidRPr="00C326AC">
        <w:rPr>
          <w:b/>
          <w:lang w:val="en-US"/>
        </w:rPr>
        <w:t>s organizations and individuals</w:t>
      </w:r>
      <w:r w:rsidRPr="00CB2C31">
        <w:rPr>
          <w:lang w:val="en-US"/>
        </w:rPr>
        <w:t xml:space="preserve"> formed in Jamaica to increase the number of women on boards of management in the public and private sector as well as in the political sphere (51% represents the percentage of the global (and Jamaican) population comprised of women)</w:t>
      </w:r>
      <w:r w:rsidR="00F111D2" w:rsidRPr="00CB2C31">
        <w:rPr>
          <w:lang w:val="en-US"/>
        </w:rPr>
        <w:t xml:space="preserve">.  </w:t>
      </w:r>
      <w:r w:rsidRPr="00CB2C31">
        <w:rPr>
          <w:lang w:val="en-US"/>
        </w:rPr>
        <w:t>While Jamaican law does not currently impose mandatory quotas on companies, certain prominent advocacy groups have called for their introduction, including the 51% Coalition which suggested in 2011 that women should comprise no less than 40% of company boards, and neither sex should comprise more than 60%.</w:t>
      </w:r>
      <w:r w:rsidRPr="00CB2C31">
        <w:rPr>
          <w:rStyle w:val="FootnoteReference"/>
          <w:lang w:val="en-US"/>
        </w:rPr>
        <w:footnoteReference w:id="381"/>
      </w:r>
      <w:r w:rsidRPr="00CB2C31">
        <w:rPr>
          <w:lang w:val="en-US"/>
        </w:rPr>
        <w:t xml:space="preserve"> </w:t>
      </w:r>
      <w:r w:rsidR="00932C37">
        <w:rPr>
          <w:lang w:val="en-US"/>
        </w:rPr>
        <w:t xml:space="preserve"> </w:t>
      </w:r>
      <w:r w:rsidRPr="00CB2C31">
        <w:rPr>
          <w:lang w:val="en-US"/>
        </w:rPr>
        <w:t xml:space="preserve">The 51% Coalition stated </w:t>
      </w:r>
      <w:r w:rsidR="00203E75" w:rsidRPr="00203E75">
        <w:rPr>
          <w:i/>
          <w:lang w:val="en-US"/>
        </w:rPr>
        <w:t>“</w:t>
      </w:r>
      <w:r w:rsidRPr="00CB2C31">
        <w:rPr>
          <w:i/>
          <w:lang w:val="en-US"/>
        </w:rPr>
        <w:t>[t]he main purpose of quotas is to recruit women into decision-making positions and to ensure that women do not remain as tokens in public and political life</w:t>
      </w:r>
      <w:r w:rsidR="00F111D2" w:rsidRPr="00CB2C31">
        <w:rPr>
          <w:i/>
          <w:lang w:val="en-US"/>
        </w:rPr>
        <w:t xml:space="preserve">.  </w:t>
      </w:r>
      <w:r w:rsidRPr="00CB2C31">
        <w:rPr>
          <w:i/>
          <w:lang w:val="en-US"/>
        </w:rPr>
        <w:t>They are the most effective way of moving towards gender balance and to strengthen the organization, voice and solidarity among women</w:t>
      </w:r>
      <w:r w:rsidR="007276F8">
        <w:rPr>
          <w:lang w:val="en-US"/>
        </w:rPr>
        <w:t>.</w:t>
      </w:r>
      <w:r w:rsidR="00203E75" w:rsidRPr="00203E75">
        <w:rPr>
          <w:i/>
          <w:lang w:val="en-US"/>
        </w:rPr>
        <w:t>”</w:t>
      </w:r>
      <w:r w:rsidRPr="00CB2C31">
        <w:rPr>
          <w:rStyle w:val="FootnoteReference"/>
          <w:lang w:val="en-US"/>
        </w:rPr>
        <w:footnoteReference w:id="382"/>
      </w:r>
    </w:p>
    <w:p w14:paraId="01CF2354" w14:textId="30B77862" w:rsidR="00B10BB8" w:rsidRPr="00CB2C31" w:rsidRDefault="00B10BB8" w:rsidP="00623C41">
      <w:pPr>
        <w:pStyle w:val="DoublePara"/>
        <w:rPr>
          <w:lang w:val="en-US"/>
        </w:rPr>
      </w:pPr>
      <w:r w:rsidRPr="00CB2C31">
        <w:rPr>
          <w:lang w:val="en-US"/>
        </w:rPr>
        <w:t>Another Jamaican women</w:t>
      </w:r>
      <w:r w:rsidR="00593F1F">
        <w:rPr>
          <w:lang w:val="en-US"/>
        </w:rPr>
        <w:t>’</w:t>
      </w:r>
      <w:r w:rsidRPr="00CB2C31">
        <w:rPr>
          <w:lang w:val="en-US"/>
        </w:rPr>
        <w:t>s advocacy body, the Women</w:t>
      </w:r>
      <w:r w:rsidR="00593F1F">
        <w:rPr>
          <w:lang w:val="en-US"/>
        </w:rPr>
        <w:t>’</w:t>
      </w:r>
      <w:r w:rsidRPr="00CB2C31">
        <w:rPr>
          <w:lang w:val="en-US"/>
        </w:rPr>
        <w:t>s Resource and Outreach Center (</w:t>
      </w:r>
      <w:r w:rsidR="00203E75" w:rsidRPr="00203E75">
        <w:rPr>
          <w:i/>
          <w:lang w:val="en-US"/>
        </w:rPr>
        <w:t>“</w:t>
      </w:r>
      <w:r w:rsidRPr="00CB2C31">
        <w:rPr>
          <w:b/>
          <w:lang w:val="en-US"/>
        </w:rPr>
        <w:t>WROC</w:t>
      </w:r>
      <w:r w:rsidR="00203E75" w:rsidRPr="00203E75">
        <w:rPr>
          <w:i/>
          <w:lang w:val="en-US"/>
        </w:rPr>
        <w:t>”</w:t>
      </w:r>
      <w:r w:rsidRPr="00CB2C31">
        <w:rPr>
          <w:lang w:val="en-US"/>
        </w:rPr>
        <w:t>), with funding from the United Nations Democracy Fund and support from the Association of Women</w:t>
      </w:r>
      <w:r w:rsidR="00593F1F">
        <w:rPr>
          <w:lang w:val="en-US"/>
        </w:rPr>
        <w:t>’</w:t>
      </w:r>
      <w:r w:rsidRPr="00CB2C31">
        <w:rPr>
          <w:lang w:val="en-US"/>
        </w:rPr>
        <w:t xml:space="preserve">s </w:t>
      </w:r>
      <w:r w:rsidR="000C6BF1" w:rsidRPr="00CB2C31">
        <w:rPr>
          <w:lang w:val="en-US"/>
        </w:rPr>
        <w:t>Organi</w:t>
      </w:r>
      <w:r w:rsidR="000C6BF1">
        <w:rPr>
          <w:lang w:val="en-US"/>
        </w:rPr>
        <w:t>z</w:t>
      </w:r>
      <w:r w:rsidR="000C6BF1" w:rsidRPr="00CB2C31">
        <w:rPr>
          <w:lang w:val="en-US"/>
        </w:rPr>
        <w:t xml:space="preserve">ations </w:t>
      </w:r>
      <w:r w:rsidRPr="00CB2C31">
        <w:rPr>
          <w:lang w:val="en-US"/>
        </w:rPr>
        <w:t>in Jamaica, the Institute for Gender and Development Studies Mona Unit, the Jamaica Women</w:t>
      </w:r>
      <w:r w:rsidR="00593F1F">
        <w:rPr>
          <w:lang w:val="en-US"/>
        </w:rPr>
        <w:t>’</w:t>
      </w:r>
      <w:r w:rsidRPr="00CB2C31">
        <w:rPr>
          <w:lang w:val="en-US"/>
        </w:rPr>
        <w:t xml:space="preserve">s Political Caucus and the PSOJ, established a training </w:t>
      </w:r>
      <w:r w:rsidR="00236E78" w:rsidRPr="00CB2C31">
        <w:rPr>
          <w:lang w:val="en-US"/>
        </w:rPr>
        <w:t>program</w:t>
      </w:r>
      <w:r w:rsidRPr="00CB2C31">
        <w:rPr>
          <w:lang w:val="en-US"/>
        </w:rPr>
        <w:t xml:space="preserve"> titled </w:t>
      </w:r>
      <w:r w:rsidR="00203E75" w:rsidRPr="00203E75">
        <w:rPr>
          <w:i/>
          <w:lang w:val="en-US"/>
        </w:rPr>
        <w:t>“</w:t>
      </w:r>
      <w:r w:rsidRPr="00CB2C31">
        <w:rPr>
          <w:lang w:val="en-US" w:eastAsia="en-GB"/>
        </w:rPr>
        <w:t>Strengthening</w:t>
      </w:r>
      <w:r w:rsidRPr="00CB2C31">
        <w:rPr>
          <w:lang w:val="en-US"/>
        </w:rPr>
        <w:t xml:space="preserve"> Women</w:t>
      </w:r>
      <w:r w:rsidR="00593F1F">
        <w:rPr>
          <w:lang w:val="en-US"/>
        </w:rPr>
        <w:t>’</w:t>
      </w:r>
      <w:r w:rsidRPr="00CB2C31">
        <w:rPr>
          <w:lang w:val="en-US"/>
        </w:rPr>
        <w:t>s Leadership in Jamaica</w:t>
      </w:r>
      <w:r w:rsidR="00203E75" w:rsidRPr="00203E75">
        <w:rPr>
          <w:i/>
          <w:lang w:val="en-US"/>
        </w:rPr>
        <w:t>”</w:t>
      </w:r>
      <w:r w:rsidRPr="00CB2C31">
        <w:rPr>
          <w:lang w:val="en-US"/>
        </w:rPr>
        <w:t xml:space="preserve"> aimed at promoting decision-making skills and leadership confidence among women</w:t>
      </w:r>
      <w:r w:rsidR="00F111D2" w:rsidRPr="00CB2C31">
        <w:rPr>
          <w:lang w:val="en-US"/>
        </w:rPr>
        <w:t xml:space="preserve">.  </w:t>
      </w:r>
      <w:r w:rsidRPr="00CB2C31">
        <w:rPr>
          <w:lang w:val="en-US"/>
        </w:rPr>
        <w:t xml:space="preserve">The </w:t>
      </w:r>
      <w:r w:rsidR="00236E78" w:rsidRPr="00CB2C31">
        <w:rPr>
          <w:lang w:val="en-US"/>
        </w:rPr>
        <w:t>program</w:t>
      </w:r>
      <w:r w:rsidRPr="00CB2C31">
        <w:rPr>
          <w:lang w:val="en-US"/>
        </w:rPr>
        <w:t xml:space="preserve"> trained 92 professional women and 14 community women, whose profiles were added to a database maintained by the WROC.</w:t>
      </w:r>
      <w:r w:rsidRPr="00CB2C31">
        <w:rPr>
          <w:rStyle w:val="FootnoteReference"/>
          <w:lang w:val="en-US"/>
        </w:rPr>
        <w:footnoteReference w:id="383"/>
      </w:r>
      <w:r w:rsidRPr="00CB2C31">
        <w:rPr>
          <w:lang w:val="en-US"/>
        </w:rPr>
        <w:t xml:space="preserve"> </w:t>
      </w:r>
      <w:r w:rsidR="00932C37">
        <w:rPr>
          <w:lang w:val="en-US"/>
        </w:rPr>
        <w:t xml:space="preserve"> </w:t>
      </w:r>
      <w:r w:rsidRPr="00CB2C31">
        <w:rPr>
          <w:lang w:val="en-US"/>
        </w:rPr>
        <w:t xml:space="preserve">This database is intended to serve as a list of women who have been trained to serve in leadership roles and could strengthen public and private sector boards in Jamaica. </w:t>
      </w:r>
    </w:p>
    <w:p w14:paraId="028AED37" w14:textId="77777777" w:rsidR="008227FE" w:rsidRPr="00CB2C31" w:rsidRDefault="008227FE" w:rsidP="006D1A2A">
      <w:pPr>
        <w:jc w:val="center"/>
        <w:rPr>
          <w:lang w:val="en-US"/>
        </w:rPr>
      </w:pPr>
    </w:p>
    <w:p w14:paraId="4152F3E2" w14:textId="42610718" w:rsidR="00FC1C73" w:rsidRDefault="00BD6B14" w:rsidP="00BE050A">
      <w:pPr>
        <w:jc w:val="center"/>
        <w:rPr>
          <w:lang w:val="en-US"/>
        </w:rPr>
        <w:sectPr w:rsidR="00FC1C73" w:rsidSect="003F58CB">
          <w:footerReference w:type="default" r:id="rId20"/>
          <w:pgSz w:w="11907" w:h="16839" w:code="9"/>
          <w:pgMar w:top="1440" w:right="1440" w:bottom="1440" w:left="1440" w:header="706" w:footer="706" w:gutter="0"/>
          <w:cols w:space="720"/>
          <w:docGrid w:linePitch="360"/>
        </w:sectPr>
      </w:pPr>
      <w:r w:rsidRPr="00CB2C31">
        <w:rPr>
          <w:lang w:val="en-US"/>
        </w:rPr>
        <w:t xml:space="preserve">* </w:t>
      </w:r>
      <w:r w:rsidRPr="00CB2C31">
        <w:rPr>
          <w:lang w:val="en-US"/>
        </w:rPr>
        <w:tab/>
        <w:t xml:space="preserve">* </w:t>
      </w:r>
      <w:r w:rsidRPr="00CB2C31">
        <w:rPr>
          <w:lang w:val="en-US"/>
        </w:rPr>
        <w:tab/>
        <w:t>*</w:t>
      </w:r>
      <w:bookmarkStart w:id="467" w:name="_Toc512156445"/>
      <w:bookmarkStart w:id="468" w:name="_Toc512163778"/>
      <w:bookmarkStart w:id="469" w:name="_Ref512868967"/>
      <w:bookmarkStart w:id="470" w:name="_Toc513199235"/>
      <w:bookmarkStart w:id="471" w:name="_Ref513204893"/>
      <w:bookmarkStart w:id="472" w:name="_Ref516237273"/>
      <w:bookmarkStart w:id="473" w:name="_Toc15027323"/>
      <w:bookmarkStart w:id="474" w:name="_Toc15027992"/>
    </w:p>
    <w:p w14:paraId="71A44290" w14:textId="77777777" w:rsidR="00E80518" w:rsidRPr="00CB2C31" w:rsidRDefault="00E80518" w:rsidP="00623C41">
      <w:pPr>
        <w:pStyle w:val="LegalCombo1"/>
      </w:pPr>
      <w:bookmarkStart w:id="475" w:name="_Toc512156454"/>
      <w:bookmarkStart w:id="476" w:name="_Toc512163787"/>
      <w:bookmarkStart w:id="477" w:name="_Ref512868974"/>
      <w:bookmarkStart w:id="478" w:name="_Ref512871840"/>
      <w:bookmarkStart w:id="479" w:name="_Toc513199238"/>
      <w:bookmarkStart w:id="480" w:name="_Ref513204927"/>
      <w:bookmarkStart w:id="481" w:name="_Ref513205024"/>
      <w:bookmarkStart w:id="482" w:name="_Toc15027326"/>
      <w:bookmarkStart w:id="483" w:name="_Toc15027995"/>
      <w:bookmarkStart w:id="484" w:name="_Toc16692509"/>
      <w:bookmarkStart w:id="485" w:name="_Ref16755807"/>
      <w:bookmarkStart w:id="486" w:name="_Ref16755889"/>
      <w:bookmarkStart w:id="487" w:name="_Toc22905010"/>
      <w:bookmarkStart w:id="488" w:name="_Toc24114409"/>
      <w:bookmarkEnd w:id="467"/>
      <w:bookmarkEnd w:id="468"/>
      <w:bookmarkEnd w:id="469"/>
      <w:bookmarkEnd w:id="470"/>
      <w:bookmarkEnd w:id="471"/>
      <w:bookmarkEnd w:id="472"/>
      <w:bookmarkEnd w:id="473"/>
      <w:bookmarkEnd w:id="474"/>
      <w:r w:rsidRPr="00CB2C31">
        <w:t>ANNEXURE – SUMMARY TABLES</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459A7E1B" w14:textId="1AE06DC9" w:rsidR="008F6AC4" w:rsidRPr="00CB2C31" w:rsidRDefault="008F6AC4" w:rsidP="00623C41">
      <w:pPr>
        <w:pStyle w:val="SingleParaFlush"/>
        <w:rPr>
          <w:lang w:val="en-US"/>
        </w:rPr>
      </w:pPr>
      <w:r w:rsidRPr="00CB2C31">
        <w:rPr>
          <w:lang w:val="en-US"/>
        </w:rPr>
        <w:t xml:space="preserve">The following tables </w:t>
      </w:r>
      <w:r w:rsidR="00F1088B">
        <w:rPr>
          <w:lang w:val="en-US"/>
        </w:rPr>
        <w:t>summari</w:t>
      </w:r>
      <w:r w:rsidR="00DF7E45">
        <w:rPr>
          <w:lang w:val="en-US"/>
        </w:rPr>
        <w:t xml:space="preserve">ze </w:t>
      </w:r>
      <w:r w:rsidRPr="00CB2C31">
        <w:rPr>
          <w:lang w:val="en-US"/>
        </w:rPr>
        <w:t>the governance provisions as set out in the treaty texts of each of the treaty bodies</w:t>
      </w:r>
      <w:r w:rsidR="00173E35">
        <w:rPr>
          <w:lang w:val="en-US"/>
        </w:rPr>
        <w:t xml:space="preserve"> and organizations</w:t>
      </w:r>
      <w:r w:rsidRPr="00CB2C31">
        <w:rPr>
          <w:lang w:val="en-US"/>
        </w:rPr>
        <w:t xml:space="preserve"> examined.</w:t>
      </w:r>
    </w:p>
    <w:p w14:paraId="52E4ABF2" w14:textId="77777777" w:rsidR="004C0B7F" w:rsidRPr="00CB2C31" w:rsidRDefault="003E76C9" w:rsidP="00623C41">
      <w:pPr>
        <w:pStyle w:val="SingleParaFlush"/>
        <w:rPr>
          <w:b/>
          <w:lang w:val="en-US"/>
        </w:rPr>
      </w:pPr>
      <w:r w:rsidRPr="00CB2C31">
        <w:rPr>
          <w:b/>
          <w:lang w:val="en-US"/>
        </w:rPr>
        <w:t>The t</w:t>
      </w:r>
      <w:r w:rsidR="004C0B7F" w:rsidRPr="00CB2C31">
        <w:rPr>
          <w:b/>
          <w:lang w:val="en-US"/>
        </w:rPr>
        <w:t xml:space="preserve">ables use the following </w:t>
      </w:r>
      <w:r w:rsidR="00D12918" w:rsidRPr="00CB2C31">
        <w:rPr>
          <w:b/>
          <w:lang w:val="en-US"/>
        </w:rPr>
        <w:t>a</w:t>
      </w:r>
      <w:r w:rsidR="00A331CC" w:rsidRPr="00CB2C31">
        <w:rPr>
          <w:b/>
          <w:lang w:val="en-US"/>
        </w:rPr>
        <w:t>cronyms</w:t>
      </w:r>
      <w:r w:rsidR="004C0B7F" w:rsidRPr="00CB2C31">
        <w:rPr>
          <w:b/>
          <w:lang w:val="en-US"/>
        </w:rPr>
        <w:t>:</w:t>
      </w:r>
    </w:p>
    <w:p w14:paraId="29A55076" w14:textId="77777777" w:rsidR="004C0B7F" w:rsidRPr="00CB2C31" w:rsidRDefault="004C0B7F" w:rsidP="00623C41">
      <w:pPr>
        <w:pStyle w:val="SingleParaAlt"/>
        <w:rPr>
          <w:lang w:val="en-US"/>
        </w:rPr>
      </w:pPr>
      <w:r w:rsidRPr="00CB2C31">
        <w:rPr>
          <w:b/>
          <w:lang w:val="en-US"/>
        </w:rPr>
        <w:t>ACHPR</w:t>
      </w:r>
      <w:r w:rsidR="00BA778B" w:rsidRPr="00CB2C31">
        <w:rPr>
          <w:b/>
          <w:lang w:val="en-US"/>
        </w:rPr>
        <w:t xml:space="preserve"> -</w:t>
      </w:r>
      <w:r w:rsidRPr="00CB2C31">
        <w:rPr>
          <w:lang w:val="en-US"/>
        </w:rPr>
        <w:t xml:space="preserve"> the African Charter on Human and Peoples</w:t>
      </w:r>
      <w:r w:rsidR="00593F1F">
        <w:rPr>
          <w:lang w:val="en-US"/>
        </w:rPr>
        <w:t>’</w:t>
      </w:r>
      <w:r w:rsidRPr="00CB2C31">
        <w:rPr>
          <w:lang w:val="en-US"/>
        </w:rPr>
        <w:t xml:space="preserve"> Rights; </w:t>
      </w:r>
    </w:p>
    <w:p w14:paraId="460C87C6" w14:textId="77777777" w:rsidR="004C0B7F" w:rsidRPr="00CB2C31" w:rsidRDefault="004C0B7F" w:rsidP="00623C41">
      <w:pPr>
        <w:pStyle w:val="SingleParaAlt"/>
        <w:rPr>
          <w:lang w:val="en-US"/>
        </w:rPr>
      </w:pPr>
      <w:r w:rsidRPr="00CB2C31">
        <w:rPr>
          <w:b/>
          <w:lang w:val="en-US"/>
        </w:rPr>
        <w:t>ACtHPR -</w:t>
      </w:r>
      <w:r w:rsidR="00FA1A67" w:rsidRPr="00CB2C31">
        <w:rPr>
          <w:b/>
          <w:lang w:val="en-US"/>
        </w:rPr>
        <w:t xml:space="preserve"> </w:t>
      </w:r>
      <w:r w:rsidRPr="00CB2C31">
        <w:rPr>
          <w:lang w:val="en-US"/>
        </w:rPr>
        <w:t>the African Commission on Human and Peoples</w:t>
      </w:r>
      <w:r w:rsidR="00593F1F">
        <w:rPr>
          <w:lang w:val="en-US"/>
        </w:rPr>
        <w:t>’</w:t>
      </w:r>
      <w:r w:rsidRPr="00CB2C31">
        <w:rPr>
          <w:lang w:val="en-US"/>
        </w:rPr>
        <w:t xml:space="preserve"> Rights, and African Court on Human and Peoples</w:t>
      </w:r>
      <w:r w:rsidR="00593F1F">
        <w:rPr>
          <w:lang w:val="en-US"/>
        </w:rPr>
        <w:t>’</w:t>
      </w:r>
      <w:r w:rsidR="00884BA9" w:rsidRPr="00CB2C31">
        <w:rPr>
          <w:lang w:val="en-US"/>
        </w:rPr>
        <w:t xml:space="preserve"> Rights;</w:t>
      </w:r>
    </w:p>
    <w:p w14:paraId="69C186A7" w14:textId="77777777" w:rsidR="004C0B7F" w:rsidRPr="00CB2C31" w:rsidRDefault="004C0B7F" w:rsidP="00623C41">
      <w:pPr>
        <w:pStyle w:val="SingleParaAlt"/>
        <w:rPr>
          <w:lang w:val="en-US"/>
        </w:rPr>
      </w:pPr>
      <w:r w:rsidRPr="00CB2C31">
        <w:rPr>
          <w:b/>
          <w:lang w:val="en-US"/>
        </w:rPr>
        <w:t>CAT</w:t>
      </w:r>
      <w:r w:rsidR="00FA1A67" w:rsidRPr="00CB2C31">
        <w:rPr>
          <w:lang w:val="en-US"/>
        </w:rPr>
        <w:t xml:space="preserve"> </w:t>
      </w:r>
      <w:r w:rsidRPr="00CB2C31">
        <w:rPr>
          <w:lang w:val="en-US"/>
        </w:rPr>
        <w:t>-</w:t>
      </w:r>
      <w:r w:rsidR="00BA778B" w:rsidRPr="00CB2C31">
        <w:rPr>
          <w:lang w:val="en-US"/>
        </w:rPr>
        <w:t xml:space="preserve"> </w:t>
      </w:r>
      <w:r w:rsidRPr="00CB2C31">
        <w:rPr>
          <w:lang w:val="en-US"/>
        </w:rPr>
        <w:t xml:space="preserve">the Committee against Torture; </w:t>
      </w:r>
    </w:p>
    <w:p w14:paraId="405798B3" w14:textId="77777777" w:rsidR="00680D0C" w:rsidRPr="00CB2C31" w:rsidRDefault="00680D0C" w:rsidP="00623C41">
      <w:pPr>
        <w:pStyle w:val="SingleParaAlt"/>
        <w:rPr>
          <w:lang w:val="en-US"/>
        </w:rPr>
      </w:pPr>
      <w:r w:rsidRPr="00CB2C31">
        <w:rPr>
          <w:b/>
          <w:lang w:val="en-US"/>
        </w:rPr>
        <w:t>CED</w:t>
      </w:r>
      <w:r w:rsidRPr="00CB2C31">
        <w:rPr>
          <w:lang w:val="en-US"/>
        </w:rPr>
        <w:t xml:space="preserve"> - the Committee on Enforced Disappearances; </w:t>
      </w:r>
    </w:p>
    <w:p w14:paraId="7B89D14F" w14:textId="77777777" w:rsidR="004C0B7F" w:rsidRPr="00CB2C31" w:rsidRDefault="004C0B7F" w:rsidP="00623C41">
      <w:pPr>
        <w:pStyle w:val="SingleParaAlt"/>
        <w:rPr>
          <w:lang w:val="en-US"/>
        </w:rPr>
      </w:pPr>
      <w:r w:rsidRPr="00CB2C31">
        <w:rPr>
          <w:b/>
          <w:lang w:val="en-US"/>
        </w:rPr>
        <w:t>CEDAW</w:t>
      </w:r>
      <w:r w:rsidRPr="00CB2C31">
        <w:rPr>
          <w:lang w:val="en-US"/>
        </w:rPr>
        <w:t xml:space="preserve"> - the Committee which monitors the Convention on the Elimination of Discrimination against Women; </w:t>
      </w:r>
    </w:p>
    <w:p w14:paraId="712FAC12" w14:textId="77777777" w:rsidR="00680D0C" w:rsidRPr="00CB2C31" w:rsidRDefault="00680D0C" w:rsidP="00623C41">
      <w:pPr>
        <w:pStyle w:val="SingleParaAlt"/>
        <w:rPr>
          <w:lang w:val="en-US"/>
        </w:rPr>
      </w:pPr>
      <w:r w:rsidRPr="00CB2C31">
        <w:rPr>
          <w:b/>
          <w:lang w:val="en-US"/>
        </w:rPr>
        <w:t>CERD</w:t>
      </w:r>
      <w:r w:rsidRPr="00CB2C31">
        <w:rPr>
          <w:lang w:val="en-US"/>
        </w:rPr>
        <w:t xml:space="preserve"> - the Committee on the Elimination of Racial Discrimination</w:t>
      </w:r>
      <w:r w:rsidR="00E62138" w:rsidRPr="00CB2C31">
        <w:rPr>
          <w:lang w:val="en-US"/>
        </w:rPr>
        <w:t>, which monitors the ICERD</w:t>
      </w:r>
      <w:r w:rsidR="00884BA9" w:rsidRPr="00CB2C31">
        <w:rPr>
          <w:lang w:val="en-US"/>
        </w:rPr>
        <w:t>;</w:t>
      </w:r>
      <w:r w:rsidRPr="00CB2C31">
        <w:rPr>
          <w:lang w:val="en-US"/>
        </w:rPr>
        <w:t xml:space="preserve"> </w:t>
      </w:r>
    </w:p>
    <w:p w14:paraId="4CE92FCA" w14:textId="77777777" w:rsidR="00884BA9" w:rsidRPr="00CB2C31" w:rsidRDefault="004C0B7F" w:rsidP="00623C41">
      <w:pPr>
        <w:pStyle w:val="SingleParaAlt"/>
        <w:rPr>
          <w:lang w:val="en-US"/>
        </w:rPr>
      </w:pPr>
      <w:r w:rsidRPr="00CB2C31">
        <w:rPr>
          <w:b/>
          <w:lang w:val="en-US"/>
        </w:rPr>
        <w:t>CMW</w:t>
      </w:r>
      <w:r w:rsidRPr="00CB2C31">
        <w:rPr>
          <w:lang w:val="en-US"/>
        </w:rPr>
        <w:t xml:space="preserve"> - the Committee on the Protection of the Rights of All Migrant Workers and Members of their Families</w:t>
      </w:r>
      <w:r w:rsidR="00884BA9" w:rsidRPr="00CB2C31">
        <w:rPr>
          <w:lang w:val="en-US"/>
        </w:rPr>
        <w:t>;</w:t>
      </w:r>
    </w:p>
    <w:p w14:paraId="28DB3EF6" w14:textId="77777777" w:rsidR="00680D0C" w:rsidRPr="00CB2C31" w:rsidRDefault="00680D0C" w:rsidP="00623C41">
      <w:pPr>
        <w:pStyle w:val="SingleParaAlt"/>
        <w:rPr>
          <w:lang w:val="en-US"/>
        </w:rPr>
      </w:pPr>
      <w:r w:rsidRPr="00CB2C31">
        <w:rPr>
          <w:b/>
          <w:lang w:val="en-US"/>
        </w:rPr>
        <w:t>CRC</w:t>
      </w:r>
      <w:r w:rsidRPr="00CB2C31">
        <w:rPr>
          <w:lang w:val="en-US"/>
        </w:rPr>
        <w:t xml:space="preserve"> - the Committee on the Rights of the Child; </w:t>
      </w:r>
    </w:p>
    <w:p w14:paraId="7E0B3064" w14:textId="77777777" w:rsidR="004C0B7F" w:rsidRPr="00CB2C31" w:rsidRDefault="004C0B7F" w:rsidP="00623C41">
      <w:pPr>
        <w:pStyle w:val="SingleParaAlt"/>
        <w:rPr>
          <w:lang w:val="en-US"/>
        </w:rPr>
      </w:pPr>
      <w:r w:rsidRPr="00CB2C31">
        <w:rPr>
          <w:b/>
          <w:lang w:val="en-US"/>
        </w:rPr>
        <w:t>CRPD</w:t>
      </w:r>
      <w:r w:rsidR="00FA1A67" w:rsidRPr="00CB2C31">
        <w:rPr>
          <w:lang w:val="en-US"/>
        </w:rPr>
        <w:t xml:space="preserve"> </w:t>
      </w:r>
      <w:r w:rsidRPr="00CB2C31">
        <w:rPr>
          <w:lang w:val="en-US"/>
        </w:rPr>
        <w:t xml:space="preserve">- the Committee on the Rights of Persons with Disabilities; </w:t>
      </w:r>
    </w:p>
    <w:p w14:paraId="0E4C620B" w14:textId="77777777" w:rsidR="004C0B7F" w:rsidRPr="00CB2C31" w:rsidRDefault="004C0B7F" w:rsidP="00623C41">
      <w:pPr>
        <w:pStyle w:val="SingleParaAlt"/>
        <w:rPr>
          <w:lang w:val="en-US"/>
        </w:rPr>
      </w:pPr>
      <w:r w:rsidRPr="00CB2C31">
        <w:rPr>
          <w:b/>
          <w:lang w:val="en-US"/>
        </w:rPr>
        <w:t>ECtHR</w:t>
      </w:r>
      <w:r w:rsidRPr="00CB2C31">
        <w:rPr>
          <w:lang w:val="en-US"/>
        </w:rPr>
        <w:t xml:space="preserve"> -</w:t>
      </w:r>
      <w:r w:rsidR="00E62138" w:rsidRPr="00CB2C31">
        <w:rPr>
          <w:lang w:val="en-US"/>
        </w:rPr>
        <w:t xml:space="preserve"> the</w:t>
      </w:r>
      <w:r w:rsidRPr="00CB2C31">
        <w:rPr>
          <w:lang w:val="en-US"/>
        </w:rPr>
        <w:t xml:space="preserve"> Committee on the Election of Judges to the European Court of Human Rights</w:t>
      </w:r>
      <w:r w:rsidR="007602C6" w:rsidRPr="00CB2C31">
        <w:rPr>
          <w:lang w:val="en-US"/>
        </w:rPr>
        <w:t>;</w:t>
      </w:r>
      <w:r w:rsidRPr="00CB2C31">
        <w:rPr>
          <w:lang w:val="en-US"/>
        </w:rPr>
        <w:t xml:space="preserve"> </w:t>
      </w:r>
    </w:p>
    <w:p w14:paraId="235A0143" w14:textId="77777777" w:rsidR="004C0B7F" w:rsidRPr="00CB2C31" w:rsidRDefault="004C0B7F" w:rsidP="00623C41">
      <w:pPr>
        <w:pStyle w:val="SingleParaAlt"/>
        <w:rPr>
          <w:lang w:val="en-US"/>
        </w:rPr>
      </w:pPr>
      <w:r w:rsidRPr="00CB2C31">
        <w:rPr>
          <w:b/>
          <w:lang w:val="en-US"/>
        </w:rPr>
        <w:t>ECPT</w:t>
      </w:r>
      <w:r w:rsidR="00BA778B" w:rsidRPr="00CB2C31">
        <w:rPr>
          <w:b/>
          <w:lang w:val="en-US"/>
        </w:rPr>
        <w:t xml:space="preserve"> </w:t>
      </w:r>
      <w:r w:rsidR="002F3009" w:rsidRPr="00CB2C31">
        <w:rPr>
          <w:lang w:val="en-US"/>
        </w:rPr>
        <w:t>-</w:t>
      </w:r>
      <w:r w:rsidR="00BA778B" w:rsidRPr="00CB2C31">
        <w:rPr>
          <w:b/>
          <w:lang w:val="en-US"/>
        </w:rPr>
        <w:t xml:space="preserve"> </w:t>
      </w:r>
      <w:r w:rsidR="00884BA9" w:rsidRPr="00CB2C31">
        <w:rPr>
          <w:lang w:val="en-US"/>
        </w:rPr>
        <w:t xml:space="preserve">the Committee on </w:t>
      </w:r>
      <w:r w:rsidRPr="00CB2C31">
        <w:rPr>
          <w:lang w:val="en-US"/>
        </w:rPr>
        <w:t xml:space="preserve">the European Convention for the Prevention of Torture and Inhuman or Degrading Treatment or Punishment; </w:t>
      </w:r>
    </w:p>
    <w:p w14:paraId="4EEF22D5" w14:textId="77777777" w:rsidR="00680D0C" w:rsidRPr="00CB2C31" w:rsidRDefault="00680D0C" w:rsidP="00623C41">
      <w:pPr>
        <w:pStyle w:val="SingleParaAlt"/>
        <w:rPr>
          <w:lang w:val="en-US"/>
        </w:rPr>
      </w:pPr>
      <w:r w:rsidRPr="00CB2C31">
        <w:rPr>
          <w:b/>
          <w:lang w:val="en-US"/>
        </w:rPr>
        <w:t>IACHR</w:t>
      </w:r>
      <w:r w:rsidRPr="00CB2C31">
        <w:rPr>
          <w:lang w:val="en-US"/>
        </w:rPr>
        <w:t xml:space="preserve"> - the Inter-American Commission on Human Rights; </w:t>
      </w:r>
    </w:p>
    <w:p w14:paraId="471827C2" w14:textId="77777777" w:rsidR="00680D0C" w:rsidRPr="00CB2C31" w:rsidRDefault="00680D0C" w:rsidP="00623C41">
      <w:pPr>
        <w:pStyle w:val="SingleParaAlt"/>
        <w:rPr>
          <w:lang w:val="en-US"/>
        </w:rPr>
      </w:pPr>
      <w:r w:rsidRPr="00CB2C31">
        <w:rPr>
          <w:b/>
          <w:lang w:val="en-US"/>
        </w:rPr>
        <w:t>IACtHR</w:t>
      </w:r>
      <w:r w:rsidR="00BA778B" w:rsidRPr="00CB2C31">
        <w:rPr>
          <w:b/>
          <w:lang w:val="en-US"/>
        </w:rPr>
        <w:t xml:space="preserve"> - </w:t>
      </w:r>
      <w:r w:rsidRPr="00CB2C31">
        <w:rPr>
          <w:lang w:val="en-US"/>
        </w:rPr>
        <w:t>the Inter-American Court of Human Rights</w:t>
      </w:r>
      <w:r w:rsidR="00884BA9" w:rsidRPr="00CB2C31">
        <w:rPr>
          <w:lang w:val="en-US"/>
        </w:rPr>
        <w:t>;</w:t>
      </w:r>
    </w:p>
    <w:p w14:paraId="04BA2A47" w14:textId="77777777" w:rsidR="004C0B7F" w:rsidRPr="00CB2C31" w:rsidRDefault="004C0B7F" w:rsidP="00623C41">
      <w:pPr>
        <w:pStyle w:val="SingleParaAlt"/>
        <w:rPr>
          <w:lang w:val="en-US"/>
        </w:rPr>
      </w:pPr>
      <w:r w:rsidRPr="00CB2C31">
        <w:rPr>
          <w:b/>
          <w:lang w:val="en-US"/>
        </w:rPr>
        <w:t>ICC</w:t>
      </w:r>
      <w:r w:rsidRPr="00CB2C31">
        <w:rPr>
          <w:lang w:val="en-US"/>
        </w:rPr>
        <w:t xml:space="preserve"> - the International Criminal Court constituted under the Rome Statute of the International Criminal Court; </w:t>
      </w:r>
    </w:p>
    <w:p w14:paraId="74F48F60" w14:textId="77777777" w:rsidR="004C0B7F" w:rsidRPr="00CB2C31" w:rsidRDefault="004C0B7F" w:rsidP="00623C41">
      <w:pPr>
        <w:pStyle w:val="SingleParaAlt"/>
        <w:rPr>
          <w:lang w:val="en-US"/>
        </w:rPr>
      </w:pPr>
      <w:r w:rsidRPr="00CB2C31">
        <w:rPr>
          <w:b/>
          <w:lang w:val="en-US"/>
        </w:rPr>
        <w:t>ICC Assembly</w:t>
      </w:r>
      <w:r w:rsidRPr="00CB2C31">
        <w:rPr>
          <w:lang w:val="en-US"/>
        </w:rPr>
        <w:t xml:space="preserve"> - the International Criminal Court Assembly</w:t>
      </w:r>
      <w:r w:rsidR="00FA1A67" w:rsidRPr="00CB2C31">
        <w:rPr>
          <w:lang w:val="en-US"/>
        </w:rPr>
        <w:t xml:space="preserve"> </w:t>
      </w:r>
      <w:r w:rsidRPr="00CB2C31">
        <w:rPr>
          <w:lang w:val="en-US"/>
        </w:rPr>
        <w:t xml:space="preserve">constituted under the Rome Statute of the International Criminal Court; </w:t>
      </w:r>
    </w:p>
    <w:p w14:paraId="652D4ECF" w14:textId="77777777" w:rsidR="004C0B7F" w:rsidRPr="00CB2C31" w:rsidRDefault="004C0B7F" w:rsidP="00623C41">
      <w:pPr>
        <w:pStyle w:val="SingleParaAlt"/>
        <w:rPr>
          <w:lang w:val="en-US"/>
        </w:rPr>
      </w:pPr>
      <w:r w:rsidRPr="00CB2C31">
        <w:rPr>
          <w:b/>
          <w:lang w:val="en-US"/>
        </w:rPr>
        <w:t>ICCPR</w:t>
      </w:r>
      <w:r w:rsidRPr="00CB2C31">
        <w:rPr>
          <w:lang w:val="en-US"/>
        </w:rPr>
        <w:t xml:space="preserve"> - </w:t>
      </w:r>
      <w:r w:rsidR="00884BA9" w:rsidRPr="00CB2C31">
        <w:rPr>
          <w:lang w:val="en-US"/>
        </w:rPr>
        <w:t>t</w:t>
      </w:r>
      <w:r w:rsidRPr="00CB2C31">
        <w:rPr>
          <w:lang w:val="en-US"/>
        </w:rPr>
        <w:t xml:space="preserve">he Committee which monitors the International Covenant on Civil and Political Rights; </w:t>
      </w:r>
    </w:p>
    <w:p w14:paraId="16353BA3" w14:textId="77777777" w:rsidR="00680D0C" w:rsidRPr="00CB2C31" w:rsidRDefault="00680D0C" w:rsidP="00623C41">
      <w:pPr>
        <w:pStyle w:val="SingleParaAlt"/>
        <w:rPr>
          <w:lang w:val="en-US"/>
        </w:rPr>
      </w:pPr>
      <w:r w:rsidRPr="00CB2C31">
        <w:rPr>
          <w:b/>
          <w:lang w:val="en-US"/>
        </w:rPr>
        <w:t>ICERD</w:t>
      </w:r>
      <w:r w:rsidR="00BA778B" w:rsidRPr="00CB2C31">
        <w:rPr>
          <w:b/>
          <w:lang w:val="en-US"/>
        </w:rPr>
        <w:t xml:space="preserve"> - </w:t>
      </w:r>
      <w:r w:rsidRPr="00CB2C31">
        <w:rPr>
          <w:lang w:val="en-US"/>
        </w:rPr>
        <w:t xml:space="preserve">the International Convention on the Elimination of Racial Discrimination; </w:t>
      </w:r>
    </w:p>
    <w:p w14:paraId="133D86ED" w14:textId="77777777" w:rsidR="004C0B7F" w:rsidRPr="00CB2C31" w:rsidRDefault="004C0B7F" w:rsidP="00623C41">
      <w:pPr>
        <w:pStyle w:val="SingleParaAlt"/>
        <w:rPr>
          <w:lang w:val="en-US"/>
        </w:rPr>
      </w:pPr>
      <w:r w:rsidRPr="00CB2C31">
        <w:rPr>
          <w:b/>
          <w:lang w:val="en-US"/>
        </w:rPr>
        <w:t xml:space="preserve">ICESCR - </w:t>
      </w:r>
      <w:r w:rsidRPr="00CB2C31">
        <w:rPr>
          <w:lang w:val="en-US"/>
        </w:rPr>
        <w:t>the Committee on Economic, Social and Cultural Rights</w:t>
      </w:r>
      <w:r w:rsidR="002C68B6" w:rsidRPr="00CB2C31">
        <w:rPr>
          <w:lang w:val="en-US"/>
        </w:rPr>
        <w:t>,</w:t>
      </w:r>
      <w:r w:rsidRPr="00CB2C31">
        <w:rPr>
          <w:lang w:val="en-US"/>
        </w:rPr>
        <w:t xml:space="preserve"> which monitors the International Covenant on Economic, Social and Cultural Rights; </w:t>
      </w:r>
    </w:p>
    <w:p w14:paraId="3A6DFA1B" w14:textId="77777777" w:rsidR="004C0B7F" w:rsidRPr="00CB2C31" w:rsidRDefault="004C0B7F" w:rsidP="00623C41">
      <w:pPr>
        <w:pStyle w:val="SingleParaAlt"/>
        <w:rPr>
          <w:lang w:val="en-US"/>
        </w:rPr>
      </w:pPr>
      <w:r w:rsidRPr="00CB2C31">
        <w:rPr>
          <w:b/>
          <w:lang w:val="en-US"/>
        </w:rPr>
        <w:t>OPCAT</w:t>
      </w:r>
      <w:r w:rsidR="00BA778B" w:rsidRPr="00CB2C31">
        <w:rPr>
          <w:b/>
          <w:lang w:val="en-US"/>
        </w:rPr>
        <w:t xml:space="preserve"> - </w:t>
      </w:r>
      <w:r w:rsidRPr="00CB2C31">
        <w:rPr>
          <w:lang w:val="en-US"/>
        </w:rPr>
        <w:t xml:space="preserve">the Optional Protocol to the Convention against Torture and Other Cruel, Inhuman or Degrading Treatment or Punishment; </w:t>
      </w:r>
    </w:p>
    <w:p w14:paraId="2820A6A4" w14:textId="77777777" w:rsidR="004C0B7F" w:rsidRPr="00CB2C31" w:rsidRDefault="004C0B7F" w:rsidP="00623C41">
      <w:pPr>
        <w:pStyle w:val="SingleParaAlt"/>
        <w:rPr>
          <w:lang w:val="en-US"/>
        </w:rPr>
      </w:pPr>
      <w:r w:rsidRPr="00CB2C31">
        <w:rPr>
          <w:b/>
          <w:lang w:val="en-US"/>
        </w:rPr>
        <w:t>SPT</w:t>
      </w:r>
      <w:r w:rsidRPr="00CB2C31">
        <w:rPr>
          <w:lang w:val="en-US"/>
        </w:rPr>
        <w:t xml:space="preserve"> - the Subcommittee on Prevention of Torture and other Cruel, Inhuman or Degrading Treatment or Punishment</w:t>
      </w:r>
      <w:r w:rsidR="00884BA9" w:rsidRPr="00CB2C31">
        <w:rPr>
          <w:lang w:val="en-US"/>
        </w:rPr>
        <w:t>, which monitors OPCAT.</w:t>
      </w:r>
      <w:r w:rsidR="00A17C40" w:rsidRPr="00CB2C31">
        <w:rPr>
          <w:lang w:val="en-US"/>
        </w:rPr>
        <w:t xml:space="preserve"> </w:t>
      </w:r>
    </w:p>
    <w:p w14:paraId="07A5AA56" w14:textId="77777777" w:rsidR="00D436B6" w:rsidRPr="00CB2C31" w:rsidRDefault="00D436B6" w:rsidP="00623C41">
      <w:pPr>
        <w:spacing w:after="200" w:line="276" w:lineRule="auto"/>
        <w:rPr>
          <w:b/>
          <w:sz w:val="20"/>
          <w:szCs w:val="20"/>
          <w:lang w:val="en-US"/>
        </w:rPr>
      </w:pPr>
      <w:r w:rsidRPr="00CB2C31">
        <w:rPr>
          <w:b/>
          <w:sz w:val="20"/>
          <w:szCs w:val="20"/>
          <w:lang w:val="en-US"/>
        </w:rPr>
        <w:br w:type="page"/>
      </w:r>
    </w:p>
    <w:p w14:paraId="79846707" w14:textId="77777777" w:rsidR="00E80518" w:rsidRPr="00CB2C31" w:rsidRDefault="00E80518" w:rsidP="00623C41">
      <w:pPr>
        <w:pStyle w:val="HeadingLeftBold"/>
        <w:jc w:val="both"/>
        <w:rPr>
          <w:lang w:val="en-US"/>
        </w:rPr>
      </w:pPr>
      <w:r w:rsidRPr="00CB2C31">
        <w:rPr>
          <w:lang w:val="en-US"/>
        </w:rPr>
        <w:t xml:space="preserve">PART 1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1927"/>
        <w:gridCol w:w="3118"/>
        <w:gridCol w:w="2410"/>
        <w:gridCol w:w="2268"/>
        <w:gridCol w:w="2977"/>
      </w:tblGrid>
      <w:tr w:rsidR="00E80518" w:rsidRPr="00CB2C31" w14:paraId="03F24BE9" w14:textId="77777777" w:rsidTr="00BD0AE3">
        <w:trPr>
          <w:tblHeader/>
        </w:trPr>
        <w:tc>
          <w:tcPr>
            <w:tcW w:w="1442" w:type="dxa"/>
            <w:shd w:val="clear" w:color="auto" w:fill="8DB3E2" w:themeFill="text2" w:themeFillTint="66"/>
            <w:vAlign w:val="center"/>
          </w:tcPr>
          <w:p w14:paraId="677163D0" w14:textId="77777777" w:rsidR="00E80518" w:rsidRPr="00CB2C31" w:rsidRDefault="00E80518" w:rsidP="00623C41">
            <w:pPr>
              <w:rPr>
                <w:rFonts w:asciiTheme="majorHAnsi" w:hAnsiTheme="majorHAnsi" w:cstheme="majorHAnsi"/>
                <w:b/>
                <w:sz w:val="18"/>
                <w:szCs w:val="18"/>
                <w:lang w:val="en-US"/>
              </w:rPr>
            </w:pPr>
            <w:r w:rsidRPr="00CB2C31">
              <w:rPr>
                <w:rFonts w:asciiTheme="majorHAnsi" w:hAnsiTheme="majorHAnsi" w:cstheme="majorHAnsi"/>
                <w:b/>
                <w:sz w:val="18"/>
                <w:szCs w:val="18"/>
                <w:lang w:val="en-US"/>
              </w:rPr>
              <w:t>Body</w:t>
            </w:r>
          </w:p>
          <w:p w14:paraId="040F0E8A" w14:textId="77777777" w:rsidR="00AF4E6A" w:rsidRPr="00CB2C31" w:rsidRDefault="00AF4E6A" w:rsidP="00623C41">
            <w:pPr>
              <w:rPr>
                <w:rFonts w:asciiTheme="majorHAnsi" w:hAnsiTheme="majorHAnsi" w:cstheme="majorHAnsi"/>
                <w:b/>
                <w:sz w:val="18"/>
                <w:szCs w:val="18"/>
                <w:lang w:val="en-US"/>
              </w:rPr>
            </w:pPr>
          </w:p>
        </w:tc>
        <w:tc>
          <w:tcPr>
            <w:tcW w:w="1927" w:type="dxa"/>
            <w:shd w:val="clear" w:color="auto" w:fill="8DB3E2" w:themeFill="text2" w:themeFillTint="66"/>
            <w:vAlign w:val="center"/>
          </w:tcPr>
          <w:p w14:paraId="50AD6DCB" w14:textId="77777777" w:rsidR="001F7174" w:rsidRPr="00CB2C31" w:rsidRDefault="001F7174" w:rsidP="00623C41">
            <w:pPr>
              <w:rPr>
                <w:rFonts w:asciiTheme="majorHAnsi" w:hAnsiTheme="majorHAnsi" w:cstheme="majorHAnsi"/>
                <w:b/>
                <w:sz w:val="18"/>
                <w:szCs w:val="18"/>
                <w:lang w:val="en-US"/>
              </w:rPr>
            </w:pPr>
          </w:p>
          <w:p w14:paraId="2859DE4A" w14:textId="77777777" w:rsidR="00E80518" w:rsidRPr="00CB2C31" w:rsidRDefault="00E80518" w:rsidP="00623C41">
            <w:pPr>
              <w:rPr>
                <w:rFonts w:asciiTheme="majorHAnsi" w:hAnsiTheme="majorHAnsi" w:cstheme="majorHAnsi"/>
                <w:b/>
                <w:sz w:val="18"/>
                <w:szCs w:val="18"/>
                <w:lang w:val="en-US"/>
              </w:rPr>
            </w:pPr>
            <w:r w:rsidRPr="00CB2C31">
              <w:rPr>
                <w:rFonts w:asciiTheme="majorHAnsi" w:hAnsiTheme="majorHAnsi" w:cstheme="majorHAnsi"/>
                <w:b/>
                <w:sz w:val="18"/>
                <w:szCs w:val="18"/>
                <w:lang w:val="en-US"/>
              </w:rPr>
              <w:t>Number Of Members /</w:t>
            </w:r>
            <w:r w:rsidR="007276F8">
              <w:rPr>
                <w:rFonts w:asciiTheme="majorHAnsi" w:hAnsiTheme="majorHAnsi" w:cstheme="majorHAnsi"/>
                <w:b/>
                <w:sz w:val="18"/>
                <w:szCs w:val="18"/>
                <w:lang w:val="en-US"/>
              </w:rPr>
              <w:t xml:space="preserve"> </w:t>
            </w:r>
            <w:r w:rsidRPr="00CB2C31">
              <w:rPr>
                <w:rFonts w:asciiTheme="majorHAnsi" w:hAnsiTheme="majorHAnsi" w:cstheme="majorHAnsi"/>
                <w:b/>
                <w:sz w:val="18"/>
                <w:szCs w:val="18"/>
                <w:lang w:val="en-US"/>
              </w:rPr>
              <w:t>Nominees Per State</w:t>
            </w:r>
          </w:p>
          <w:p w14:paraId="1AB172AF" w14:textId="77777777" w:rsidR="00E80518" w:rsidRPr="00CB2C31" w:rsidRDefault="00E80518" w:rsidP="00623C41">
            <w:pPr>
              <w:rPr>
                <w:rFonts w:asciiTheme="majorHAnsi" w:hAnsiTheme="majorHAnsi" w:cstheme="majorHAnsi"/>
                <w:b/>
                <w:sz w:val="18"/>
                <w:szCs w:val="18"/>
                <w:lang w:val="en-US"/>
              </w:rPr>
            </w:pPr>
          </w:p>
        </w:tc>
        <w:tc>
          <w:tcPr>
            <w:tcW w:w="3118" w:type="dxa"/>
            <w:shd w:val="clear" w:color="auto" w:fill="8DB3E2" w:themeFill="text2" w:themeFillTint="66"/>
            <w:vAlign w:val="center"/>
          </w:tcPr>
          <w:p w14:paraId="24896716" w14:textId="77777777" w:rsidR="00E80518" w:rsidRPr="00CB2C31" w:rsidRDefault="00E80518" w:rsidP="00623C41">
            <w:pPr>
              <w:rPr>
                <w:rFonts w:asciiTheme="majorHAnsi" w:hAnsiTheme="majorHAnsi" w:cstheme="majorHAnsi"/>
                <w:b/>
                <w:sz w:val="18"/>
                <w:szCs w:val="18"/>
                <w:lang w:val="en-US"/>
              </w:rPr>
            </w:pPr>
            <w:r w:rsidRPr="00CB2C31">
              <w:rPr>
                <w:rFonts w:asciiTheme="majorHAnsi" w:hAnsiTheme="majorHAnsi" w:cstheme="majorHAnsi"/>
                <w:b/>
                <w:sz w:val="18"/>
                <w:szCs w:val="18"/>
                <w:lang w:val="en-US"/>
              </w:rPr>
              <w:t>Character /</w:t>
            </w:r>
            <w:r w:rsidR="009E58C0" w:rsidRPr="00CB2C31">
              <w:rPr>
                <w:rFonts w:asciiTheme="majorHAnsi" w:hAnsiTheme="majorHAnsi" w:cstheme="majorHAnsi"/>
                <w:b/>
                <w:sz w:val="18"/>
                <w:szCs w:val="18"/>
                <w:lang w:val="en-US"/>
              </w:rPr>
              <w:t xml:space="preserve"> </w:t>
            </w:r>
            <w:r w:rsidRPr="00CB2C31">
              <w:rPr>
                <w:rFonts w:asciiTheme="majorHAnsi" w:hAnsiTheme="majorHAnsi" w:cstheme="majorHAnsi"/>
                <w:b/>
                <w:sz w:val="18"/>
                <w:szCs w:val="18"/>
                <w:lang w:val="en-US"/>
              </w:rPr>
              <w:t>Expertise / Nationality Requirements</w:t>
            </w:r>
          </w:p>
        </w:tc>
        <w:tc>
          <w:tcPr>
            <w:tcW w:w="2410" w:type="dxa"/>
            <w:shd w:val="clear" w:color="auto" w:fill="8DB3E2" w:themeFill="text2" w:themeFillTint="66"/>
            <w:vAlign w:val="center"/>
          </w:tcPr>
          <w:p w14:paraId="464483B8" w14:textId="77777777" w:rsidR="00E80518" w:rsidRPr="00CB2C31" w:rsidRDefault="00E80518" w:rsidP="00623C41">
            <w:pPr>
              <w:rPr>
                <w:rFonts w:asciiTheme="majorHAnsi" w:hAnsiTheme="majorHAnsi" w:cstheme="majorHAnsi"/>
                <w:b/>
                <w:sz w:val="18"/>
                <w:szCs w:val="18"/>
                <w:lang w:val="en-US"/>
              </w:rPr>
            </w:pPr>
            <w:r w:rsidRPr="00CB2C31">
              <w:rPr>
                <w:rFonts w:asciiTheme="majorHAnsi" w:hAnsiTheme="majorHAnsi" w:cstheme="majorHAnsi"/>
                <w:b/>
                <w:sz w:val="18"/>
                <w:szCs w:val="18"/>
                <w:lang w:val="en-US"/>
              </w:rPr>
              <w:t>Geographical Distribution /</w:t>
            </w:r>
          </w:p>
          <w:p w14:paraId="4D7E03AF" w14:textId="77777777" w:rsidR="00E80518" w:rsidRPr="00CB2C31" w:rsidRDefault="00E80518" w:rsidP="00623C41">
            <w:pPr>
              <w:rPr>
                <w:rFonts w:asciiTheme="majorHAnsi" w:hAnsiTheme="majorHAnsi" w:cstheme="majorHAnsi"/>
                <w:b/>
                <w:sz w:val="18"/>
                <w:szCs w:val="18"/>
                <w:lang w:val="en-US"/>
              </w:rPr>
            </w:pPr>
            <w:r w:rsidRPr="00CB2C31">
              <w:rPr>
                <w:rFonts w:asciiTheme="majorHAnsi" w:hAnsiTheme="majorHAnsi" w:cstheme="majorHAnsi"/>
                <w:b/>
                <w:sz w:val="18"/>
                <w:szCs w:val="18"/>
                <w:lang w:val="en-US"/>
              </w:rPr>
              <w:t>Gender Distribution</w:t>
            </w:r>
          </w:p>
        </w:tc>
        <w:tc>
          <w:tcPr>
            <w:tcW w:w="2268" w:type="dxa"/>
            <w:shd w:val="clear" w:color="auto" w:fill="8DB3E2" w:themeFill="text2" w:themeFillTint="66"/>
            <w:vAlign w:val="center"/>
          </w:tcPr>
          <w:p w14:paraId="7660223E" w14:textId="77777777" w:rsidR="00E80518" w:rsidRPr="00CB2C31" w:rsidRDefault="002F3009" w:rsidP="00623C41">
            <w:pPr>
              <w:rPr>
                <w:rFonts w:asciiTheme="majorHAnsi" w:hAnsiTheme="majorHAnsi" w:cstheme="majorHAnsi"/>
                <w:b/>
                <w:sz w:val="18"/>
                <w:szCs w:val="18"/>
                <w:lang w:val="en-US"/>
              </w:rPr>
            </w:pPr>
            <w:r w:rsidRPr="00CB2C31">
              <w:rPr>
                <w:rFonts w:asciiTheme="majorHAnsi" w:hAnsiTheme="majorHAnsi" w:cstheme="majorHAnsi"/>
                <w:b/>
                <w:sz w:val="18"/>
                <w:szCs w:val="18"/>
                <w:lang w:val="en-US"/>
              </w:rPr>
              <w:t>Form o</w:t>
            </w:r>
            <w:r w:rsidR="00E80518" w:rsidRPr="00CB2C31">
              <w:rPr>
                <w:rFonts w:asciiTheme="majorHAnsi" w:hAnsiTheme="majorHAnsi" w:cstheme="majorHAnsi"/>
                <w:b/>
                <w:sz w:val="18"/>
                <w:szCs w:val="18"/>
                <w:lang w:val="en-US"/>
              </w:rPr>
              <w:t>f Civilization /</w:t>
            </w:r>
          </w:p>
          <w:p w14:paraId="610EA446" w14:textId="77777777" w:rsidR="00E80518" w:rsidRPr="00CB2C31" w:rsidRDefault="00E80518" w:rsidP="00623C41">
            <w:pPr>
              <w:rPr>
                <w:rFonts w:asciiTheme="majorHAnsi" w:hAnsiTheme="majorHAnsi" w:cstheme="majorHAnsi"/>
                <w:b/>
                <w:sz w:val="18"/>
                <w:szCs w:val="18"/>
                <w:lang w:val="en-US"/>
              </w:rPr>
            </w:pPr>
            <w:r w:rsidRPr="00CB2C31">
              <w:rPr>
                <w:rFonts w:asciiTheme="majorHAnsi" w:hAnsiTheme="majorHAnsi" w:cstheme="majorHAnsi"/>
                <w:b/>
                <w:sz w:val="18"/>
                <w:szCs w:val="18"/>
                <w:lang w:val="en-US"/>
              </w:rPr>
              <w:t>Legal System</w:t>
            </w:r>
          </w:p>
          <w:p w14:paraId="09C10619" w14:textId="77777777" w:rsidR="00E80518" w:rsidRPr="00CB2C31" w:rsidRDefault="00E80518" w:rsidP="00623C41">
            <w:pPr>
              <w:rPr>
                <w:rFonts w:asciiTheme="majorHAnsi" w:hAnsiTheme="majorHAnsi" w:cstheme="majorHAnsi"/>
                <w:b/>
                <w:sz w:val="18"/>
                <w:szCs w:val="18"/>
                <w:lang w:val="en-US"/>
              </w:rPr>
            </w:pPr>
            <w:r w:rsidRPr="00CB2C31">
              <w:rPr>
                <w:rFonts w:asciiTheme="majorHAnsi" w:hAnsiTheme="majorHAnsi" w:cstheme="majorHAnsi"/>
                <w:b/>
                <w:sz w:val="18"/>
                <w:szCs w:val="18"/>
                <w:lang w:val="en-US"/>
              </w:rPr>
              <w:t>Considerations</w:t>
            </w:r>
          </w:p>
        </w:tc>
        <w:tc>
          <w:tcPr>
            <w:tcW w:w="2977" w:type="dxa"/>
            <w:shd w:val="clear" w:color="auto" w:fill="8DB3E2" w:themeFill="text2" w:themeFillTint="66"/>
            <w:vAlign w:val="center"/>
          </w:tcPr>
          <w:p w14:paraId="4D139970" w14:textId="77777777" w:rsidR="00E80518" w:rsidRPr="00CB2C31" w:rsidRDefault="00E80518" w:rsidP="00623C41">
            <w:pPr>
              <w:rPr>
                <w:rFonts w:asciiTheme="majorHAnsi" w:hAnsiTheme="majorHAnsi" w:cstheme="majorHAnsi"/>
                <w:b/>
                <w:sz w:val="18"/>
                <w:szCs w:val="18"/>
                <w:lang w:val="en-US"/>
              </w:rPr>
            </w:pPr>
            <w:r w:rsidRPr="00CB2C31">
              <w:rPr>
                <w:rFonts w:asciiTheme="majorHAnsi" w:hAnsiTheme="majorHAnsi" w:cstheme="majorHAnsi"/>
                <w:b/>
                <w:sz w:val="18"/>
                <w:szCs w:val="18"/>
                <w:lang w:val="en-US"/>
              </w:rPr>
              <w:t>Restrictions</w:t>
            </w:r>
          </w:p>
        </w:tc>
      </w:tr>
      <w:tr w:rsidR="003F58CB" w:rsidRPr="00CB2C31" w14:paraId="7C74C0CC" w14:textId="77777777" w:rsidTr="003F58CB">
        <w:tc>
          <w:tcPr>
            <w:tcW w:w="14142" w:type="dxa"/>
            <w:gridSpan w:val="6"/>
            <w:shd w:val="pct10" w:color="auto" w:fill="auto"/>
          </w:tcPr>
          <w:p w14:paraId="41A1EFAE" w14:textId="57F5FA20" w:rsidR="003F58CB" w:rsidRPr="003F58CB" w:rsidRDefault="003F58CB" w:rsidP="003F58CB">
            <w:pPr>
              <w:rPr>
                <w:rFonts w:asciiTheme="majorHAnsi" w:hAnsiTheme="majorHAnsi" w:cstheme="majorHAnsi"/>
                <w:b/>
                <w:sz w:val="18"/>
                <w:szCs w:val="18"/>
                <w:lang w:val="en-US"/>
              </w:rPr>
            </w:pPr>
            <w:r>
              <w:rPr>
                <w:rFonts w:asciiTheme="majorHAnsi" w:hAnsiTheme="majorHAnsi" w:cstheme="majorHAnsi"/>
                <w:b/>
                <w:sz w:val="18"/>
                <w:szCs w:val="18"/>
                <w:lang w:val="en-US"/>
              </w:rPr>
              <w:t>International</w:t>
            </w:r>
            <w:r w:rsidR="009038AA">
              <w:rPr>
                <w:rFonts w:asciiTheme="majorHAnsi" w:hAnsiTheme="majorHAnsi" w:cstheme="majorHAnsi"/>
                <w:b/>
                <w:sz w:val="18"/>
                <w:szCs w:val="18"/>
                <w:lang w:val="en-US"/>
              </w:rPr>
              <w:t xml:space="preserve"> Treaty Bodies</w:t>
            </w:r>
          </w:p>
        </w:tc>
      </w:tr>
      <w:tr w:rsidR="00E80518" w:rsidRPr="00CB2C31" w14:paraId="0B015ECB" w14:textId="77777777" w:rsidTr="00EF4E0D">
        <w:tc>
          <w:tcPr>
            <w:tcW w:w="1442" w:type="dxa"/>
            <w:shd w:val="clear" w:color="auto" w:fill="A6A6A6" w:themeFill="background1" w:themeFillShade="A6"/>
          </w:tcPr>
          <w:p w14:paraId="0156E48B"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ICCPR</w:t>
            </w:r>
          </w:p>
        </w:tc>
        <w:tc>
          <w:tcPr>
            <w:tcW w:w="1927" w:type="dxa"/>
          </w:tcPr>
          <w:p w14:paraId="7D8A5320"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18 / 2</w:t>
            </w:r>
          </w:p>
        </w:tc>
        <w:tc>
          <w:tcPr>
            <w:tcW w:w="3118" w:type="dxa"/>
          </w:tcPr>
          <w:p w14:paraId="3EA40064"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 / Yes</w:t>
            </w:r>
          </w:p>
        </w:tc>
        <w:tc>
          <w:tcPr>
            <w:tcW w:w="2410" w:type="dxa"/>
          </w:tcPr>
          <w:p w14:paraId="34AFD4D2"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Yes / No </w:t>
            </w:r>
          </w:p>
        </w:tc>
        <w:tc>
          <w:tcPr>
            <w:tcW w:w="2268" w:type="dxa"/>
          </w:tcPr>
          <w:p w14:paraId="5884439F"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2977" w:type="dxa"/>
          </w:tcPr>
          <w:p w14:paraId="6523019A"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more than one nominee per State may serve on the Committee</w:t>
            </w:r>
          </w:p>
        </w:tc>
      </w:tr>
      <w:tr w:rsidR="00E80518" w:rsidRPr="00CB2C31" w14:paraId="05F8B15E" w14:textId="77777777" w:rsidTr="00EF4E0D">
        <w:tc>
          <w:tcPr>
            <w:tcW w:w="1442" w:type="dxa"/>
            <w:shd w:val="clear" w:color="auto" w:fill="A6A6A6" w:themeFill="background1" w:themeFillShade="A6"/>
          </w:tcPr>
          <w:p w14:paraId="4E9E5029" w14:textId="77777777" w:rsidR="00E80518" w:rsidRPr="009038AA" w:rsidRDefault="00E80518" w:rsidP="00623C41">
            <w:pPr>
              <w:rPr>
                <w:rFonts w:asciiTheme="majorHAnsi" w:hAnsiTheme="majorHAnsi" w:cstheme="majorHAnsi"/>
                <w:sz w:val="18"/>
                <w:szCs w:val="18"/>
                <w:lang w:val="en-US"/>
              </w:rPr>
            </w:pPr>
            <w:r w:rsidRPr="009038AA">
              <w:rPr>
                <w:rFonts w:asciiTheme="majorHAnsi" w:hAnsiTheme="majorHAnsi" w:cstheme="majorHAnsi"/>
                <w:sz w:val="18"/>
                <w:szCs w:val="18"/>
                <w:lang w:val="en-US"/>
              </w:rPr>
              <w:t>CEDAW</w:t>
            </w:r>
          </w:p>
        </w:tc>
        <w:tc>
          <w:tcPr>
            <w:tcW w:w="1927" w:type="dxa"/>
          </w:tcPr>
          <w:p w14:paraId="2A761A80"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23 / 1</w:t>
            </w:r>
          </w:p>
        </w:tc>
        <w:tc>
          <w:tcPr>
            <w:tcW w:w="3118" w:type="dxa"/>
          </w:tcPr>
          <w:p w14:paraId="0FE35FAB"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 / Yes</w:t>
            </w:r>
          </w:p>
        </w:tc>
        <w:tc>
          <w:tcPr>
            <w:tcW w:w="2410" w:type="dxa"/>
          </w:tcPr>
          <w:p w14:paraId="20D9DB52"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No</w:t>
            </w:r>
          </w:p>
        </w:tc>
        <w:tc>
          <w:tcPr>
            <w:tcW w:w="2268" w:type="dxa"/>
          </w:tcPr>
          <w:p w14:paraId="60BF951B"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 Yes</w:t>
            </w:r>
          </w:p>
        </w:tc>
        <w:tc>
          <w:tcPr>
            <w:tcW w:w="2977" w:type="dxa"/>
          </w:tcPr>
          <w:p w14:paraId="30C80F1E"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E80518" w:rsidRPr="00CB2C31" w14:paraId="0C2A71FB" w14:textId="77777777" w:rsidTr="00EF4E0D">
        <w:tc>
          <w:tcPr>
            <w:tcW w:w="1442" w:type="dxa"/>
            <w:shd w:val="clear" w:color="auto" w:fill="A6A6A6" w:themeFill="background1" w:themeFillShade="A6"/>
          </w:tcPr>
          <w:p w14:paraId="30B910DB" w14:textId="77777777" w:rsidR="00E80518" w:rsidRPr="009038AA" w:rsidRDefault="00E80518" w:rsidP="00623C41">
            <w:pPr>
              <w:rPr>
                <w:rFonts w:asciiTheme="majorHAnsi" w:hAnsiTheme="majorHAnsi" w:cstheme="majorHAnsi"/>
                <w:sz w:val="18"/>
                <w:szCs w:val="18"/>
                <w:lang w:val="en-US"/>
              </w:rPr>
            </w:pPr>
            <w:r w:rsidRPr="009038AA">
              <w:rPr>
                <w:rFonts w:asciiTheme="majorHAnsi" w:hAnsiTheme="majorHAnsi" w:cstheme="majorHAnsi"/>
                <w:sz w:val="18"/>
                <w:szCs w:val="18"/>
                <w:lang w:val="en-US"/>
              </w:rPr>
              <w:t>CMW</w:t>
            </w:r>
          </w:p>
        </w:tc>
        <w:tc>
          <w:tcPr>
            <w:tcW w:w="1927" w:type="dxa"/>
          </w:tcPr>
          <w:p w14:paraId="46C873C1"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14 / 1</w:t>
            </w:r>
          </w:p>
        </w:tc>
        <w:tc>
          <w:tcPr>
            <w:tcW w:w="3118" w:type="dxa"/>
          </w:tcPr>
          <w:p w14:paraId="130D96EC"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 / Yes</w:t>
            </w:r>
          </w:p>
        </w:tc>
        <w:tc>
          <w:tcPr>
            <w:tcW w:w="2410" w:type="dxa"/>
          </w:tcPr>
          <w:p w14:paraId="0B638D1E"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No</w:t>
            </w:r>
          </w:p>
        </w:tc>
        <w:tc>
          <w:tcPr>
            <w:tcW w:w="2268" w:type="dxa"/>
          </w:tcPr>
          <w:p w14:paraId="05295FEA"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2977" w:type="dxa"/>
          </w:tcPr>
          <w:p w14:paraId="1F514756"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No </w:t>
            </w:r>
          </w:p>
        </w:tc>
      </w:tr>
      <w:tr w:rsidR="00E80518" w:rsidRPr="00CB2C31" w14:paraId="61DB8DD0" w14:textId="77777777" w:rsidTr="00EF4E0D">
        <w:tc>
          <w:tcPr>
            <w:tcW w:w="1442" w:type="dxa"/>
            <w:shd w:val="clear" w:color="auto" w:fill="A6A6A6" w:themeFill="background1" w:themeFillShade="A6"/>
          </w:tcPr>
          <w:p w14:paraId="53636573" w14:textId="77777777" w:rsidR="00E80518" w:rsidRPr="009038AA" w:rsidRDefault="00E80518" w:rsidP="00623C41">
            <w:pPr>
              <w:rPr>
                <w:rFonts w:asciiTheme="majorHAnsi" w:hAnsiTheme="majorHAnsi" w:cstheme="majorHAnsi"/>
                <w:sz w:val="18"/>
                <w:szCs w:val="18"/>
                <w:lang w:val="en-US"/>
              </w:rPr>
            </w:pPr>
            <w:r w:rsidRPr="009038AA">
              <w:rPr>
                <w:rFonts w:asciiTheme="majorHAnsi" w:hAnsiTheme="majorHAnsi" w:cstheme="majorHAnsi"/>
                <w:sz w:val="18"/>
                <w:szCs w:val="18"/>
                <w:lang w:val="en-US"/>
              </w:rPr>
              <w:t>SPT</w:t>
            </w:r>
          </w:p>
        </w:tc>
        <w:tc>
          <w:tcPr>
            <w:tcW w:w="1927" w:type="dxa"/>
          </w:tcPr>
          <w:p w14:paraId="2737E09E"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25 / 2</w:t>
            </w:r>
          </w:p>
        </w:tc>
        <w:tc>
          <w:tcPr>
            <w:tcW w:w="3118" w:type="dxa"/>
          </w:tcPr>
          <w:p w14:paraId="25B0E032"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 / Yes</w:t>
            </w:r>
          </w:p>
        </w:tc>
        <w:tc>
          <w:tcPr>
            <w:tcW w:w="2410" w:type="dxa"/>
          </w:tcPr>
          <w:p w14:paraId="0D95ACFE"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2268" w:type="dxa"/>
          </w:tcPr>
          <w:p w14:paraId="421A430C"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2977" w:type="dxa"/>
          </w:tcPr>
          <w:p w14:paraId="048AF4BC"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more than one nominee per State may serve on the Committee</w:t>
            </w:r>
          </w:p>
        </w:tc>
      </w:tr>
      <w:tr w:rsidR="00E80518" w:rsidRPr="00CB2C31" w14:paraId="3BE36821" w14:textId="77777777" w:rsidTr="00EF4E0D">
        <w:tc>
          <w:tcPr>
            <w:tcW w:w="1442" w:type="dxa"/>
            <w:shd w:val="clear" w:color="auto" w:fill="A6A6A6" w:themeFill="background1" w:themeFillShade="A6"/>
          </w:tcPr>
          <w:p w14:paraId="48386796" w14:textId="77777777" w:rsidR="00E80518" w:rsidRPr="009038AA" w:rsidRDefault="00E80518" w:rsidP="00623C41">
            <w:pPr>
              <w:rPr>
                <w:rFonts w:asciiTheme="majorHAnsi" w:hAnsiTheme="majorHAnsi" w:cstheme="majorHAnsi"/>
                <w:sz w:val="18"/>
                <w:szCs w:val="18"/>
                <w:lang w:val="en-US"/>
              </w:rPr>
            </w:pPr>
            <w:r w:rsidRPr="009038AA">
              <w:rPr>
                <w:rFonts w:asciiTheme="majorHAnsi" w:hAnsiTheme="majorHAnsi" w:cstheme="majorHAnsi"/>
                <w:sz w:val="18"/>
                <w:szCs w:val="18"/>
                <w:lang w:val="en-US"/>
              </w:rPr>
              <w:t>CAT</w:t>
            </w:r>
          </w:p>
        </w:tc>
        <w:tc>
          <w:tcPr>
            <w:tcW w:w="1927" w:type="dxa"/>
          </w:tcPr>
          <w:p w14:paraId="36EACA32"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10 / 1</w:t>
            </w:r>
          </w:p>
        </w:tc>
        <w:tc>
          <w:tcPr>
            <w:tcW w:w="3118" w:type="dxa"/>
          </w:tcPr>
          <w:p w14:paraId="685BBECC"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 / Yes</w:t>
            </w:r>
          </w:p>
        </w:tc>
        <w:tc>
          <w:tcPr>
            <w:tcW w:w="2410" w:type="dxa"/>
          </w:tcPr>
          <w:p w14:paraId="22B381C3"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No</w:t>
            </w:r>
          </w:p>
        </w:tc>
        <w:tc>
          <w:tcPr>
            <w:tcW w:w="2268" w:type="dxa"/>
          </w:tcPr>
          <w:p w14:paraId="5B85CDA9"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 No</w:t>
            </w:r>
          </w:p>
        </w:tc>
        <w:tc>
          <w:tcPr>
            <w:tcW w:w="2977" w:type="dxa"/>
          </w:tcPr>
          <w:p w14:paraId="372FB299"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E80518" w:rsidRPr="00CB2C31" w14:paraId="1A010CCE" w14:textId="77777777" w:rsidTr="00EF4E0D">
        <w:tc>
          <w:tcPr>
            <w:tcW w:w="1442" w:type="dxa"/>
            <w:shd w:val="clear" w:color="auto" w:fill="A6A6A6" w:themeFill="background1" w:themeFillShade="A6"/>
          </w:tcPr>
          <w:p w14:paraId="1E1E9DF2" w14:textId="77777777" w:rsidR="00E80518" w:rsidRPr="009038AA" w:rsidRDefault="00E80518" w:rsidP="00623C41">
            <w:pPr>
              <w:rPr>
                <w:rFonts w:asciiTheme="majorHAnsi" w:hAnsiTheme="majorHAnsi" w:cstheme="majorHAnsi"/>
                <w:sz w:val="18"/>
                <w:szCs w:val="18"/>
                <w:lang w:val="en-US"/>
              </w:rPr>
            </w:pPr>
            <w:r w:rsidRPr="009038AA">
              <w:rPr>
                <w:rFonts w:asciiTheme="majorHAnsi" w:hAnsiTheme="majorHAnsi" w:cstheme="majorHAnsi"/>
                <w:sz w:val="18"/>
                <w:szCs w:val="18"/>
                <w:lang w:val="en-US"/>
              </w:rPr>
              <w:t>CRPD</w:t>
            </w:r>
          </w:p>
        </w:tc>
        <w:tc>
          <w:tcPr>
            <w:tcW w:w="1927" w:type="dxa"/>
          </w:tcPr>
          <w:p w14:paraId="179E0C3B"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12 / N/A</w:t>
            </w:r>
          </w:p>
        </w:tc>
        <w:tc>
          <w:tcPr>
            <w:tcW w:w="3118" w:type="dxa"/>
          </w:tcPr>
          <w:p w14:paraId="2547F992"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 / Yes</w:t>
            </w:r>
          </w:p>
        </w:tc>
        <w:tc>
          <w:tcPr>
            <w:tcW w:w="2410" w:type="dxa"/>
          </w:tcPr>
          <w:p w14:paraId="553E0A1D"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2268" w:type="dxa"/>
          </w:tcPr>
          <w:p w14:paraId="4816DD97"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2977" w:type="dxa"/>
          </w:tcPr>
          <w:p w14:paraId="303FC8A4"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E80518" w:rsidRPr="00CB2C31" w14:paraId="7218462C" w14:textId="77777777" w:rsidTr="00EF4E0D">
        <w:tc>
          <w:tcPr>
            <w:tcW w:w="1442" w:type="dxa"/>
            <w:shd w:val="clear" w:color="auto" w:fill="A6A6A6" w:themeFill="background1" w:themeFillShade="A6"/>
          </w:tcPr>
          <w:p w14:paraId="3554EA6B" w14:textId="77777777" w:rsidR="00E80518" w:rsidRPr="009038AA" w:rsidRDefault="00E80518" w:rsidP="00623C41">
            <w:pPr>
              <w:rPr>
                <w:rFonts w:asciiTheme="majorHAnsi" w:hAnsiTheme="majorHAnsi" w:cstheme="majorHAnsi"/>
                <w:sz w:val="18"/>
                <w:szCs w:val="18"/>
                <w:lang w:val="en-US"/>
              </w:rPr>
            </w:pPr>
            <w:r w:rsidRPr="009038AA">
              <w:rPr>
                <w:rFonts w:asciiTheme="majorHAnsi" w:hAnsiTheme="majorHAnsi" w:cstheme="majorHAnsi"/>
                <w:sz w:val="18"/>
                <w:szCs w:val="18"/>
                <w:lang w:val="en-US"/>
              </w:rPr>
              <w:t>ICESCR</w:t>
            </w:r>
          </w:p>
        </w:tc>
        <w:tc>
          <w:tcPr>
            <w:tcW w:w="1927" w:type="dxa"/>
          </w:tcPr>
          <w:p w14:paraId="15B1CB76"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18 / N/A</w:t>
            </w:r>
          </w:p>
        </w:tc>
        <w:tc>
          <w:tcPr>
            <w:tcW w:w="3118" w:type="dxa"/>
          </w:tcPr>
          <w:p w14:paraId="60D7375F"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N/A / Yes / Not clear</w:t>
            </w:r>
          </w:p>
        </w:tc>
        <w:tc>
          <w:tcPr>
            <w:tcW w:w="2410" w:type="dxa"/>
          </w:tcPr>
          <w:p w14:paraId="3B74189F"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Yes / No </w:t>
            </w:r>
          </w:p>
        </w:tc>
        <w:tc>
          <w:tcPr>
            <w:tcW w:w="2268" w:type="dxa"/>
          </w:tcPr>
          <w:p w14:paraId="6FE14ED2"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2977" w:type="dxa"/>
          </w:tcPr>
          <w:p w14:paraId="3199BDEF"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E80518" w:rsidRPr="00CB2C31" w14:paraId="3303938D" w14:textId="77777777" w:rsidTr="00EF4E0D">
        <w:tc>
          <w:tcPr>
            <w:tcW w:w="1442" w:type="dxa"/>
            <w:shd w:val="clear" w:color="auto" w:fill="A6A6A6" w:themeFill="background1" w:themeFillShade="A6"/>
          </w:tcPr>
          <w:p w14:paraId="52ED424F" w14:textId="77777777" w:rsidR="00E80518" w:rsidRPr="009038AA" w:rsidRDefault="00E80518" w:rsidP="00623C41">
            <w:pPr>
              <w:rPr>
                <w:rFonts w:asciiTheme="majorHAnsi" w:hAnsiTheme="majorHAnsi" w:cstheme="majorHAnsi"/>
                <w:sz w:val="18"/>
                <w:szCs w:val="18"/>
                <w:lang w:val="en-US"/>
              </w:rPr>
            </w:pPr>
            <w:r w:rsidRPr="009038AA">
              <w:rPr>
                <w:rFonts w:asciiTheme="majorHAnsi" w:hAnsiTheme="majorHAnsi" w:cstheme="majorHAnsi"/>
                <w:sz w:val="18"/>
                <w:szCs w:val="18"/>
                <w:lang w:val="en-US"/>
              </w:rPr>
              <w:t>CERD</w:t>
            </w:r>
          </w:p>
        </w:tc>
        <w:tc>
          <w:tcPr>
            <w:tcW w:w="1927" w:type="dxa"/>
          </w:tcPr>
          <w:p w14:paraId="7315B015"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18 / 1</w:t>
            </w:r>
          </w:p>
        </w:tc>
        <w:tc>
          <w:tcPr>
            <w:tcW w:w="3118" w:type="dxa"/>
          </w:tcPr>
          <w:p w14:paraId="2210F83D"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No / Yes</w:t>
            </w:r>
          </w:p>
        </w:tc>
        <w:tc>
          <w:tcPr>
            <w:tcW w:w="2410" w:type="dxa"/>
          </w:tcPr>
          <w:p w14:paraId="000FF124"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No</w:t>
            </w:r>
          </w:p>
        </w:tc>
        <w:tc>
          <w:tcPr>
            <w:tcW w:w="2268" w:type="dxa"/>
          </w:tcPr>
          <w:p w14:paraId="7EA28F4C"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2977" w:type="dxa"/>
          </w:tcPr>
          <w:p w14:paraId="3D6050AB"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more than one nominee per State may serve on the Committee</w:t>
            </w:r>
          </w:p>
        </w:tc>
      </w:tr>
      <w:tr w:rsidR="00E80518" w:rsidRPr="00CB2C31" w14:paraId="77EA48A1" w14:textId="77777777" w:rsidTr="00EF4E0D">
        <w:tc>
          <w:tcPr>
            <w:tcW w:w="1442" w:type="dxa"/>
            <w:shd w:val="clear" w:color="auto" w:fill="A6A6A6" w:themeFill="background1" w:themeFillShade="A6"/>
          </w:tcPr>
          <w:p w14:paraId="2B40637D" w14:textId="77777777" w:rsidR="00E80518" w:rsidRPr="009038AA" w:rsidRDefault="00E80518" w:rsidP="00623C41">
            <w:pPr>
              <w:rPr>
                <w:rFonts w:asciiTheme="majorHAnsi" w:hAnsiTheme="majorHAnsi" w:cstheme="majorHAnsi"/>
                <w:sz w:val="18"/>
                <w:szCs w:val="18"/>
                <w:lang w:val="en-US"/>
              </w:rPr>
            </w:pPr>
            <w:r w:rsidRPr="009038AA">
              <w:rPr>
                <w:rFonts w:asciiTheme="majorHAnsi" w:hAnsiTheme="majorHAnsi" w:cstheme="majorHAnsi"/>
                <w:sz w:val="18"/>
                <w:szCs w:val="18"/>
                <w:lang w:val="en-US"/>
              </w:rPr>
              <w:t>CRC</w:t>
            </w:r>
          </w:p>
        </w:tc>
        <w:tc>
          <w:tcPr>
            <w:tcW w:w="1927" w:type="dxa"/>
          </w:tcPr>
          <w:p w14:paraId="60356F07"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18 / 1</w:t>
            </w:r>
          </w:p>
        </w:tc>
        <w:tc>
          <w:tcPr>
            <w:tcW w:w="3118" w:type="dxa"/>
          </w:tcPr>
          <w:p w14:paraId="7CF1375B"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 / Yes</w:t>
            </w:r>
          </w:p>
        </w:tc>
        <w:tc>
          <w:tcPr>
            <w:tcW w:w="2410" w:type="dxa"/>
          </w:tcPr>
          <w:p w14:paraId="4CE599C4"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No</w:t>
            </w:r>
          </w:p>
        </w:tc>
        <w:tc>
          <w:tcPr>
            <w:tcW w:w="2268" w:type="dxa"/>
          </w:tcPr>
          <w:p w14:paraId="1F48C9D9"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 Yes</w:t>
            </w:r>
          </w:p>
        </w:tc>
        <w:tc>
          <w:tcPr>
            <w:tcW w:w="2977" w:type="dxa"/>
          </w:tcPr>
          <w:p w14:paraId="467454E9"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more than one nominee per State may serve on the Committee</w:t>
            </w:r>
          </w:p>
        </w:tc>
      </w:tr>
      <w:tr w:rsidR="00E80518" w:rsidRPr="00CB2C31" w14:paraId="334694CB" w14:textId="77777777" w:rsidTr="009038AA">
        <w:trPr>
          <w:trHeight w:val="58"/>
        </w:trPr>
        <w:tc>
          <w:tcPr>
            <w:tcW w:w="1442" w:type="dxa"/>
            <w:tcBorders>
              <w:bottom w:val="single" w:sz="4" w:space="0" w:color="auto"/>
            </w:tcBorders>
            <w:shd w:val="clear" w:color="auto" w:fill="A6A6A6" w:themeFill="background1" w:themeFillShade="A6"/>
          </w:tcPr>
          <w:p w14:paraId="71F14E75" w14:textId="77777777" w:rsidR="00E80518" w:rsidRPr="009038AA" w:rsidRDefault="00E80518" w:rsidP="00623C41">
            <w:pPr>
              <w:rPr>
                <w:rFonts w:asciiTheme="majorHAnsi" w:hAnsiTheme="majorHAnsi" w:cstheme="majorHAnsi"/>
                <w:sz w:val="18"/>
                <w:szCs w:val="18"/>
                <w:lang w:val="en-US"/>
              </w:rPr>
            </w:pPr>
            <w:r w:rsidRPr="009038AA">
              <w:rPr>
                <w:rFonts w:asciiTheme="majorHAnsi" w:hAnsiTheme="majorHAnsi" w:cstheme="majorHAnsi"/>
                <w:sz w:val="18"/>
                <w:szCs w:val="18"/>
                <w:lang w:val="en-US"/>
              </w:rPr>
              <w:t>CED</w:t>
            </w:r>
          </w:p>
        </w:tc>
        <w:tc>
          <w:tcPr>
            <w:tcW w:w="1927" w:type="dxa"/>
            <w:tcBorders>
              <w:bottom w:val="single" w:sz="4" w:space="0" w:color="auto"/>
            </w:tcBorders>
          </w:tcPr>
          <w:p w14:paraId="515BD604"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10 / N/A</w:t>
            </w:r>
          </w:p>
        </w:tc>
        <w:tc>
          <w:tcPr>
            <w:tcW w:w="3118" w:type="dxa"/>
            <w:tcBorders>
              <w:bottom w:val="single" w:sz="4" w:space="0" w:color="auto"/>
            </w:tcBorders>
          </w:tcPr>
          <w:p w14:paraId="4B2E2681"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 / Yes</w:t>
            </w:r>
          </w:p>
        </w:tc>
        <w:tc>
          <w:tcPr>
            <w:tcW w:w="2410" w:type="dxa"/>
            <w:tcBorders>
              <w:bottom w:val="single" w:sz="4" w:space="0" w:color="auto"/>
            </w:tcBorders>
          </w:tcPr>
          <w:p w14:paraId="4487EE8A"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2268" w:type="dxa"/>
            <w:tcBorders>
              <w:bottom w:val="single" w:sz="4" w:space="0" w:color="auto"/>
            </w:tcBorders>
          </w:tcPr>
          <w:p w14:paraId="2DD70F82"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 No</w:t>
            </w:r>
          </w:p>
        </w:tc>
        <w:tc>
          <w:tcPr>
            <w:tcW w:w="2977" w:type="dxa"/>
            <w:tcBorders>
              <w:bottom w:val="single" w:sz="4" w:space="0" w:color="auto"/>
            </w:tcBorders>
          </w:tcPr>
          <w:p w14:paraId="2E7AACDE"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No </w:t>
            </w:r>
          </w:p>
        </w:tc>
      </w:tr>
      <w:tr w:rsidR="009038AA" w:rsidRPr="00CB2C31" w14:paraId="1D152F10" w14:textId="77777777" w:rsidTr="009038AA">
        <w:trPr>
          <w:trHeight w:val="58"/>
        </w:trPr>
        <w:tc>
          <w:tcPr>
            <w:tcW w:w="14142" w:type="dxa"/>
            <w:gridSpan w:val="6"/>
            <w:shd w:val="pct10" w:color="auto" w:fill="auto"/>
          </w:tcPr>
          <w:p w14:paraId="536321D1" w14:textId="5C057212" w:rsidR="009038AA" w:rsidRPr="009038AA" w:rsidRDefault="009038AA" w:rsidP="00623C41">
            <w:pPr>
              <w:rPr>
                <w:rFonts w:asciiTheme="majorHAnsi" w:hAnsiTheme="majorHAnsi" w:cstheme="majorHAnsi"/>
                <w:b/>
                <w:sz w:val="18"/>
                <w:szCs w:val="18"/>
                <w:lang w:val="en-US"/>
              </w:rPr>
            </w:pPr>
            <w:r>
              <w:rPr>
                <w:rFonts w:asciiTheme="majorHAnsi" w:hAnsiTheme="majorHAnsi" w:cstheme="majorHAnsi"/>
                <w:b/>
                <w:sz w:val="18"/>
                <w:szCs w:val="18"/>
                <w:lang w:val="en-US"/>
              </w:rPr>
              <w:t>Regional/Other</w:t>
            </w:r>
          </w:p>
        </w:tc>
      </w:tr>
      <w:tr w:rsidR="00D717A4" w:rsidRPr="00CB2C31" w14:paraId="087B55C3" w14:textId="77777777" w:rsidTr="00127CD7">
        <w:tc>
          <w:tcPr>
            <w:tcW w:w="1442" w:type="dxa"/>
            <w:shd w:val="clear" w:color="auto" w:fill="A6A6A6" w:themeFill="background1" w:themeFillShade="A6"/>
          </w:tcPr>
          <w:p w14:paraId="24875A3D" w14:textId="77777777" w:rsidR="00D717A4" w:rsidRPr="00CB2C31" w:rsidRDefault="00D717A4"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ICC</w:t>
            </w:r>
          </w:p>
        </w:tc>
        <w:tc>
          <w:tcPr>
            <w:tcW w:w="1927" w:type="dxa"/>
          </w:tcPr>
          <w:p w14:paraId="779D9279"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18 / 1</w:t>
            </w:r>
          </w:p>
        </w:tc>
        <w:tc>
          <w:tcPr>
            <w:tcW w:w="3118" w:type="dxa"/>
          </w:tcPr>
          <w:p w14:paraId="730934A0"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 / Yes</w:t>
            </w:r>
          </w:p>
        </w:tc>
        <w:tc>
          <w:tcPr>
            <w:tcW w:w="2410" w:type="dxa"/>
          </w:tcPr>
          <w:p w14:paraId="4334C3F4"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2268" w:type="dxa"/>
          </w:tcPr>
          <w:p w14:paraId="5A4E3BC9"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 Yes</w:t>
            </w:r>
          </w:p>
        </w:tc>
        <w:tc>
          <w:tcPr>
            <w:tcW w:w="2977" w:type="dxa"/>
          </w:tcPr>
          <w:p w14:paraId="06586730"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One judge per State</w:t>
            </w:r>
          </w:p>
        </w:tc>
      </w:tr>
      <w:tr w:rsidR="00D717A4" w:rsidRPr="00CB2C31" w14:paraId="6E1E78F8" w14:textId="77777777" w:rsidTr="00127CD7">
        <w:tc>
          <w:tcPr>
            <w:tcW w:w="1442" w:type="dxa"/>
            <w:shd w:val="clear" w:color="auto" w:fill="A6A6A6" w:themeFill="background1" w:themeFillShade="A6"/>
          </w:tcPr>
          <w:p w14:paraId="7E95CB97" w14:textId="77777777" w:rsidR="00D717A4" w:rsidRPr="00CB2C31" w:rsidRDefault="00D717A4"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ICC Assembly</w:t>
            </w:r>
          </w:p>
        </w:tc>
        <w:tc>
          <w:tcPr>
            <w:tcW w:w="1927" w:type="dxa"/>
          </w:tcPr>
          <w:p w14:paraId="53B05112" w14:textId="4536A7F0"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18 (plus a President and two Vice Presidents) /1 (plus alternates and advisers)</w:t>
            </w:r>
          </w:p>
        </w:tc>
        <w:tc>
          <w:tcPr>
            <w:tcW w:w="3118" w:type="dxa"/>
          </w:tcPr>
          <w:p w14:paraId="2E230B10"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No / No</w:t>
            </w:r>
          </w:p>
        </w:tc>
        <w:tc>
          <w:tcPr>
            <w:tcW w:w="2410" w:type="dxa"/>
          </w:tcPr>
          <w:p w14:paraId="116C3164"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Yes / No </w:t>
            </w:r>
          </w:p>
        </w:tc>
        <w:tc>
          <w:tcPr>
            <w:tcW w:w="2268" w:type="dxa"/>
          </w:tcPr>
          <w:p w14:paraId="7EAF953A"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 Yes</w:t>
            </w:r>
          </w:p>
        </w:tc>
        <w:tc>
          <w:tcPr>
            <w:tcW w:w="2977" w:type="dxa"/>
          </w:tcPr>
          <w:p w14:paraId="30FCD259"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D717A4" w:rsidRPr="00CB2C31" w14:paraId="081481EA" w14:textId="77777777" w:rsidTr="00127CD7">
        <w:tc>
          <w:tcPr>
            <w:tcW w:w="1442" w:type="dxa"/>
            <w:shd w:val="clear" w:color="auto" w:fill="A6A6A6" w:themeFill="background1" w:themeFillShade="A6"/>
          </w:tcPr>
          <w:p w14:paraId="40D92F1C" w14:textId="77777777" w:rsidR="00D717A4" w:rsidRPr="00CB2C31" w:rsidRDefault="00D717A4"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ECtHR</w:t>
            </w:r>
          </w:p>
        </w:tc>
        <w:tc>
          <w:tcPr>
            <w:tcW w:w="1927" w:type="dxa"/>
          </w:tcPr>
          <w:p w14:paraId="66F11531"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Equal to number of the Member States / 3</w:t>
            </w:r>
          </w:p>
        </w:tc>
        <w:tc>
          <w:tcPr>
            <w:tcW w:w="3118" w:type="dxa"/>
          </w:tcPr>
          <w:p w14:paraId="49C6F8B4"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 / Yes</w:t>
            </w:r>
          </w:p>
        </w:tc>
        <w:tc>
          <w:tcPr>
            <w:tcW w:w="2410" w:type="dxa"/>
          </w:tcPr>
          <w:p w14:paraId="713FED8D"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2268" w:type="dxa"/>
          </w:tcPr>
          <w:p w14:paraId="3C892419"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 No</w:t>
            </w:r>
          </w:p>
        </w:tc>
        <w:tc>
          <w:tcPr>
            <w:tcW w:w="2977" w:type="dxa"/>
          </w:tcPr>
          <w:p w14:paraId="743A9FE1"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candidate should be submitted whose election might result in the need to appoint an ad hoc judge</w:t>
            </w:r>
          </w:p>
        </w:tc>
      </w:tr>
      <w:tr w:rsidR="009038AA" w:rsidRPr="003F58CB" w14:paraId="28CC1549" w14:textId="77777777" w:rsidTr="00127CD7">
        <w:tc>
          <w:tcPr>
            <w:tcW w:w="1442" w:type="dxa"/>
            <w:shd w:val="clear" w:color="auto" w:fill="A6A6A6" w:themeFill="background1" w:themeFillShade="A6"/>
          </w:tcPr>
          <w:p w14:paraId="1469CBD1" w14:textId="77777777" w:rsidR="009038AA" w:rsidRPr="009038AA" w:rsidRDefault="009038AA" w:rsidP="00127CD7">
            <w:pPr>
              <w:rPr>
                <w:rFonts w:asciiTheme="majorHAnsi" w:hAnsiTheme="majorHAnsi" w:cstheme="majorHAnsi"/>
                <w:sz w:val="18"/>
                <w:szCs w:val="18"/>
                <w:lang w:val="en-US"/>
              </w:rPr>
            </w:pPr>
            <w:r w:rsidRPr="009038AA">
              <w:rPr>
                <w:rFonts w:asciiTheme="majorHAnsi" w:hAnsiTheme="majorHAnsi" w:cstheme="majorHAnsi"/>
                <w:sz w:val="18"/>
                <w:szCs w:val="18"/>
                <w:lang w:val="en-US"/>
              </w:rPr>
              <w:t>ECPT</w:t>
            </w:r>
          </w:p>
        </w:tc>
        <w:tc>
          <w:tcPr>
            <w:tcW w:w="1927" w:type="dxa"/>
          </w:tcPr>
          <w:p w14:paraId="39BCBEDC" w14:textId="77777777" w:rsidR="009038AA" w:rsidRPr="009038AA" w:rsidRDefault="009038AA"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Equal to number of the Parties / 3</w:t>
            </w:r>
          </w:p>
        </w:tc>
        <w:tc>
          <w:tcPr>
            <w:tcW w:w="3118" w:type="dxa"/>
          </w:tcPr>
          <w:p w14:paraId="18F2BEAA" w14:textId="77777777" w:rsidR="009038AA" w:rsidRPr="009038AA" w:rsidRDefault="009038AA"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Yes / Yes / Yes</w:t>
            </w:r>
          </w:p>
        </w:tc>
        <w:tc>
          <w:tcPr>
            <w:tcW w:w="2410" w:type="dxa"/>
          </w:tcPr>
          <w:p w14:paraId="338930D6" w14:textId="77777777" w:rsidR="009038AA" w:rsidRPr="009038AA" w:rsidRDefault="009038AA"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 xml:space="preserve">No / No </w:t>
            </w:r>
          </w:p>
        </w:tc>
        <w:tc>
          <w:tcPr>
            <w:tcW w:w="2268" w:type="dxa"/>
          </w:tcPr>
          <w:p w14:paraId="31235A9C" w14:textId="77777777" w:rsidR="009038AA" w:rsidRPr="009038AA" w:rsidRDefault="009038AA"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No / No</w:t>
            </w:r>
          </w:p>
        </w:tc>
        <w:tc>
          <w:tcPr>
            <w:tcW w:w="2977" w:type="dxa"/>
          </w:tcPr>
          <w:p w14:paraId="3457D67C" w14:textId="77777777" w:rsidR="009038AA" w:rsidRPr="009038AA" w:rsidRDefault="009038AA"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No</w:t>
            </w:r>
          </w:p>
        </w:tc>
      </w:tr>
      <w:tr w:rsidR="009038AA" w:rsidRPr="003F58CB" w14:paraId="24C02240" w14:textId="77777777" w:rsidTr="00127CD7">
        <w:tc>
          <w:tcPr>
            <w:tcW w:w="1442" w:type="dxa"/>
            <w:shd w:val="clear" w:color="auto" w:fill="A6A6A6" w:themeFill="background1" w:themeFillShade="A6"/>
          </w:tcPr>
          <w:p w14:paraId="38595AE0" w14:textId="77777777" w:rsidR="009038AA" w:rsidRPr="009038AA" w:rsidRDefault="009038AA" w:rsidP="00127CD7">
            <w:pPr>
              <w:rPr>
                <w:rFonts w:asciiTheme="majorHAnsi" w:hAnsiTheme="majorHAnsi" w:cstheme="majorHAnsi"/>
                <w:sz w:val="18"/>
                <w:szCs w:val="18"/>
                <w:lang w:val="en-US"/>
              </w:rPr>
            </w:pPr>
            <w:r w:rsidRPr="009038AA">
              <w:rPr>
                <w:rFonts w:asciiTheme="majorHAnsi" w:hAnsiTheme="majorHAnsi" w:cstheme="majorHAnsi"/>
                <w:sz w:val="18"/>
                <w:szCs w:val="18"/>
                <w:lang w:val="en-US"/>
              </w:rPr>
              <w:t>ACHPR</w:t>
            </w:r>
          </w:p>
        </w:tc>
        <w:tc>
          <w:tcPr>
            <w:tcW w:w="1927" w:type="dxa"/>
          </w:tcPr>
          <w:p w14:paraId="5700168B" w14:textId="77777777" w:rsidR="009038AA" w:rsidRPr="009038AA" w:rsidRDefault="009038AA"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11 / Max 2</w:t>
            </w:r>
          </w:p>
        </w:tc>
        <w:tc>
          <w:tcPr>
            <w:tcW w:w="3118" w:type="dxa"/>
          </w:tcPr>
          <w:p w14:paraId="396DC42A" w14:textId="77777777" w:rsidR="009038AA" w:rsidRPr="009038AA" w:rsidRDefault="009038AA"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 xml:space="preserve">Yes / Yes / Yes </w:t>
            </w:r>
          </w:p>
        </w:tc>
        <w:tc>
          <w:tcPr>
            <w:tcW w:w="2410" w:type="dxa"/>
          </w:tcPr>
          <w:p w14:paraId="430B47CA" w14:textId="77777777" w:rsidR="009038AA" w:rsidRPr="009038AA" w:rsidRDefault="009038AA"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 xml:space="preserve">Yes / No </w:t>
            </w:r>
          </w:p>
        </w:tc>
        <w:tc>
          <w:tcPr>
            <w:tcW w:w="2268" w:type="dxa"/>
          </w:tcPr>
          <w:p w14:paraId="22CDE3A1" w14:textId="77777777" w:rsidR="009038AA" w:rsidRPr="009038AA" w:rsidRDefault="009038AA"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No / No</w:t>
            </w:r>
          </w:p>
        </w:tc>
        <w:tc>
          <w:tcPr>
            <w:tcW w:w="2977" w:type="dxa"/>
          </w:tcPr>
          <w:p w14:paraId="4FA269C2" w14:textId="77777777" w:rsidR="009038AA" w:rsidRPr="009038AA" w:rsidRDefault="009038AA"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Only one national of the same State</w:t>
            </w:r>
          </w:p>
        </w:tc>
      </w:tr>
      <w:tr w:rsidR="00D717A4" w:rsidRPr="009038AA" w14:paraId="28D25FED" w14:textId="77777777" w:rsidTr="00127CD7">
        <w:tc>
          <w:tcPr>
            <w:tcW w:w="1442" w:type="dxa"/>
            <w:shd w:val="clear" w:color="auto" w:fill="A6A6A6" w:themeFill="background1" w:themeFillShade="A6"/>
          </w:tcPr>
          <w:p w14:paraId="7C56782A" w14:textId="77777777" w:rsidR="00D717A4" w:rsidRPr="009038AA" w:rsidRDefault="00D717A4" w:rsidP="00127CD7">
            <w:pPr>
              <w:rPr>
                <w:rFonts w:asciiTheme="majorHAnsi" w:hAnsiTheme="majorHAnsi" w:cstheme="majorHAnsi"/>
                <w:sz w:val="18"/>
                <w:szCs w:val="18"/>
                <w:lang w:val="en-US"/>
              </w:rPr>
            </w:pPr>
            <w:r w:rsidRPr="009038AA">
              <w:rPr>
                <w:rFonts w:asciiTheme="majorHAnsi" w:hAnsiTheme="majorHAnsi" w:cstheme="majorHAnsi"/>
                <w:sz w:val="18"/>
                <w:szCs w:val="18"/>
                <w:lang w:val="en-US"/>
              </w:rPr>
              <w:t>IACHR</w:t>
            </w:r>
          </w:p>
        </w:tc>
        <w:tc>
          <w:tcPr>
            <w:tcW w:w="1927" w:type="dxa"/>
          </w:tcPr>
          <w:p w14:paraId="1C4CE26A" w14:textId="77777777" w:rsidR="00D717A4" w:rsidRPr="009038AA" w:rsidRDefault="00D717A4"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7 / 3</w:t>
            </w:r>
          </w:p>
        </w:tc>
        <w:tc>
          <w:tcPr>
            <w:tcW w:w="3118" w:type="dxa"/>
          </w:tcPr>
          <w:p w14:paraId="4C96B96D" w14:textId="77777777" w:rsidR="00D717A4" w:rsidRPr="009038AA" w:rsidRDefault="00D717A4"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Yes / Yes / Yes</w:t>
            </w:r>
          </w:p>
        </w:tc>
        <w:tc>
          <w:tcPr>
            <w:tcW w:w="2410" w:type="dxa"/>
          </w:tcPr>
          <w:p w14:paraId="4D5457EC" w14:textId="77777777" w:rsidR="00D717A4" w:rsidRPr="009038AA" w:rsidRDefault="00D717A4"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No / No</w:t>
            </w:r>
          </w:p>
        </w:tc>
        <w:tc>
          <w:tcPr>
            <w:tcW w:w="2268" w:type="dxa"/>
          </w:tcPr>
          <w:p w14:paraId="37BDE3F5" w14:textId="77777777" w:rsidR="00D717A4" w:rsidRPr="009038AA" w:rsidRDefault="00D717A4"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No / No</w:t>
            </w:r>
          </w:p>
        </w:tc>
        <w:tc>
          <w:tcPr>
            <w:tcW w:w="2977" w:type="dxa"/>
          </w:tcPr>
          <w:p w14:paraId="0ADF0513" w14:textId="77777777" w:rsidR="00D717A4" w:rsidRPr="009038AA" w:rsidRDefault="00D717A4"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Only one national per State</w:t>
            </w:r>
          </w:p>
        </w:tc>
      </w:tr>
      <w:tr w:rsidR="00E80518" w:rsidRPr="00CB2C31" w14:paraId="25365222" w14:textId="77777777" w:rsidTr="00EF4E0D">
        <w:tc>
          <w:tcPr>
            <w:tcW w:w="1442" w:type="dxa"/>
            <w:shd w:val="clear" w:color="auto" w:fill="A6A6A6" w:themeFill="background1" w:themeFillShade="A6"/>
          </w:tcPr>
          <w:p w14:paraId="5CAF0C46" w14:textId="77777777" w:rsidR="00E80518" w:rsidRPr="009038AA" w:rsidRDefault="00E80518" w:rsidP="00623C41">
            <w:pPr>
              <w:rPr>
                <w:rFonts w:asciiTheme="majorHAnsi" w:hAnsiTheme="majorHAnsi" w:cstheme="majorHAnsi"/>
                <w:sz w:val="18"/>
                <w:szCs w:val="18"/>
                <w:lang w:val="en-US"/>
              </w:rPr>
            </w:pPr>
            <w:r w:rsidRPr="00D717A4">
              <w:rPr>
                <w:rFonts w:asciiTheme="majorHAnsi" w:hAnsiTheme="majorHAnsi" w:cstheme="majorHAnsi"/>
                <w:sz w:val="18"/>
                <w:szCs w:val="18"/>
                <w:lang w:val="en-US"/>
              </w:rPr>
              <w:t>IACtHR</w:t>
            </w:r>
          </w:p>
        </w:tc>
        <w:tc>
          <w:tcPr>
            <w:tcW w:w="1927" w:type="dxa"/>
          </w:tcPr>
          <w:p w14:paraId="4276B178" w14:textId="77777777" w:rsidR="00E80518" w:rsidRPr="009038AA" w:rsidRDefault="00E80518"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7 / 3</w:t>
            </w:r>
          </w:p>
        </w:tc>
        <w:tc>
          <w:tcPr>
            <w:tcW w:w="3118" w:type="dxa"/>
          </w:tcPr>
          <w:p w14:paraId="5E8332D7" w14:textId="77777777" w:rsidR="00E80518" w:rsidRPr="009038AA" w:rsidRDefault="00E80518"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Yes / Yes / Yes</w:t>
            </w:r>
          </w:p>
        </w:tc>
        <w:tc>
          <w:tcPr>
            <w:tcW w:w="2410" w:type="dxa"/>
          </w:tcPr>
          <w:p w14:paraId="6A4251AC" w14:textId="77777777" w:rsidR="00E80518" w:rsidRPr="009038AA" w:rsidRDefault="00E80518"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No / No</w:t>
            </w:r>
          </w:p>
        </w:tc>
        <w:tc>
          <w:tcPr>
            <w:tcW w:w="2268" w:type="dxa"/>
          </w:tcPr>
          <w:p w14:paraId="0D441F16" w14:textId="77777777" w:rsidR="00E80518" w:rsidRPr="009038AA" w:rsidRDefault="00E80518"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No / No</w:t>
            </w:r>
          </w:p>
        </w:tc>
        <w:tc>
          <w:tcPr>
            <w:tcW w:w="2977" w:type="dxa"/>
          </w:tcPr>
          <w:p w14:paraId="09693C2D" w14:textId="77777777" w:rsidR="00E80518" w:rsidRPr="009038AA" w:rsidRDefault="00E80518"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Only one national per State</w:t>
            </w:r>
          </w:p>
        </w:tc>
      </w:tr>
      <w:tr w:rsidR="00E80518" w:rsidRPr="00CB2C31" w14:paraId="4E8F6AE0" w14:textId="77777777" w:rsidTr="003F58CB">
        <w:tc>
          <w:tcPr>
            <w:tcW w:w="1442" w:type="dxa"/>
            <w:tcBorders>
              <w:bottom w:val="single" w:sz="4" w:space="0" w:color="auto"/>
            </w:tcBorders>
            <w:shd w:val="clear" w:color="auto" w:fill="A6A6A6" w:themeFill="background1" w:themeFillShade="A6"/>
          </w:tcPr>
          <w:p w14:paraId="2FF99647" w14:textId="77777777" w:rsidR="00E80518" w:rsidRPr="009038AA" w:rsidRDefault="00E80518" w:rsidP="00623C41">
            <w:pPr>
              <w:rPr>
                <w:rFonts w:asciiTheme="majorHAnsi" w:hAnsiTheme="majorHAnsi" w:cstheme="majorHAnsi"/>
                <w:sz w:val="18"/>
                <w:szCs w:val="18"/>
                <w:lang w:val="en-US"/>
              </w:rPr>
            </w:pPr>
            <w:r w:rsidRPr="009038AA">
              <w:rPr>
                <w:rFonts w:asciiTheme="majorHAnsi" w:hAnsiTheme="majorHAnsi" w:cstheme="majorHAnsi"/>
                <w:sz w:val="18"/>
                <w:szCs w:val="18"/>
                <w:lang w:val="en-US"/>
              </w:rPr>
              <w:t>ACtHPR</w:t>
            </w:r>
          </w:p>
        </w:tc>
        <w:tc>
          <w:tcPr>
            <w:tcW w:w="1927" w:type="dxa"/>
            <w:tcBorders>
              <w:bottom w:val="single" w:sz="4" w:space="0" w:color="auto"/>
            </w:tcBorders>
          </w:tcPr>
          <w:p w14:paraId="1506F6EA" w14:textId="77777777" w:rsidR="00E80518" w:rsidRPr="009038AA" w:rsidRDefault="00E80518"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11 / 3</w:t>
            </w:r>
          </w:p>
        </w:tc>
        <w:tc>
          <w:tcPr>
            <w:tcW w:w="3118" w:type="dxa"/>
            <w:tcBorders>
              <w:bottom w:val="single" w:sz="4" w:space="0" w:color="auto"/>
            </w:tcBorders>
          </w:tcPr>
          <w:p w14:paraId="473B2FAC" w14:textId="77777777" w:rsidR="00E80518" w:rsidRPr="009038AA" w:rsidRDefault="00E80518"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 xml:space="preserve">Yes / Yes / Yes </w:t>
            </w:r>
          </w:p>
        </w:tc>
        <w:tc>
          <w:tcPr>
            <w:tcW w:w="2410" w:type="dxa"/>
            <w:tcBorders>
              <w:bottom w:val="single" w:sz="4" w:space="0" w:color="auto"/>
            </w:tcBorders>
          </w:tcPr>
          <w:p w14:paraId="44A0A9F5" w14:textId="77777777" w:rsidR="00E80518" w:rsidRPr="009038AA" w:rsidRDefault="00E80518"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Yes / Yes</w:t>
            </w:r>
          </w:p>
        </w:tc>
        <w:tc>
          <w:tcPr>
            <w:tcW w:w="2268" w:type="dxa"/>
            <w:tcBorders>
              <w:bottom w:val="single" w:sz="4" w:space="0" w:color="auto"/>
            </w:tcBorders>
          </w:tcPr>
          <w:p w14:paraId="62A4F8FD" w14:textId="77777777" w:rsidR="00E80518" w:rsidRPr="009038AA" w:rsidRDefault="00E80518"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No / Yes</w:t>
            </w:r>
          </w:p>
        </w:tc>
        <w:tc>
          <w:tcPr>
            <w:tcW w:w="2977" w:type="dxa"/>
            <w:tcBorders>
              <w:bottom w:val="single" w:sz="4" w:space="0" w:color="auto"/>
            </w:tcBorders>
          </w:tcPr>
          <w:p w14:paraId="6DF0EBB5" w14:textId="77777777" w:rsidR="00E80518" w:rsidRPr="009038AA" w:rsidRDefault="00E80518" w:rsidP="00141FF7">
            <w:pPr>
              <w:jc w:val="left"/>
              <w:rPr>
                <w:rFonts w:asciiTheme="majorHAnsi" w:hAnsiTheme="majorHAnsi" w:cstheme="majorHAnsi"/>
                <w:sz w:val="18"/>
                <w:szCs w:val="18"/>
                <w:lang w:val="en-US"/>
              </w:rPr>
            </w:pPr>
            <w:r w:rsidRPr="009038AA">
              <w:rPr>
                <w:rFonts w:asciiTheme="majorHAnsi" w:hAnsiTheme="majorHAnsi" w:cstheme="majorHAnsi"/>
                <w:sz w:val="18"/>
                <w:szCs w:val="18"/>
                <w:lang w:val="en-US"/>
              </w:rPr>
              <w:t>Only one national per State</w:t>
            </w:r>
          </w:p>
        </w:tc>
      </w:tr>
    </w:tbl>
    <w:p w14:paraId="6F03F168" w14:textId="77777777" w:rsidR="00D53AE2" w:rsidRPr="00CB2C31" w:rsidRDefault="00D53AE2" w:rsidP="00623C41">
      <w:pPr>
        <w:rPr>
          <w:b/>
          <w:sz w:val="20"/>
          <w:szCs w:val="20"/>
          <w:lang w:val="en-US"/>
        </w:rPr>
      </w:pPr>
    </w:p>
    <w:p w14:paraId="0551216A" w14:textId="77777777" w:rsidR="00D436B6" w:rsidRPr="00CB2C31" w:rsidRDefault="00D436B6" w:rsidP="00623C41">
      <w:pPr>
        <w:spacing w:after="200" w:line="276" w:lineRule="auto"/>
        <w:rPr>
          <w:lang w:val="en-US"/>
        </w:rPr>
      </w:pPr>
      <w:r w:rsidRPr="00CB2C31">
        <w:rPr>
          <w:lang w:val="en-US"/>
        </w:rPr>
        <w:br w:type="page"/>
      </w:r>
    </w:p>
    <w:p w14:paraId="147B9216" w14:textId="77777777" w:rsidR="00E80518" w:rsidRPr="00CB2C31" w:rsidRDefault="00E80518" w:rsidP="00623C41">
      <w:pPr>
        <w:pStyle w:val="HeadingLeftBold"/>
        <w:jc w:val="both"/>
        <w:rPr>
          <w:lang w:val="en-US"/>
        </w:rPr>
      </w:pPr>
      <w:r w:rsidRPr="00CB2C31">
        <w:rPr>
          <w:lang w:val="en-US"/>
        </w:rPr>
        <w:t>PART 2</w:t>
      </w:r>
      <w:r w:rsidR="009E58C0" w:rsidRPr="00CB2C31">
        <w:rPr>
          <w:lang w:val="en-US"/>
        </w:rPr>
        <w:t xml:space="preserve">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1501"/>
        <w:gridCol w:w="1701"/>
        <w:gridCol w:w="1276"/>
        <w:gridCol w:w="1701"/>
        <w:gridCol w:w="2410"/>
        <w:gridCol w:w="1417"/>
        <w:gridCol w:w="2694"/>
      </w:tblGrid>
      <w:tr w:rsidR="00E80518" w:rsidRPr="00CB2C31" w14:paraId="7FA07390" w14:textId="77777777" w:rsidTr="009038AA">
        <w:trPr>
          <w:trHeight w:val="841"/>
          <w:tblHeader/>
        </w:trPr>
        <w:tc>
          <w:tcPr>
            <w:tcW w:w="1442" w:type="dxa"/>
            <w:tcBorders>
              <w:bottom w:val="single" w:sz="4" w:space="0" w:color="auto"/>
            </w:tcBorders>
            <w:shd w:val="clear" w:color="auto" w:fill="8DB3E2" w:themeFill="text2" w:themeFillTint="66"/>
            <w:vAlign w:val="center"/>
          </w:tcPr>
          <w:p w14:paraId="63A020C5" w14:textId="77777777" w:rsidR="00E80518" w:rsidRPr="00CB2C31" w:rsidRDefault="00E80518" w:rsidP="00623C41">
            <w:pPr>
              <w:keepNext/>
              <w:keepLines/>
              <w:rPr>
                <w:rFonts w:asciiTheme="majorHAnsi" w:hAnsiTheme="majorHAnsi" w:cstheme="majorHAnsi"/>
                <w:b/>
                <w:sz w:val="18"/>
                <w:szCs w:val="18"/>
                <w:lang w:val="en-US"/>
              </w:rPr>
            </w:pPr>
          </w:p>
          <w:p w14:paraId="11160A0C" w14:textId="77777777" w:rsidR="00E80518" w:rsidRPr="00CB2C31" w:rsidRDefault="00E80518" w:rsidP="00623C41">
            <w:pPr>
              <w:keepNext/>
              <w:keepLines/>
              <w:rPr>
                <w:rFonts w:asciiTheme="majorHAnsi" w:hAnsiTheme="majorHAnsi" w:cstheme="majorHAnsi"/>
                <w:b/>
                <w:sz w:val="18"/>
                <w:szCs w:val="18"/>
                <w:lang w:val="en-US"/>
              </w:rPr>
            </w:pPr>
            <w:r w:rsidRPr="00CB2C31">
              <w:rPr>
                <w:rFonts w:asciiTheme="majorHAnsi" w:hAnsiTheme="majorHAnsi" w:cstheme="majorHAnsi"/>
                <w:b/>
                <w:sz w:val="18"/>
                <w:szCs w:val="18"/>
                <w:lang w:val="en-US"/>
              </w:rPr>
              <w:t>Body</w:t>
            </w:r>
          </w:p>
          <w:p w14:paraId="158C3817" w14:textId="77777777" w:rsidR="00E80518" w:rsidRPr="00CB2C31" w:rsidRDefault="00E80518" w:rsidP="00623C41">
            <w:pPr>
              <w:keepNext/>
              <w:keepLines/>
              <w:rPr>
                <w:rFonts w:asciiTheme="majorHAnsi" w:hAnsiTheme="majorHAnsi" w:cstheme="majorHAnsi"/>
                <w:b/>
                <w:sz w:val="18"/>
                <w:szCs w:val="18"/>
                <w:lang w:val="en-US"/>
              </w:rPr>
            </w:pPr>
          </w:p>
        </w:tc>
        <w:tc>
          <w:tcPr>
            <w:tcW w:w="1501" w:type="dxa"/>
            <w:tcBorders>
              <w:bottom w:val="single" w:sz="4" w:space="0" w:color="auto"/>
            </w:tcBorders>
            <w:shd w:val="clear" w:color="auto" w:fill="8DB3E2" w:themeFill="text2" w:themeFillTint="66"/>
            <w:vAlign w:val="center"/>
          </w:tcPr>
          <w:p w14:paraId="3F509A01" w14:textId="77777777" w:rsidR="00E80518" w:rsidRPr="00CB2C31" w:rsidRDefault="00E80518" w:rsidP="00623C41">
            <w:pPr>
              <w:keepNext/>
              <w:keepLines/>
              <w:rPr>
                <w:rFonts w:asciiTheme="majorHAnsi" w:hAnsiTheme="majorHAnsi" w:cstheme="majorHAnsi"/>
                <w:b/>
                <w:sz w:val="18"/>
                <w:szCs w:val="18"/>
                <w:lang w:val="en-US"/>
              </w:rPr>
            </w:pPr>
            <w:r w:rsidRPr="00CB2C31">
              <w:rPr>
                <w:rFonts w:asciiTheme="majorHAnsi" w:hAnsiTheme="majorHAnsi" w:cstheme="majorHAnsi"/>
                <w:b/>
                <w:sz w:val="18"/>
                <w:szCs w:val="18"/>
                <w:lang w:val="en-US"/>
              </w:rPr>
              <w:t>Timeline For Invitation</w:t>
            </w:r>
          </w:p>
        </w:tc>
        <w:tc>
          <w:tcPr>
            <w:tcW w:w="1701" w:type="dxa"/>
            <w:tcBorders>
              <w:bottom w:val="single" w:sz="4" w:space="0" w:color="auto"/>
            </w:tcBorders>
            <w:shd w:val="clear" w:color="auto" w:fill="8DB3E2" w:themeFill="text2" w:themeFillTint="66"/>
            <w:vAlign w:val="center"/>
          </w:tcPr>
          <w:p w14:paraId="1230F56D" w14:textId="77777777" w:rsidR="00E80518" w:rsidRPr="00CB2C31" w:rsidRDefault="00E80518" w:rsidP="00623C41">
            <w:pPr>
              <w:keepNext/>
              <w:keepLines/>
              <w:rPr>
                <w:rFonts w:asciiTheme="majorHAnsi" w:hAnsiTheme="majorHAnsi" w:cstheme="majorHAnsi"/>
                <w:b/>
                <w:sz w:val="18"/>
                <w:szCs w:val="18"/>
                <w:lang w:val="en-US"/>
              </w:rPr>
            </w:pPr>
            <w:r w:rsidRPr="00CB2C31">
              <w:rPr>
                <w:rFonts w:asciiTheme="majorHAnsi" w:hAnsiTheme="majorHAnsi" w:cstheme="majorHAnsi"/>
                <w:b/>
                <w:sz w:val="18"/>
                <w:szCs w:val="18"/>
                <w:lang w:val="en-US"/>
              </w:rPr>
              <w:t>Quorum</w:t>
            </w:r>
          </w:p>
        </w:tc>
        <w:tc>
          <w:tcPr>
            <w:tcW w:w="1276" w:type="dxa"/>
            <w:tcBorders>
              <w:bottom w:val="single" w:sz="4" w:space="0" w:color="auto"/>
            </w:tcBorders>
            <w:shd w:val="clear" w:color="auto" w:fill="8DB3E2" w:themeFill="text2" w:themeFillTint="66"/>
            <w:vAlign w:val="center"/>
          </w:tcPr>
          <w:p w14:paraId="7B442100" w14:textId="77777777" w:rsidR="00E80518" w:rsidRPr="00CB2C31" w:rsidRDefault="00E80518" w:rsidP="00623C41">
            <w:pPr>
              <w:keepNext/>
              <w:keepLines/>
              <w:rPr>
                <w:rFonts w:asciiTheme="majorHAnsi" w:hAnsiTheme="majorHAnsi" w:cstheme="majorHAnsi"/>
                <w:b/>
                <w:sz w:val="18"/>
                <w:szCs w:val="18"/>
                <w:lang w:val="en-US"/>
              </w:rPr>
            </w:pPr>
            <w:r w:rsidRPr="00CB2C31">
              <w:rPr>
                <w:rFonts w:asciiTheme="majorHAnsi" w:hAnsiTheme="majorHAnsi" w:cstheme="majorHAnsi"/>
                <w:b/>
                <w:sz w:val="18"/>
                <w:szCs w:val="18"/>
                <w:lang w:val="en-US"/>
              </w:rPr>
              <w:t>Election</w:t>
            </w:r>
          </w:p>
        </w:tc>
        <w:tc>
          <w:tcPr>
            <w:tcW w:w="1701" w:type="dxa"/>
            <w:tcBorders>
              <w:bottom w:val="single" w:sz="4" w:space="0" w:color="auto"/>
            </w:tcBorders>
            <w:shd w:val="clear" w:color="auto" w:fill="8DB3E2" w:themeFill="text2" w:themeFillTint="66"/>
            <w:vAlign w:val="center"/>
          </w:tcPr>
          <w:p w14:paraId="7FB2E4FF" w14:textId="77777777" w:rsidR="00E80518" w:rsidRPr="00CB2C31" w:rsidRDefault="00E80518" w:rsidP="00623C41">
            <w:pPr>
              <w:keepNext/>
              <w:keepLines/>
              <w:rPr>
                <w:rFonts w:asciiTheme="majorHAnsi" w:hAnsiTheme="majorHAnsi" w:cstheme="majorHAnsi"/>
                <w:b/>
                <w:sz w:val="18"/>
                <w:szCs w:val="18"/>
                <w:lang w:val="en-US"/>
              </w:rPr>
            </w:pPr>
            <w:r w:rsidRPr="00CB2C31">
              <w:rPr>
                <w:rFonts w:asciiTheme="majorHAnsi" w:hAnsiTheme="majorHAnsi" w:cstheme="majorHAnsi"/>
                <w:b/>
                <w:sz w:val="18"/>
                <w:szCs w:val="18"/>
                <w:lang w:val="en-US"/>
              </w:rPr>
              <w:t>Term (Years) /</w:t>
            </w:r>
          </w:p>
          <w:p w14:paraId="0D080F57" w14:textId="77777777" w:rsidR="00E80518" w:rsidRPr="00CB2C31" w:rsidRDefault="00E80518" w:rsidP="00623C41">
            <w:pPr>
              <w:keepNext/>
              <w:keepLines/>
              <w:rPr>
                <w:rFonts w:asciiTheme="majorHAnsi" w:hAnsiTheme="majorHAnsi" w:cstheme="majorHAnsi"/>
                <w:b/>
                <w:sz w:val="18"/>
                <w:szCs w:val="18"/>
                <w:lang w:val="en-US"/>
              </w:rPr>
            </w:pPr>
            <w:r w:rsidRPr="00CB2C31">
              <w:rPr>
                <w:rFonts w:asciiTheme="majorHAnsi" w:hAnsiTheme="majorHAnsi" w:cstheme="majorHAnsi"/>
                <w:b/>
                <w:sz w:val="18"/>
                <w:szCs w:val="18"/>
                <w:lang w:val="en-US"/>
              </w:rPr>
              <w:t>Staggered Terms</w:t>
            </w:r>
          </w:p>
        </w:tc>
        <w:tc>
          <w:tcPr>
            <w:tcW w:w="2410" w:type="dxa"/>
            <w:tcBorders>
              <w:bottom w:val="single" w:sz="4" w:space="0" w:color="auto"/>
            </w:tcBorders>
            <w:shd w:val="clear" w:color="auto" w:fill="8DB3E2" w:themeFill="text2" w:themeFillTint="66"/>
            <w:vAlign w:val="center"/>
          </w:tcPr>
          <w:p w14:paraId="09412419" w14:textId="77777777" w:rsidR="00E80518" w:rsidRPr="00CB2C31" w:rsidRDefault="00E80518" w:rsidP="00623C41">
            <w:pPr>
              <w:keepNext/>
              <w:keepLines/>
              <w:rPr>
                <w:rFonts w:asciiTheme="majorHAnsi" w:hAnsiTheme="majorHAnsi" w:cstheme="majorHAnsi"/>
                <w:b/>
                <w:sz w:val="18"/>
                <w:szCs w:val="18"/>
                <w:lang w:val="en-US"/>
              </w:rPr>
            </w:pPr>
            <w:r w:rsidRPr="00CB2C31">
              <w:rPr>
                <w:rFonts w:asciiTheme="majorHAnsi" w:hAnsiTheme="majorHAnsi" w:cstheme="majorHAnsi"/>
                <w:b/>
                <w:sz w:val="18"/>
                <w:szCs w:val="18"/>
                <w:lang w:val="en-US"/>
              </w:rPr>
              <w:t>Re-Nomination Permitted / Eligible For Reelection</w:t>
            </w:r>
          </w:p>
        </w:tc>
        <w:tc>
          <w:tcPr>
            <w:tcW w:w="1417" w:type="dxa"/>
            <w:tcBorders>
              <w:bottom w:val="single" w:sz="4" w:space="0" w:color="auto"/>
            </w:tcBorders>
            <w:shd w:val="clear" w:color="auto" w:fill="8DB3E2" w:themeFill="text2" w:themeFillTint="66"/>
            <w:vAlign w:val="center"/>
          </w:tcPr>
          <w:p w14:paraId="23127BFF" w14:textId="77777777" w:rsidR="00E80518" w:rsidRPr="00CB2C31" w:rsidRDefault="00E80518" w:rsidP="00623C41">
            <w:pPr>
              <w:keepNext/>
              <w:keepLines/>
              <w:rPr>
                <w:rFonts w:asciiTheme="majorHAnsi" w:hAnsiTheme="majorHAnsi" w:cstheme="majorHAnsi"/>
                <w:b/>
                <w:sz w:val="18"/>
                <w:szCs w:val="18"/>
                <w:lang w:val="en-US"/>
              </w:rPr>
            </w:pPr>
            <w:r w:rsidRPr="00CB2C31">
              <w:rPr>
                <w:rFonts w:asciiTheme="majorHAnsi" w:hAnsiTheme="majorHAnsi" w:cstheme="majorHAnsi"/>
                <w:b/>
                <w:sz w:val="18"/>
                <w:szCs w:val="18"/>
                <w:lang w:val="en-US"/>
              </w:rPr>
              <w:t>Vacancy Provisions</w:t>
            </w:r>
          </w:p>
        </w:tc>
        <w:tc>
          <w:tcPr>
            <w:tcW w:w="2694" w:type="dxa"/>
            <w:tcBorders>
              <w:bottom w:val="single" w:sz="4" w:space="0" w:color="auto"/>
            </w:tcBorders>
            <w:shd w:val="clear" w:color="auto" w:fill="8DB3E2" w:themeFill="text2" w:themeFillTint="66"/>
            <w:vAlign w:val="center"/>
          </w:tcPr>
          <w:p w14:paraId="172B9FDC" w14:textId="77777777" w:rsidR="00E80518" w:rsidRPr="00CB2C31" w:rsidRDefault="00E80518" w:rsidP="00623C41">
            <w:pPr>
              <w:keepNext/>
              <w:keepLines/>
              <w:rPr>
                <w:rFonts w:asciiTheme="majorHAnsi" w:hAnsiTheme="majorHAnsi" w:cstheme="majorHAnsi"/>
                <w:b/>
                <w:sz w:val="18"/>
                <w:szCs w:val="18"/>
                <w:lang w:val="en-US"/>
              </w:rPr>
            </w:pPr>
            <w:r w:rsidRPr="00CB2C31">
              <w:rPr>
                <w:rFonts w:asciiTheme="majorHAnsi" w:hAnsiTheme="majorHAnsi" w:cstheme="majorHAnsi"/>
                <w:b/>
                <w:sz w:val="18"/>
                <w:szCs w:val="18"/>
                <w:lang w:val="en-US"/>
              </w:rPr>
              <w:t>Removal</w:t>
            </w:r>
          </w:p>
        </w:tc>
      </w:tr>
      <w:tr w:rsidR="009038AA" w:rsidRPr="00CB2C31" w14:paraId="7BC98149" w14:textId="77777777" w:rsidTr="009038AA">
        <w:trPr>
          <w:trHeight w:val="242"/>
        </w:trPr>
        <w:tc>
          <w:tcPr>
            <w:tcW w:w="14142" w:type="dxa"/>
            <w:gridSpan w:val="8"/>
            <w:shd w:val="pct10" w:color="auto" w:fill="auto"/>
          </w:tcPr>
          <w:p w14:paraId="00A9590A" w14:textId="4DF27B52" w:rsidR="009038AA" w:rsidRPr="00CB2C31" w:rsidRDefault="009038AA" w:rsidP="00623C41">
            <w:pPr>
              <w:keepNext/>
              <w:keepLines/>
              <w:rPr>
                <w:rFonts w:asciiTheme="majorHAnsi" w:hAnsiTheme="majorHAnsi" w:cstheme="majorHAnsi"/>
                <w:sz w:val="18"/>
                <w:szCs w:val="18"/>
                <w:lang w:val="en-US"/>
              </w:rPr>
            </w:pPr>
            <w:r>
              <w:rPr>
                <w:rFonts w:asciiTheme="majorHAnsi" w:hAnsiTheme="majorHAnsi" w:cstheme="majorHAnsi"/>
                <w:b/>
                <w:sz w:val="18"/>
                <w:szCs w:val="18"/>
                <w:lang w:val="en-US"/>
              </w:rPr>
              <w:t>International Treaty Bodies</w:t>
            </w:r>
          </w:p>
        </w:tc>
      </w:tr>
      <w:tr w:rsidR="00E80518" w:rsidRPr="00CB2C31" w14:paraId="77309634" w14:textId="77777777" w:rsidTr="00BD0AE3">
        <w:trPr>
          <w:trHeight w:val="242"/>
        </w:trPr>
        <w:tc>
          <w:tcPr>
            <w:tcW w:w="1442" w:type="dxa"/>
            <w:shd w:val="clear" w:color="auto" w:fill="A6A6A6" w:themeFill="background1" w:themeFillShade="A6"/>
          </w:tcPr>
          <w:p w14:paraId="497E67CE" w14:textId="77777777" w:rsidR="00E80518" w:rsidRPr="00CB2C31" w:rsidRDefault="00E80518" w:rsidP="00623C41">
            <w:pPr>
              <w:keepNext/>
              <w:keepLines/>
              <w:rPr>
                <w:rFonts w:asciiTheme="majorHAnsi" w:hAnsiTheme="majorHAnsi" w:cstheme="majorHAnsi"/>
                <w:sz w:val="18"/>
                <w:szCs w:val="18"/>
                <w:lang w:val="en-US"/>
              </w:rPr>
            </w:pPr>
            <w:r w:rsidRPr="00CB2C31">
              <w:rPr>
                <w:rFonts w:asciiTheme="majorHAnsi" w:hAnsiTheme="majorHAnsi" w:cstheme="majorHAnsi"/>
                <w:sz w:val="18"/>
                <w:szCs w:val="18"/>
                <w:lang w:val="en-US"/>
              </w:rPr>
              <w:t>ICCPR</w:t>
            </w:r>
          </w:p>
        </w:tc>
        <w:tc>
          <w:tcPr>
            <w:tcW w:w="1501" w:type="dxa"/>
          </w:tcPr>
          <w:p w14:paraId="1161137E" w14:textId="77777777" w:rsidR="00E80518" w:rsidRPr="00CB2C31" w:rsidRDefault="00E80518" w:rsidP="00141FF7">
            <w:pPr>
              <w:keepNext/>
              <w:keepLines/>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Min 4 months</w:t>
            </w:r>
          </w:p>
        </w:tc>
        <w:tc>
          <w:tcPr>
            <w:tcW w:w="1701" w:type="dxa"/>
          </w:tcPr>
          <w:p w14:paraId="54359174" w14:textId="77777777" w:rsidR="00E80518" w:rsidRPr="00CB2C31" w:rsidRDefault="00E80518" w:rsidP="00141FF7">
            <w:pPr>
              <w:keepNext/>
              <w:keepLines/>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2/3 of the </w:t>
            </w:r>
            <w:r w:rsidR="00D12918" w:rsidRPr="00CB2C31">
              <w:rPr>
                <w:rFonts w:asciiTheme="majorHAnsi" w:hAnsiTheme="majorHAnsi" w:cstheme="majorHAnsi"/>
                <w:sz w:val="18"/>
                <w:szCs w:val="18"/>
                <w:lang w:val="en-US"/>
              </w:rPr>
              <w:t>State part</w:t>
            </w:r>
            <w:r w:rsidRPr="00CB2C31">
              <w:rPr>
                <w:rFonts w:asciiTheme="majorHAnsi" w:hAnsiTheme="majorHAnsi" w:cstheme="majorHAnsi"/>
                <w:sz w:val="18"/>
                <w:szCs w:val="18"/>
                <w:lang w:val="en-US"/>
              </w:rPr>
              <w:t>ies</w:t>
            </w:r>
          </w:p>
        </w:tc>
        <w:tc>
          <w:tcPr>
            <w:tcW w:w="1276" w:type="dxa"/>
          </w:tcPr>
          <w:p w14:paraId="2619F053" w14:textId="77777777" w:rsidR="00E80518" w:rsidRPr="00CB2C31" w:rsidRDefault="00E80518" w:rsidP="00141FF7">
            <w:pPr>
              <w:keepNext/>
              <w:keepLines/>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Secret Ballot</w:t>
            </w:r>
          </w:p>
        </w:tc>
        <w:tc>
          <w:tcPr>
            <w:tcW w:w="1701" w:type="dxa"/>
          </w:tcPr>
          <w:p w14:paraId="4C256A2E" w14:textId="77777777" w:rsidR="00E80518" w:rsidRPr="00CB2C31" w:rsidRDefault="00E80518" w:rsidP="00141FF7">
            <w:pPr>
              <w:keepNext/>
              <w:keepLines/>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4 / Yes</w:t>
            </w:r>
          </w:p>
        </w:tc>
        <w:tc>
          <w:tcPr>
            <w:tcW w:w="2410" w:type="dxa"/>
          </w:tcPr>
          <w:p w14:paraId="5267523B" w14:textId="77777777" w:rsidR="00E80518" w:rsidRPr="00CB2C31" w:rsidRDefault="00E80518" w:rsidP="00141FF7">
            <w:pPr>
              <w:keepNext/>
              <w:keepLines/>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1417" w:type="dxa"/>
          </w:tcPr>
          <w:p w14:paraId="60CA945F" w14:textId="77777777" w:rsidR="00E80518" w:rsidRPr="00CB2C31" w:rsidRDefault="00E80518" w:rsidP="00141FF7">
            <w:pPr>
              <w:keepNext/>
              <w:keepLines/>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w:t>
            </w:r>
          </w:p>
        </w:tc>
        <w:tc>
          <w:tcPr>
            <w:tcW w:w="2694" w:type="dxa"/>
          </w:tcPr>
          <w:p w14:paraId="56AAF2C7" w14:textId="77777777" w:rsidR="00E80518" w:rsidRPr="00CB2C31" w:rsidRDefault="00E80518" w:rsidP="00141FF7">
            <w:pPr>
              <w:keepNext/>
              <w:keepLines/>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Unanimous opinion</w:t>
            </w:r>
            <w:r w:rsidR="00783132" w:rsidRPr="00CB2C31">
              <w:rPr>
                <w:rFonts w:asciiTheme="majorHAnsi" w:hAnsiTheme="majorHAnsi" w:cstheme="majorHAnsi"/>
                <w:sz w:val="18"/>
                <w:szCs w:val="18"/>
                <w:lang w:val="en-US"/>
              </w:rPr>
              <w:t xml:space="preserve"> </w:t>
            </w:r>
            <w:r w:rsidRPr="00CB2C31">
              <w:rPr>
                <w:rFonts w:asciiTheme="majorHAnsi" w:hAnsiTheme="majorHAnsi" w:cstheme="majorHAnsi"/>
                <w:sz w:val="18"/>
                <w:szCs w:val="18"/>
                <w:lang w:val="en-US"/>
              </w:rPr>
              <w:t>/</w:t>
            </w:r>
            <w:r w:rsidR="00783132" w:rsidRPr="00CB2C31">
              <w:rPr>
                <w:rFonts w:asciiTheme="majorHAnsi" w:hAnsiTheme="majorHAnsi" w:cstheme="majorHAnsi"/>
                <w:sz w:val="18"/>
                <w:szCs w:val="18"/>
                <w:lang w:val="en-US"/>
              </w:rPr>
              <w:t xml:space="preserve"> </w:t>
            </w:r>
            <w:r w:rsidRPr="00CB2C31">
              <w:rPr>
                <w:rFonts w:asciiTheme="majorHAnsi" w:hAnsiTheme="majorHAnsi" w:cstheme="majorHAnsi"/>
                <w:sz w:val="18"/>
                <w:szCs w:val="18"/>
                <w:lang w:val="en-US"/>
              </w:rPr>
              <w:t>for cause</w:t>
            </w:r>
          </w:p>
        </w:tc>
      </w:tr>
      <w:tr w:rsidR="00E80518" w:rsidRPr="00CB2C31" w14:paraId="51CA743F" w14:textId="77777777" w:rsidTr="00BD0AE3">
        <w:trPr>
          <w:trHeight w:val="242"/>
        </w:trPr>
        <w:tc>
          <w:tcPr>
            <w:tcW w:w="1442" w:type="dxa"/>
            <w:shd w:val="clear" w:color="auto" w:fill="A6A6A6" w:themeFill="background1" w:themeFillShade="A6"/>
          </w:tcPr>
          <w:p w14:paraId="1DFF47E6"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CEDAW</w:t>
            </w:r>
          </w:p>
        </w:tc>
        <w:tc>
          <w:tcPr>
            <w:tcW w:w="1501" w:type="dxa"/>
          </w:tcPr>
          <w:p w14:paraId="6575F188"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Min 3 months</w:t>
            </w:r>
          </w:p>
        </w:tc>
        <w:tc>
          <w:tcPr>
            <w:tcW w:w="1701" w:type="dxa"/>
          </w:tcPr>
          <w:p w14:paraId="78BFEA56"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2/3 of the </w:t>
            </w:r>
            <w:r w:rsidR="00D12918" w:rsidRPr="00CB2C31">
              <w:rPr>
                <w:rFonts w:asciiTheme="majorHAnsi" w:hAnsiTheme="majorHAnsi" w:cstheme="majorHAnsi"/>
                <w:sz w:val="18"/>
                <w:szCs w:val="18"/>
                <w:lang w:val="en-US"/>
              </w:rPr>
              <w:t>State part</w:t>
            </w:r>
            <w:r w:rsidRPr="00CB2C31">
              <w:rPr>
                <w:rFonts w:asciiTheme="majorHAnsi" w:hAnsiTheme="majorHAnsi" w:cstheme="majorHAnsi"/>
                <w:sz w:val="18"/>
                <w:szCs w:val="18"/>
                <w:lang w:val="en-US"/>
              </w:rPr>
              <w:t>ies</w:t>
            </w:r>
          </w:p>
        </w:tc>
        <w:tc>
          <w:tcPr>
            <w:tcW w:w="1276" w:type="dxa"/>
          </w:tcPr>
          <w:p w14:paraId="758DCFB6"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Secret Ballot</w:t>
            </w:r>
          </w:p>
        </w:tc>
        <w:tc>
          <w:tcPr>
            <w:tcW w:w="1701" w:type="dxa"/>
          </w:tcPr>
          <w:p w14:paraId="5C667DAA"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4 / Yes</w:t>
            </w:r>
          </w:p>
        </w:tc>
        <w:tc>
          <w:tcPr>
            <w:tcW w:w="2410" w:type="dxa"/>
          </w:tcPr>
          <w:p w14:paraId="62EFC908"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 No</w:t>
            </w:r>
          </w:p>
        </w:tc>
        <w:tc>
          <w:tcPr>
            <w:tcW w:w="1417" w:type="dxa"/>
          </w:tcPr>
          <w:p w14:paraId="240035CA"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w:t>
            </w:r>
          </w:p>
        </w:tc>
        <w:tc>
          <w:tcPr>
            <w:tcW w:w="2694" w:type="dxa"/>
          </w:tcPr>
          <w:p w14:paraId="371C3FDB"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E80518" w:rsidRPr="00CB2C31" w14:paraId="6FCD8DDF" w14:textId="77777777" w:rsidTr="00BD0AE3">
        <w:trPr>
          <w:trHeight w:val="231"/>
        </w:trPr>
        <w:tc>
          <w:tcPr>
            <w:tcW w:w="1442" w:type="dxa"/>
            <w:shd w:val="clear" w:color="auto" w:fill="A6A6A6" w:themeFill="background1" w:themeFillShade="A6"/>
          </w:tcPr>
          <w:p w14:paraId="5EDA7DDC"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CMW</w:t>
            </w:r>
          </w:p>
        </w:tc>
        <w:tc>
          <w:tcPr>
            <w:tcW w:w="1501" w:type="dxa"/>
          </w:tcPr>
          <w:p w14:paraId="7F1B4D1D"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Min 4 months</w:t>
            </w:r>
          </w:p>
        </w:tc>
        <w:tc>
          <w:tcPr>
            <w:tcW w:w="1701" w:type="dxa"/>
          </w:tcPr>
          <w:p w14:paraId="556A5CD3"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2/3 of the </w:t>
            </w:r>
            <w:r w:rsidR="00D12918" w:rsidRPr="00CB2C31">
              <w:rPr>
                <w:rFonts w:asciiTheme="majorHAnsi" w:hAnsiTheme="majorHAnsi" w:cstheme="majorHAnsi"/>
                <w:sz w:val="18"/>
                <w:szCs w:val="18"/>
                <w:lang w:val="en-US"/>
              </w:rPr>
              <w:t>State part</w:t>
            </w:r>
            <w:r w:rsidRPr="00CB2C31">
              <w:rPr>
                <w:rFonts w:asciiTheme="majorHAnsi" w:hAnsiTheme="majorHAnsi" w:cstheme="majorHAnsi"/>
                <w:sz w:val="18"/>
                <w:szCs w:val="18"/>
                <w:lang w:val="en-US"/>
              </w:rPr>
              <w:t>ies</w:t>
            </w:r>
          </w:p>
        </w:tc>
        <w:tc>
          <w:tcPr>
            <w:tcW w:w="1276" w:type="dxa"/>
          </w:tcPr>
          <w:p w14:paraId="6C77FE44"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Secret Ballot</w:t>
            </w:r>
          </w:p>
        </w:tc>
        <w:tc>
          <w:tcPr>
            <w:tcW w:w="1701" w:type="dxa"/>
          </w:tcPr>
          <w:p w14:paraId="52625AF5"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4 / Yes</w:t>
            </w:r>
          </w:p>
        </w:tc>
        <w:tc>
          <w:tcPr>
            <w:tcW w:w="2410" w:type="dxa"/>
          </w:tcPr>
          <w:p w14:paraId="22484458"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1417" w:type="dxa"/>
          </w:tcPr>
          <w:p w14:paraId="4972A78E"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w:t>
            </w:r>
          </w:p>
        </w:tc>
        <w:tc>
          <w:tcPr>
            <w:tcW w:w="2694" w:type="dxa"/>
          </w:tcPr>
          <w:p w14:paraId="4E92C648"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E80518" w:rsidRPr="00CB2C31" w14:paraId="7739C509" w14:textId="77777777" w:rsidTr="00BD0AE3">
        <w:trPr>
          <w:trHeight w:val="242"/>
        </w:trPr>
        <w:tc>
          <w:tcPr>
            <w:tcW w:w="1442" w:type="dxa"/>
            <w:shd w:val="clear" w:color="auto" w:fill="A6A6A6" w:themeFill="background1" w:themeFillShade="A6"/>
          </w:tcPr>
          <w:p w14:paraId="3BC89C6C"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SPT</w:t>
            </w:r>
          </w:p>
        </w:tc>
        <w:tc>
          <w:tcPr>
            <w:tcW w:w="1501" w:type="dxa"/>
          </w:tcPr>
          <w:p w14:paraId="1A25B12E"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Min 5 months</w:t>
            </w:r>
          </w:p>
        </w:tc>
        <w:tc>
          <w:tcPr>
            <w:tcW w:w="1701" w:type="dxa"/>
          </w:tcPr>
          <w:p w14:paraId="330AF24D" w14:textId="5CD58E3C"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2/3 of the </w:t>
            </w:r>
            <w:r w:rsidR="00D12918" w:rsidRPr="00CB2C31">
              <w:rPr>
                <w:rFonts w:asciiTheme="majorHAnsi" w:hAnsiTheme="majorHAnsi" w:cstheme="majorHAnsi"/>
                <w:sz w:val="18"/>
                <w:szCs w:val="18"/>
                <w:lang w:val="en-US"/>
              </w:rPr>
              <w:t>State part</w:t>
            </w:r>
            <w:r w:rsidRPr="00CB2C31">
              <w:rPr>
                <w:rFonts w:asciiTheme="majorHAnsi" w:hAnsiTheme="majorHAnsi" w:cstheme="majorHAnsi"/>
                <w:sz w:val="18"/>
                <w:szCs w:val="18"/>
                <w:lang w:val="en-US"/>
              </w:rPr>
              <w:t xml:space="preserve">ies at the meeting convened by the </w:t>
            </w:r>
            <w:r w:rsidR="000C6BF1" w:rsidRPr="00CB2C31">
              <w:rPr>
                <w:rFonts w:asciiTheme="majorHAnsi" w:hAnsiTheme="majorHAnsi" w:cstheme="majorHAnsi"/>
                <w:sz w:val="18"/>
                <w:szCs w:val="18"/>
                <w:lang w:val="en-US"/>
              </w:rPr>
              <w:t>Secretary</w:t>
            </w:r>
            <w:r w:rsidR="000C6BF1">
              <w:rPr>
                <w:rFonts w:asciiTheme="majorHAnsi" w:hAnsiTheme="majorHAnsi" w:cstheme="majorHAnsi"/>
                <w:sz w:val="18"/>
                <w:szCs w:val="18"/>
                <w:lang w:val="en-US"/>
              </w:rPr>
              <w:t>-</w:t>
            </w:r>
            <w:r w:rsidRPr="00CB2C31">
              <w:rPr>
                <w:rFonts w:asciiTheme="majorHAnsi" w:hAnsiTheme="majorHAnsi" w:cstheme="majorHAnsi"/>
                <w:sz w:val="18"/>
                <w:szCs w:val="18"/>
                <w:lang w:val="en-US"/>
              </w:rPr>
              <w:t>General</w:t>
            </w:r>
          </w:p>
        </w:tc>
        <w:tc>
          <w:tcPr>
            <w:tcW w:w="1276" w:type="dxa"/>
          </w:tcPr>
          <w:p w14:paraId="45FE3D7A"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Secret Ballot</w:t>
            </w:r>
          </w:p>
        </w:tc>
        <w:tc>
          <w:tcPr>
            <w:tcW w:w="1701" w:type="dxa"/>
          </w:tcPr>
          <w:p w14:paraId="4589526D"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4 / Yes</w:t>
            </w:r>
          </w:p>
        </w:tc>
        <w:tc>
          <w:tcPr>
            <w:tcW w:w="2410" w:type="dxa"/>
          </w:tcPr>
          <w:p w14:paraId="402C0906" w14:textId="77777777" w:rsidR="00E80518" w:rsidRPr="00CB2C31" w:rsidRDefault="00E80518" w:rsidP="00141FF7">
            <w:pPr>
              <w:pStyle w:val="ListParagraph"/>
              <w:numPr>
                <w:ilvl w:val="0"/>
                <w:numId w:val="5"/>
              </w:numPr>
              <w:ind w:left="299" w:hanging="270"/>
              <w:jc w:val="left"/>
              <w:rPr>
                <w:sz w:val="18"/>
                <w:szCs w:val="18"/>
                <w:lang w:val="en-US"/>
              </w:rPr>
            </w:pPr>
            <w:r w:rsidRPr="00CB2C31">
              <w:rPr>
                <w:sz w:val="18"/>
                <w:szCs w:val="18"/>
                <w:lang w:val="en-US"/>
              </w:rPr>
              <w:t>/ Yes</w:t>
            </w:r>
          </w:p>
        </w:tc>
        <w:tc>
          <w:tcPr>
            <w:tcW w:w="1417" w:type="dxa"/>
          </w:tcPr>
          <w:p w14:paraId="7462F475"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w:t>
            </w:r>
          </w:p>
        </w:tc>
        <w:tc>
          <w:tcPr>
            <w:tcW w:w="2694" w:type="dxa"/>
          </w:tcPr>
          <w:p w14:paraId="13491F13"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E80518" w:rsidRPr="00CB2C31" w14:paraId="515E970E" w14:textId="77777777" w:rsidTr="00BD0AE3">
        <w:trPr>
          <w:trHeight w:val="242"/>
        </w:trPr>
        <w:tc>
          <w:tcPr>
            <w:tcW w:w="1442" w:type="dxa"/>
            <w:shd w:val="clear" w:color="auto" w:fill="A6A6A6" w:themeFill="background1" w:themeFillShade="A6"/>
          </w:tcPr>
          <w:p w14:paraId="599E6C23"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CAT</w:t>
            </w:r>
          </w:p>
        </w:tc>
        <w:tc>
          <w:tcPr>
            <w:tcW w:w="1501" w:type="dxa"/>
          </w:tcPr>
          <w:p w14:paraId="2DA751A2"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Min 4 months</w:t>
            </w:r>
          </w:p>
        </w:tc>
        <w:tc>
          <w:tcPr>
            <w:tcW w:w="1701" w:type="dxa"/>
          </w:tcPr>
          <w:p w14:paraId="06F3824E"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2/3 of </w:t>
            </w:r>
            <w:r w:rsidR="00D12918" w:rsidRPr="00CB2C31">
              <w:rPr>
                <w:rFonts w:asciiTheme="majorHAnsi" w:hAnsiTheme="majorHAnsi" w:cstheme="majorHAnsi"/>
                <w:sz w:val="18"/>
                <w:szCs w:val="18"/>
                <w:lang w:val="en-US"/>
              </w:rPr>
              <w:t>State part</w:t>
            </w:r>
            <w:r w:rsidR="00FE2B35" w:rsidRPr="00CB2C31">
              <w:rPr>
                <w:rFonts w:asciiTheme="majorHAnsi" w:hAnsiTheme="majorHAnsi" w:cstheme="majorHAnsi"/>
                <w:sz w:val="18"/>
                <w:szCs w:val="18"/>
                <w:lang w:val="en-US"/>
              </w:rPr>
              <w:t>ies</w:t>
            </w:r>
          </w:p>
        </w:tc>
        <w:tc>
          <w:tcPr>
            <w:tcW w:w="1276" w:type="dxa"/>
          </w:tcPr>
          <w:p w14:paraId="46DAA4A1"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Secret Ballot</w:t>
            </w:r>
          </w:p>
        </w:tc>
        <w:tc>
          <w:tcPr>
            <w:tcW w:w="1701" w:type="dxa"/>
          </w:tcPr>
          <w:p w14:paraId="4CEA9A77"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4 / Yes</w:t>
            </w:r>
          </w:p>
        </w:tc>
        <w:tc>
          <w:tcPr>
            <w:tcW w:w="2410" w:type="dxa"/>
          </w:tcPr>
          <w:p w14:paraId="5F34A93C"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1417" w:type="dxa"/>
          </w:tcPr>
          <w:p w14:paraId="024D531E"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w:t>
            </w:r>
          </w:p>
        </w:tc>
        <w:tc>
          <w:tcPr>
            <w:tcW w:w="2694" w:type="dxa"/>
          </w:tcPr>
          <w:p w14:paraId="6B7A6416"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E80518" w:rsidRPr="00CB2C31" w14:paraId="62BE5F05" w14:textId="77777777" w:rsidTr="00BD0AE3">
        <w:trPr>
          <w:trHeight w:val="242"/>
        </w:trPr>
        <w:tc>
          <w:tcPr>
            <w:tcW w:w="1442" w:type="dxa"/>
            <w:shd w:val="clear" w:color="auto" w:fill="A6A6A6" w:themeFill="background1" w:themeFillShade="A6"/>
          </w:tcPr>
          <w:p w14:paraId="34D5D69E"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CRPD</w:t>
            </w:r>
          </w:p>
        </w:tc>
        <w:tc>
          <w:tcPr>
            <w:tcW w:w="1501" w:type="dxa"/>
          </w:tcPr>
          <w:p w14:paraId="0A973FC5"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Min 4 months</w:t>
            </w:r>
          </w:p>
        </w:tc>
        <w:tc>
          <w:tcPr>
            <w:tcW w:w="1701" w:type="dxa"/>
          </w:tcPr>
          <w:p w14:paraId="67763045"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2/3 of </w:t>
            </w:r>
            <w:r w:rsidR="00D12918" w:rsidRPr="00CB2C31">
              <w:rPr>
                <w:rFonts w:asciiTheme="majorHAnsi" w:hAnsiTheme="majorHAnsi" w:cstheme="majorHAnsi"/>
                <w:sz w:val="18"/>
                <w:szCs w:val="18"/>
                <w:lang w:val="en-US"/>
              </w:rPr>
              <w:t>State part</w:t>
            </w:r>
            <w:r w:rsidR="00FE2B35" w:rsidRPr="00CB2C31">
              <w:rPr>
                <w:rFonts w:asciiTheme="majorHAnsi" w:hAnsiTheme="majorHAnsi" w:cstheme="majorHAnsi"/>
                <w:sz w:val="18"/>
                <w:szCs w:val="18"/>
                <w:lang w:val="en-US"/>
              </w:rPr>
              <w:t>ies</w:t>
            </w:r>
          </w:p>
        </w:tc>
        <w:tc>
          <w:tcPr>
            <w:tcW w:w="1276" w:type="dxa"/>
          </w:tcPr>
          <w:p w14:paraId="3C26C0C0"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Secret Ballot</w:t>
            </w:r>
          </w:p>
        </w:tc>
        <w:tc>
          <w:tcPr>
            <w:tcW w:w="1701" w:type="dxa"/>
          </w:tcPr>
          <w:p w14:paraId="35BD5EFE"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4 / Yes</w:t>
            </w:r>
          </w:p>
        </w:tc>
        <w:tc>
          <w:tcPr>
            <w:tcW w:w="2410" w:type="dxa"/>
          </w:tcPr>
          <w:p w14:paraId="3CF1F690"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1417" w:type="dxa"/>
          </w:tcPr>
          <w:p w14:paraId="298CC64F"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w:t>
            </w:r>
          </w:p>
        </w:tc>
        <w:tc>
          <w:tcPr>
            <w:tcW w:w="2694" w:type="dxa"/>
          </w:tcPr>
          <w:p w14:paraId="18A08FEE"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E80518" w:rsidRPr="00CB2C31" w14:paraId="58D4833D" w14:textId="77777777" w:rsidTr="00BD0AE3">
        <w:trPr>
          <w:trHeight w:val="231"/>
        </w:trPr>
        <w:tc>
          <w:tcPr>
            <w:tcW w:w="1442" w:type="dxa"/>
            <w:shd w:val="clear" w:color="auto" w:fill="A6A6A6" w:themeFill="background1" w:themeFillShade="A6"/>
          </w:tcPr>
          <w:p w14:paraId="3C50408C"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ICESCR</w:t>
            </w:r>
          </w:p>
        </w:tc>
        <w:tc>
          <w:tcPr>
            <w:tcW w:w="1501" w:type="dxa"/>
          </w:tcPr>
          <w:p w14:paraId="6DC90CC1"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One month</w:t>
            </w:r>
          </w:p>
        </w:tc>
        <w:tc>
          <w:tcPr>
            <w:tcW w:w="1701" w:type="dxa"/>
          </w:tcPr>
          <w:p w14:paraId="54FB3668"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Not clear</w:t>
            </w:r>
          </w:p>
        </w:tc>
        <w:tc>
          <w:tcPr>
            <w:tcW w:w="1276" w:type="dxa"/>
          </w:tcPr>
          <w:p w14:paraId="44631C02"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N/A</w:t>
            </w:r>
          </w:p>
        </w:tc>
        <w:tc>
          <w:tcPr>
            <w:tcW w:w="1701" w:type="dxa"/>
          </w:tcPr>
          <w:p w14:paraId="2936459B"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4 / Not clear</w:t>
            </w:r>
          </w:p>
        </w:tc>
        <w:tc>
          <w:tcPr>
            <w:tcW w:w="2410" w:type="dxa"/>
          </w:tcPr>
          <w:p w14:paraId="22190CB9"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1417" w:type="dxa"/>
          </w:tcPr>
          <w:p w14:paraId="3609DEA3"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2694" w:type="dxa"/>
          </w:tcPr>
          <w:p w14:paraId="33AEED5B"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E80518" w:rsidRPr="00CB2C31" w14:paraId="161397F1" w14:textId="77777777" w:rsidTr="00BD0AE3">
        <w:trPr>
          <w:trHeight w:val="242"/>
        </w:trPr>
        <w:tc>
          <w:tcPr>
            <w:tcW w:w="1442" w:type="dxa"/>
            <w:shd w:val="clear" w:color="auto" w:fill="A6A6A6" w:themeFill="background1" w:themeFillShade="A6"/>
          </w:tcPr>
          <w:p w14:paraId="1F15F18D"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CERD</w:t>
            </w:r>
          </w:p>
        </w:tc>
        <w:tc>
          <w:tcPr>
            <w:tcW w:w="1501" w:type="dxa"/>
          </w:tcPr>
          <w:p w14:paraId="27E06B97"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Min 3 months</w:t>
            </w:r>
          </w:p>
        </w:tc>
        <w:tc>
          <w:tcPr>
            <w:tcW w:w="1701" w:type="dxa"/>
          </w:tcPr>
          <w:p w14:paraId="678C50A0"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2/3 of the </w:t>
            </w:r>
            <w:r w:rsidR="00D12918" w:rsidRPr="00CB2C31">
              <w:rPr>
                <w:rFonts w:asciiTheme="majorHAnsi" w:hAnsiTheme="majorHAnsi" w:cstheme="majorHAnsi"/>
                <w:sz w:val="18"/>
                <w:szCs w:val="18"/>
                <w:lang w:val="en-US"/>
              </w:rPr>
              <w:t>State part</w:t>
            </w:r>
            <w:r w:rsidRPr="00CB2C31">
              <w:rPr>
                <w:rFonts w:asciiTheme="majorHAnsi" w:hAnsiTheme="majorHAnsi" w:cstheme="majorHAnsi"/>
                <w:sz w:val="18"/>
                <w:szCs w:val="18"/>
                <w:lang w:val="en-US"/>
              </w:rPr>
              <w:t>ies</w:t>
            </w:r>
          </w:p>
        </w:tc>
        <w:tc>
          <w:tcPr>
            <w:tcW w:w="1276" w:type="dxa"/>
          </w:tcPr>
          <w:p w14:paraId="0CFE02FD"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Secret Ballot</w:t>
            </w:r>
          </w:p>
        </w:tc>
        <w:tc>
          <w:tcPr>
            <w:tcW w:w="1701" w:type="dxa"/>
          </w:tcPr>
          <w:p w14:paraId="07C556DD"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4 / Yes</w:t>
            </w:r>
          </w:p>
        </w:tc>
        <w:tc>
          <w:tcPr>
            <w:tcW w:w="2410" w:type="dxa"/>
          </w:tcPr>
          <w:p w14:paraId="38A2238B"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 No</w:t>
            </w:r>
          </w:p>
        </w:tc>
        <w:tc>
          <w:tcPr>
            <w:tcW w:w="1417" w:type="dxa"/>
          </w:tcPr>
          <w:p w14:paraId="3F3A5B5F"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w:t>
            </w:r>
          </w:p>
        </w:tc>
        <w:tc>
          <w:tcPr>
            <w:tcW w:w="2694" w:type="dxa"/>
          </w:tcPr>
          <w:p w14:paraId="3CD0171D"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E80518" w:rsidRPr="00CB2C31" w14:paraId="4E88878A" w14:textId="77777777" w:rsidTr="00BD0AE3">
        <w:trPr>
          <w:trHeight w:val="242"/>
        </w:trPr>
        <w:tc>
          <w:tcPr>
            <w:tcW w:w="1442" w:type="dxa"/>
            <w:shd w:val="clear" w:color="auto" w:fill="A6A6A6" w:themeFill="background1" w:themeFillShade="A6"/>
          </w:tcPr>
          <w:p w14:paraId="08B8BB51"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CRC</w:t>
            </w:r>
          </w:p>
        </w:tc>
        <w:tc>
          <w:tcPr>
            <w:tcW w:w="1501" w:type="dxa"/>
          </w:tcPr>
          <w:p w14:paraId="31F6BFD5"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Min 4 months</w:t>
            </w:r>
          </w:p>
        </w:tc>
        <w:tc>
          <w:tcPr>
            <w:tcW w:w="1701" w:type="dxa"/>
          </w:tcPr>
          <w:p w14:paraId="622A2B10"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2/3 of the </w:t>
            </w:r>
            <w:r w:rsidR="00D12918" w:rsidRPr="00CB2C31">
              <w:rPr>
                <w:rFonts w:asciiTheme="majorHAnsi" w:hAnsiTheme="majorHAnsi" w:cstheme="majorHAnsi"/>
                <w:sz w:val="18"/>
                <w:szCs w:val="18"/>
                <w:lang w:val="en-US"/>
              </w:rPr>
              <w:t>State part</w:t>
            </w:r>
            <w:r w:rsidRPr="00CB2C31">
              <w:rPr>
                <w:rFonts w:asciiTheme="majorHAnsi" w:hAnsiTheme="majorHAnsi" w:cstheme="majorHAnsi"/>
                <w:sz w:val="18"/>
                <w:szCs w:val="18"/>
                <w:lang w:val="en-US"/>
              </w:rPr>
              <w:t>ies to the present Covenant</w:t>
            </w:r>
          </w:p>
        </w:tc>
        <w:tc>
          <w:tcPr>
            <w:tcW w:w="1276" w:type="dxa"/>
          </w:tcPr>
          <w:p w14:paraId="06C2F91B"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Secret Ballot</w:t>
            </w:r>
          </w:p>
        </w:tc>
        <w:tc>
          <w:tcPr>
            <w:tcW w:w="1701" w:type="dxa"/>
          </w:tcPr>
          <w:p w14:paraId="00DB30B1"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4 / Yes</w:t>
            </w:r>
          </w:p>
        </w:tc>
        <w:tc>
          <w:tcPr>
            <w:tcW w:w="2410" w:type="dxa"/>
          </w:tcPr>
          <w:p w14:paraId="73E7AC65"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1417" w:type="dxa"/>
          </w:tcPr>
          <w:p w14:paraId="19CDA471"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w:t>
            </w:r>
          </w:p>
        </w:tc>
        <w:tc>
          <w:tcPr>
            <w:tcW w:w="2694" w:type="dxa"/>
          </w:tcPr>
          <w:p w14:paraId="012A4AE9"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E80518" w:rsidRPr="00CB2C31" w14:paraId="4CCAB81D" w14:textId="77777777" w:rsidTr="00BD0AE3">
        <w:trPr>
          <w:trHeight w:val="231"/>
        </w:trPr>
        <w:tc>
          <w:tcPr>
            <w:tcW w:w="1442" w:type="dxa"/>
            <w:shd w:val="clear" w:color="auto" w:fill="A6A6A6" w:themeFill="background1" w:themeFillShade="A6"/>
          </w:tcPr>
          <w:p w14:paraId="66C48A21"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CED</w:t>
            </w:r>
          </w:p>
        </w:tc>
        <w:tc>
          <w:tcPr>
            <w:tcW w:w="1501" w:type="dxa"/>
          </w:tcPr>
          <w:p w14:paraId="1CF406DB"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Min 4 months</w:t>
            </w:r>
          </w:p>
        </w:tc>
        <w:tc>
          <w:tcPr>
            <w:tcW w:w="1701" w:type="dxa"/>
          </w:tcPr>
          <w:p w14:paraId="58B7C47E"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2/3 of the </w:t>
            </w:r>
            <w:r w:rsidR="00D12918" w:rsidRPr="00CB2C31">
              <w:rPr>
                <w:rFonts w:asciiTheme="majorHAnsi" w:hAnsiTheme="majorHAnsi" w:cstheme="majorHAnsi"/>
                <w:sz w:val="18"/>
                <w:szCs w:val="18"/>
                <w:lang w:val="en-US"/>
              </w:rPr>
              <w:t>State part</w:t>
            </w:r>
            <w:r w:rsidRPr="00CB2C31">
              <w:rPr>
                <w:rFonts w:asciiTheme="majorHAnsi" w:hAnsiTheme="majorHAnsi" w:cstheme="majorHAnsi"/>
                <w:sz w:val="18"/>
                <w:szCs w:val="18"/>
                <w:lang w:val="en-US"/>
              </w:rPr>
              <w:t>ies</w:t>
            </w:r>
          </w:p>
        </w:tc>
        <w:tc>
          <w:tcPr>
            <w:tcW w:w="1276" w:type="dxa"/>
          </w:tcPr>
          <w:p w14:paraId="1CF9F3D0"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Secret Ballot</w:t>
            </w:r>
          </w:p>
        </w:tc>
        <w:tc>
          <w:tcPr>
            <w:tcW w:w="1701" w:type="dxa"/>
          </w:tcPr>
          <w:p w14:paraId="3C0B2477"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4 / Yes</w:t>
            </w:r>
          </w:p>
        </w:tc>
        <w:tc>
          <w:tcPr>
            <w:tcW w:w="2410" w:type="dxa"/>
          </w:tcPr>
          <w:p w14:paraId="1282C206"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 Yes</w:t>
            </w:r>
          </w:p>
        </w:tc>
        <w:tc>
          <w:tcPr>
            <w:tcW w:w="1417" w:type="dxa"/>
          </w:tcPr>
          <w:p w14:paraId="3D5A1D06"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w:t>
            </w:r>
          </w:p>
        </w:tc>
        <w:tc>
          <w:tcPr>
            <w:tcW w:w="2694" w:type="dxa"/>
          </w:tcPr>
          <w:p w14:paraId="4518358A"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9038AA" w:rsidRPr="00CB2C31" w14:paraId="3E8DFB11" w14:textId="77777777" w:rsidTr="009038AA">
        <w:trPr>
          <w:trHeight w:val="242"/>
        </w:trPr>
        <w:tc>
          <w:tcPr>
            <w:tcW w:w="14142" w:type="dxa"/>
            <w:gridSpan w:val="8"/>
            <w:shd w:val="pct10" w:color="auto" w:fill="auto"/>
          </w:tcPr>
          <w:p w14:paraId="06F6A113" w14:textId="0788707D" w:rsidR="009038AA" w:rsidRPr="00CB2C31" w:rsidRDefault="009038AA" w:rsidP="00623C41">
            <w:pPr>
              <w:rPr>
                <w:rFonts w:asciiTheme="majorHAnsi" w:hAnsiTheme="majorHAnsi" w:cstheme="majorHAnsi"/>
                <w:sz w:val="18"/>
                <w:szCs w:val="18"/>
                <w:lang w:val="en-US"/>
              </w:rPr>
            </w:pPr>
            <w:r>
              <w:rPr>
                <w:rFonts w:asciiTheme="majorHAnsi" w:hAnsiTheme="majorHAnsi" w:cstheme="majorHAnsi"/>
                <w:b/>
                <w:sz w:val="18"/>
                <w:szCs w:val="18"/>
                <w:lang w:val="en-US"/>
              </w:rPr>
              <w:t>Regional/Other</w:t>
            </w:r>
          </w:p>
        </w:tc>
      </w:tr>
      <w:tr w:rsidR="009038AA" w:rsidRPr="00CB2C31" w14:paraId="3D2D2923" w14:textId="77777777" w:rsidTr="00127CD7">
        <w:trPr>
          <w:trHeight w:val="957"/>
        </w:trPr>
        <w:tc>
          <w:tcPr>
            <w:tcW w:w="1442" w:type="dxa"/>
            <w:shd w:val="clear" w:color="auto" w:fill="A6A6A6" w:themeFill="background1" w:themeFillShade="A6"/>
          </w:tcPr>
          <w:p w14:paraId="7AB1AAEC" w14:textId="77777777" w:rsidR="009038AA" w:rsidRPr="00CB2C31" w:rsidRDefault="009038AA"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ICC</w:t>
            </w:r>
          </w:p>
        </w:tc>
        <w:tc>
          <w:tcPr>
            <w:tcW w:w="1501" w:type="dxa"/>
          </w:tcPr>
          <w:p w14:paraId="0CF7081E"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N/A</w:t>
            </w:r>
          </w:p>
        </w:tc>
        <w:tc>
          <w:tcPr>
            <w:tcW w:w="1701" w:type="dxa"/>
          </w:tcPr>
          <w:p w14:paraId="7BFF0BFC"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Absolute majority</w:t>
            </w:r>
          </w:p>
        </w:tc>
        <w:tc>
          <w:tcPr>
            <w:tcW w:w="1276" w:type="dxa"/>
          </w:tcPr>
          <w:p w14:paraId="027BBF62"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Secret Ballot</w:t>
            </w:r>
          </w:p>
        </w:tc>
        <w:tc>
          <w:tcPr>
            <w:tcW w:w="1701" w:type="dxa"/>
          </w:tcPr>
          <w:p w14:paraId="6069B764"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9 / Yes</w:t>
            </w:r>
          </w:p>
        </w:tc>
        <w:tc>
          <w:tcPr>
            <w:tcW w:w="2410" w:type="dxa"/>
          </w:tcPr>
          <w:p w14:paraId="52AD5849"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 No</w:t>
            </w:r>
          </w:p>
        </w:tc>
        <w:tc>
          <w:tcPr>
            <w:tcW w:w="1417" w:type="dxa"/>
          </w:tcPr>
          <w:p w14:paraId="5F20DB02"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w:t>
            </w:r>
          </w:p>
        </w:tc>
        <w:tc>
          <w:tcPr>
            <w:tcW w:w="2694" w:type="dxa"/>
          </w:tcPr>
          <w:p w14:paraId="0A7ECA8D"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In the case of a judge, by 2/3 majority of State parties upon a recommendation adopted by 2/3 majority of other judges</w:t>
            </w:r>
          </w:p>
        </w:tc>
      </w:tr>
      <w:tr w:rsidR="009038AA" w:rsidRPr="00CB2C31" w14:paraId="537A4EA3" w14:textId="77777777" w:rsidTr="00127CD7">
        <w:trPr>
          <w:trHeight w:val="472"/>
        </w:trPr>
        <w:tc>
          <w:tcPr>
            <w:tcW w:w="1442" w:type="dxa"/>
            <w:shd w:val="clear" w:color="auto" w:fill="A6A6A6" w:themeFill="background1" w:themeFillShade="A6"/>
          </w:tcPr>
          <w:p w14:paraId="088FFA1C" w14:textId="77777777" w:rsidR="009038AA" w:rsidRPr="00CB2C31" w:rsidRDefault="009038AA"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ICC Assembly</w:t>
            </w:r>
          </w:p>
        </w:tc>
        <w:tc>
          <w:tcPr>
            <w:tcW w:w="1501" w:type="dxa"/>
          </w:tcPr>
          <w:p w14:paraId="167AC836"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1701" w:type="dxa"/>
          </w:tcPr>
          <w:p w14:paraId="7F5F7064"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1/3 of the State parties participating in the session</w:t>
            </w:r>
          </w:p>
        </w:tc>
        <w:tc>
          <w:tcPr>
            <w:tcW w:w="1276" w:type="dxa"/>
          </w:tcPr>
          <w:p w14:paraId="0B67B60D"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Secret Ballot</w:t>
            </w:r>
          </w:p>
        </w:tc>
        <w:tc>
          <w:tcPr>
            <w:tcW w:w="1701" w:type="dxa"/>
          </w:tcPr>
          <w:p w14:paraId="24BFBECE"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3 / No</w:t>
            </w:r>
          </w:p>
        </w:tc>
        <w:tc>
          <w:tcPr>
            <w:tcW w:w="2410" w:type="dxa"/>
          </w:tcPr>
          <w:p w14:paraId="6B07B382"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 No</w:t>
            </w:r>
          </w:p>
        </w:tc>
        <w:tc>
          <w:tcPr>
            <w:tcW w:w="1417" w:type="dxa"/>
          </w:tcPr>
          <w:p w14:paraId="217E77CB"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2694" w:type="dxa"/>
          </w:tcPr>
          <w:p w14:paraId="0BC65A13"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9038AA" w:rsidRPr="00CB2C31" w14:paraId="4A5A20B2" w14:textId="77777777" w:rsidTr="00127CD7">
        <w:trPr>
          <w:trHeight w:val="242"/>
        </w:trPr>
        <w:tc>
          <w:tcPr>
            <w:tcW w:w="1442" w:type="dxa"/>
            <w:shd w:val="clear" w:color="auto" w:fill="A6A6A6" w:themeFill="background1" w:themeFillShade="A6"/>
          </w:tcPr>
          <w:p w14:paraId="34398198" w14:textId="5D85205B" w:rsidR="009038AA" w:rsidRPr="00CB2C31" w:rsidRDefault="009038AA" w:rsidP="00127CD7">
            <w:pPr>
              <w:rPr>
                <w:rFonts w:asciiTheme="majorHAnsi" w:hAnsiTheme="majorHAnsi" w:cstheme="majorHAnsi"/>
                <w:sz w:val="18"/>
                <w:szCs w:val="18"/>
                <w:lang w:val="en-US"/>
              </w:rPr>
            </w:pPr>
            <w:r w:rsidRPr="00D717A4">
              <w:rPr>
                <w:rFonts w:asciiTheme="majorHAnsi" w:hAnsiTheme="majorHAnsi" w:cstheme="majorHAnsi"/>
                <w:sz w:val="18"/>
                <w:szCs w:val="18"/>
                <w:lang w:val="en-US"/>
              </w:rPr>
              <w:t>EC</w:t>
            </w:r>
            <w:r w:rsidR="00D717A4">
              <w:rPr>
                <w:rFonts w:asciiTheme="majorHAnsi" w:hAnsiTheme="majorHAnsi" w:cstheme="majorHAnsi"/>
                <w:sz w:val="18"/>
                <w:szCs w:val="18"/>
                <w:lang w:val="en-US"/>
              </w:rPr>
              <w:t>t</w:t>
            </w:r>
            <w:r w:rsidRPr="00D717A4">
              <w:rPr>
                <w:rFonts w:asciiTheme="majorHAnsi" w:hAnsiTheme="majorHAnsi" w:cstheme="majorHAnsi"/>
                <w:sz w:val="18"/>
                <w:szCs w:val="18"/>
                <w:lang w:val="en-US"/>
              </w:rPr>
              <w:t>HR</w:t>
            </w:r>
          </w:p>
        </w:tc>
        <w:tc>
          <w:tcPr>
            <w:tcW w:w="1501" w:type="dxa"/>
          </w:tcPr>
          <w:p w14:paraId="1D2D7C69"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1701" w:type="dxa"/>
          </w:tcPr>
          <w:p w14:paraId="750A99F7"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2/3 of the elected judges in office</w:t>
            </w:r>
          </w:p>
        </w:tc>
        <w:tc>
          <w:tcPr>
            <w:tcW w:w="1276" w:type="dxa"/>
          </w:tcPr>
          <w:p w14:paraId="32C1800F"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Secret Ballot</w:t>
            </w:r>
          </w:p>
        </w:tc>
        <w:tc>
          <w:tcPr>
            <w:tcW w:w="1701" w:type="dxa"/>
          </w:tcPr>
          <w:p w14:paraId="445A8582"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9 / No</w:t>
            </w:r>
          </w:p>
        </w:tc>
        <w:tc>
          <w:tcPr>
            <w:tcW w:w="2410" w:type="dxa"/>
          </w:tcPr>
          <w:p w14:paraId="5FC09FB2"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 No</w:t>
            </w:r>
          </w:p>
        </w:tc>
        <w:tc>
          <w:tcPr>
            <w:tcW w:w="1417" w:type="dxa"/>
          </w:tcPr>
          <w:p w14:paraId="7BBB56D6"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w:t>
            </w:r>
          </w:p>
        </w:tc>
        <w:tc>
          <w:tcPr>
            <w:tcW w:w="2694" w:type="dxa"/>
          </w:tcPr>
          <w:p w14:paraId="5CFF5484"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by a majority of 2/3 of the other judges that the judge has ceased to fulfil</w:t>
            </w:r>
            <w:r>
              <w:rPr>
                <w:rFonts w:asciiTheme="majorHAnsi" w:hAnsiTheme="majorHAnsi" w:cstheme="majorHAnsi"/>
                <w:sz w:val="18"/>
                <w:szCs w:val="18"/>
                <w:lang w:val="en-US"/>
              </w:rPr>
              <w:t>l</w:t>
            </w:r>
            <w:r w:rsidRPr="00CB2C31">
              <w:rPr>
                <w:rFonts w:asciiTheme="majorHAnsi" w:hAnsiTheme="majorHAnsi" w:cstheme="majorHAnsi"/>
                <w:sz w:val="18"/>
                <w:szCs w:val="18"/>
                <w:lang w:val="en-US"/>
              </w:rPr>
              <w:t xml:space="preserve"> the required conditions</w:t>
            </w:r>
          </w:p>
        </w:tc>
      </w:tr>
      <w:tr w:rsidR="009038AA" w:rsidRPr="00CB2C31" w14:paraId="2173500E" w14:textId="77777777" w:rsidTr="00127CD7">
        <w:trPr>
          <w:trHeight w:val="242"/>
        </w:trPr>
        <w:tc>
          <w:tcPr>
            <w:tcW w:w="1442" w:type="dxa"/>
            <w:shd w:val="clear" w:color="auto" w:fill="A6A6A6" w:themeFill="background1" w:themeFillShade="A6"/>
          </w:tcPr>
          <w:p w14:paraId="7EA53735" w14:textId="77777777" w:rsidR="009038AA" w:rsidRPr="00CB2C31" w:rsidRDefault="009038AA"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ECPT</w:t>
            </w:r>
          </w:p>
        </w:tc>
        <w:tc>
          <w:tcPr>
            <w:tcW w:w="1501" w:type="dxa"/>
          </w:tcPr>
          <w:p w14:paraId="2343F7B3"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1701" w:type="dxa"/>
          </w:tcPr>
          <w:p w14:paraId="018242DB"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Simple majority</w:t>
            </w:r>
          </w:p>
        </w:tc>
        <w:tc>
          <w:tcPr>
            <w:tcW w:w="1276" w:type="dxa"/>
          </w:tcPr>
          <w:p w14:paraId="7D4B8134"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Absolute majority of votes</w:t>
            </w:r>
          </w:p>
        </w:tc>
        <w:tc>
          <w:tcPr>
            <w:tcW w:w="1701" w:type="dxa"/>
          </w:tcPr>
          <w:p w14:paraId="54A8AA31"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4-6 / Yes</w:t>
            </w:r>
          </w:p>
        </w:tc>
        <w:tc>
          <w:tcPr>
            <w:tcW w:w="2410" w:type="dxa"/>
          </w:tcPr>
          <w:p w14:paraId="6595FA62"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1417" w:type="dxa"/>
          </w:tcPr>
          <w:p w14:paraId="45B3609C"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w:t>
            </w:r>
          </w:p>
        </w:tc>
        <w:tc>
          <w:tcPr>
            <w:tcW w:w="2694" w:type="dxa"/>
          </w:tcPr>
          <w:p w14:paraId="0D8E26CD"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9038AA" w:rsidRPr="00CB2C31" w14:paraId="4D97F168" w14:textId="77777777" w:rsidTr="00127CD7">
        <w:trPr>
          <w:trHeight w:val="231"/>
        </w:trPr>
        <w:tc>
          <w:tcPr>
            <w:tcW w:w="1442" w:type="dxa"/>
            <w:shd w:val="clear" w:color="auto" w:fill="A6A6A6" w:themeFill="background1" w:themeFillShade="A6"/>
          </w:tcPr>
          <w:p w14:paraId="5FD2EACC" w14:textId="77777777" w:rsidR="009038AA" w:rsidRPr="00CB2C31" w:rsidRDefault="009038AA"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ACHPR</w:t>
            </w:r>
          </w:p>
        </w:tc>
        <w:tc>
          <w:tcPr>
            <w:tcW w:w="1501" w:type="dxa"/>
          </w:tcPr>
          <w:p w14:paraId="3986796A"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Min 4 months</w:t>
            </w:r>
          </w:p>
        </w:tc>
        <w:tc>
          <w:tcPr>
            <w:tcW w:w="1701" w:type="dxa"/>
          </w:tcPr>
          <w:p w14:paraId="76ECA129"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7</w:t>
            </w:r>
          </w:p>
        </w:tc>
        <w:tc>
          <w:tcPr>
            <w:tcW w:w="1276" w:type="dxa"/>
          </w:tcPr>
          <w:p w14:paraId="6EEF90F0"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Secret Ballot</w:t>
            </w:r>
          </w:p>
        </w:tc>
        <w:tc>
          <w:tcPr>
            <w:tcW w:w="1701" w:type="dxa"/>
          </w:tcPr>
          <w:p w14:paraId="77982884"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6 / Yes</w:t>
            </w:r>
          </w:p>
        </w:tc>
        <w:tc>
          <w:tcPr>
            <w:tcW w:w="2410" w:type="dxa"/>
          </w:tcPr>
          <w:p w14:paraId="23574E5C"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 / Yes</w:t>
            </w:r>
          </w:p>
        </w:tc>
        <w:tc>
          <w:tcPr>
            <w:tcW w:w="1417" w:type="dxa"/>
          </w:tcPr>
          <w:p w14:paraId="6765E361"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w:t>
            </w:r>
          </w:p>
        </w:tc>
        <w:tc>
          <w:tcPr>
            <w:tcW w:w="2694" w:type="dxa"/>
          </w:tcPr>
          <w:p w14:paraId="4AD0F6C6"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Unanimous opinion / for cause</w:t>
            </w:r>
          </w:p>
        </w:tc>
      </w:tr>
      <w:tr w:rsidR="009038AA" w:rsidRPr="00CB2C31" w14:paraId="0E0510E7" w14:textId="77777777" w:rsidTr="00127CD7">
        <w:trPr>
          <w:trHeight w:val="242"/>
        </w:trPr>
        <w:tc>
          <w:tcPr>
            <w:tcW w:w="1442" w:type="dxa"/>
            <w:shd w:val="clear" w:color="auto" w:fill="A6A6A6" w:themeFill="background1" w:themeFillShade="A6"/>
          </w:tcPr>
          <w:p w14:paraId="622EC08F" w14:textId="77777777" w:rsidR="009038AA" w:rsidRPr="00CB2C31" w:rsidRDefault="009038AA"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IACHR</w:t>
            </w:r>
          </w:p>
        </w:tc>
        <w:tc>
          <w:tcPr>
            <w:tcW w:w="1501" w:type="dxa"/>
          </w:tcPr>
          <w:p w14:paraId="369E09E3"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Min 6 months</w:t>
            </w:r>
          </w:p>
        </w:tc>
        <w:tc>
          <w:tcPr>
            <w:tcW w:w="1701" w:type="dxa"/>
          </w:tcPr>
          <w:p w14:paraId="67EE1E6E"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Absolute majority</w:t>
            </w:r>
          </w:p>
        </w:tc>
        <w:tc>
          <w:tcPr>
            <w:tcW w:w="1276" w:type="dxa"/>
          </w:tcPr>
          <w:p w14:paraId="3512616A"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Secret Ballot</w:t>
            </w:r>
          </w:p>
        </w:tc>
        <w:tc>
          <w:tcPr>
            <w:tcW w:w="1701" w:type="dxa"/>
          </w:tcPr>
          <w:p w14:paraId="1D2FF83A"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4 / No</w:t>
            </w:r>
          </w:p>
        </w:tc>
        <w:tc>
          <w:tcPr>
            <w:tcW w:w="2410" w:type="dxa"/>
          </w:tcPr>
          <w:p w14:paraId="54527EF1"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 Yes</w:t>
            </w:r>
          </w:p>
        </w:tc>
        <w:tc>
          <w:tcPr>
            <w:tcW w:w="1417" w:type="dxa"/>
          </w:tcPr>
          <w:p w14:paraId="7BDCD464"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w:t>
            </w:r>
          </w:p>
        </w:tc>
        <w:tc>
          <w:tcPr>
            <w:tcW w:w="2694" w:type="dxa"/>
          </w:tcPr>
          <w:p w14:paraId="61CCEF4C"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Commission to have affirmative vote of 5 Members, and then submit case to General Assembly</w:t>
            </w:r>
          </w:p>
        </w:tc>
      </w:tr>
      <w:tr w:rsidR="009038AA" w:rsidRPr="00CB2C31" w14:paraId="00C82FFD" w14:textId="77777777" w:rsidTr="00127CD7">
        <w:trPr>
          <w:trHeight w:val="242"/>
        </w:trPr>
        <w:tc>
          <w:tcPr>
            <w:tcW w:w="1442" w:type="dxa"/>
            <w:shd w:val="clear" w:color="auto" w:fill="A6A6A6" w:themeFill="background1" w:themeFillShade="A6"/>
          </w:tcPr>
          <w:p w14:paraId="73661CAC" w14:textId="77777777" w:rsidR="009038AA" w:rsidRPr="00CB2C31" w:rsidRDefault="009038AA"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IACtHR</w:t>
            </w:r>
          </w:p>
        </w:tc>
        <w:tc>
          <w:tcPr>
            <w:tcW w:w="1501" w:type="dxa"/>
          </w:tcPr>
          <w:p w14:paraId="2F66D983"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Min 6 months</w:t>
            </w:r>
          </w:p>
        </w:tc>
        <w:tc>
          <w:tcPr>
            <w:tcW w:w="1701" w:type="dxa"/>
          </w:tcPr>
          <w:p w14:paraId="17B34724"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Absolute majority</w:t>
            </w:r>
          </w:p>
        </w:tc>
        <w:tc>
          <w:tcPr>
            <w:tcW w:w="1276" w:type="dxa"/>
          </w:tcPr>
          <w:p w14:paraId="53BCEDAB" w14:textId="77777777" w:rsidR="009038AA" w:rsidRPr="00CB2C31" w:rsidRDefault="009038AA" w:rsidP="00141FF7">
            <w:pPr>
              <w:jc w:val="left"/>
              <w:rPr>
                <w:rFonts w:asciiTheme="majorHAnsi" w:hAnsiTheme="majorHAnsi" w:cstheme="majorHAnsi"/>
                <w:b/>
                <w:sz w:val="18"/>
                <w:szCs w:val="18"/>
                <w:lang w:val="en-US"/>
              </w:rPr>
            </w:pPr>
            <w:r w:rsidRPr="00CB2C31">
              <w:rPr>
                <w:rFonts w:asciiTheme="majorHAnsi" w:hAnsiTheme="majorHAnsi" w:cstheme="majorHAnsi"/>
                <w:sz w:val="18"/>
                <w:szCs w:val="18"/>
                <w:lang w:val="en-US"/>
              </w:rPr>
              <w:t>Secret Ballot</w:t>
            </w:r>
          </w:p>
        </w:tc>
        <w:tc>
          <w:tcPr>
            <w:tcW w:w="1701" w:type="dxa"/>
          </w:tcPr>
          <w:p w14:paraId="11F69ECD"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6 / No</w:t>
            </w:r>
          </w:p>
        </w:tc>
        <w:tc>
          <w:tcPr>
            <w:tcW w:w="2410" w:type="dxa"/>
          </w:tcPr>
          <w:p w14:paraId="3D36E49B"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 Yes</w:t>
            </w:r>
          </w:p>
        </w:tc>
        <w:tc>
          <w:tcPr>
            <w:tcW w:w="1417" w:type="dxa"/>
          </w:tcPr>
          <w:p w14:paraId="7DECE8BE"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w:t>
            </w:r>
          </w:p>
        </w:tc>
        <w:tc>
          <w:tcPr>
            <w:tcW w:w="2694" w:type="dxa"/>
          </w:tcPr>
          <w:p w14:paraId="04A9CA72"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President</w:t>
            </w:r>
            <w:r>
              <w:rPr>
                <w:rFonts w:asciiTheme="majorHAnsi" w:hAnsiTheme="majorHAnsi" w:cstheme="majorHAnsi"/>
                <w:sz w:val="18"/>
                <w:szCs w:val="18"/>
                <w:lang w:val="en-US"/>
              </w:rPr>
              <w:t>’</w:t>
            </w:r>
            <w:r w:rsidRPr="00CB2C31">
              <w:rPr>
                <w:rFonts w:asciiTheme="majorHAnsi" w:hAnsiTheme="majorHAnsi" w:cstheme="majorHAnsi"/>
                <w:sz w:val="18"/>
                <w:szCs w:val="18"/>
                <w:lang w:val="en-US"/>
              </w:rPr>
              <w:t>s decision, and if disagreement then the Court shall decide</w:t>
            </w:r>
          </w:p>
        </w:tc>
      </w:tr>
      <w:tr w:rsidR="009038AA" w:rsidRPr="00CB2C31" w14:paraId="15EE9942" w14:textId="77777777" w:rsidTr="00127CD7">
        <w:trPr>
          <w:trHeight w:val="242"/>
        </w:trPr>
        <w:tc>
          <w:tcPr>
            <w:tcW w:w="1442" w:type="dxa"/>
            <w:tcBorders>
              <w:bottom w:val="single" w:sz="4" w:space="0" w:color="auto"/>
            </w:tcBorders>
            <w:shd w:val="clear" w:color="auto" w:fill="A6A6A6" w:themeFill="background1" w:themeFillShade="A6"/>
          </w:tcPr>
          <w:p w14:paraId="1AE5B5B5" w14:textId="77777777" w:rsidR="009038AA" w:rsidRPr="00CB2C31" w:rsidRDefault="009038AA"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ACtHPR</w:t>
            </w:r>
          </w:p>
        </w:tc>
        <w:tc>
          <w:tcPr>
            <w:tcW w:w="1501" w:type="dxa"/>
            <w:tcBorders>
              <w:bottom w:val="single" w:sz="4" w:space="0" w:color="auto"/>
            </w:tcBorders>
          </w:tcPr>
          <w:p w14:paraId="7978AE74"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Min 90 days</w:t>
            </w:r>
          </w:p>
        </w:tc>
        <w:tc>
          <w:tcPr>
            <w:tcW w:w="1701" w:type="dxa"/>
            <w:tcBorders>
              <w:bottom w:val="single" w:sz="4" w:space="0" w:color="auto"/>
            </w:tcBorders>
          </w:tcPr>
          <w:p w14:paraId="25C98B58"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N/A</w:t>
            </w:r>
          </w:p>
        </w:tc>
        <w:tc>
          <w:tcPr>
            <w:tcW w:w="1276" w:type="dxa"/>
            <w:tcBorders>
              <w:bottom w:val="single" w:sz="4" w:space="0" w:color="auto"/>
            </w:tcBorders>
          </w:tcPr>
          <w:p w14:paraId="3FF3801E"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Secret Ballot</w:t>
            </w:r>
          </w:p>
        </w:tc>
        <w:tc>
          <w:tcPr>
            <w:tcW w:w="1701" w:type="dxa"/>
            <w:tcBorders>
              <w:bottom w:val="single" w:sz="4" w:space="0" w:color="auto"/>
            </w:tcBorders>
          </w:tcPr>
          <w:p w14:paraId="7B86CDDF"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6 / Yes</w:t>
            </w:r>
          </w:p>
        </w:tc>
        <w:tc>
          <w:tcPr>
            <w:tcW w:w="2410" w:type="dxa"/>
            <w:tcBorders>
              <w:bottom w:val="single" w:sz="4" w:space="0" w:color="auto"/>
            </w:tcBorders>
          </w:tcPr>
          <w:p w14:paraId="7D94CF15"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 Yes</w:t>
            </w:r>
          </w:p>
        </w:tc>
        <w:tc>
          <w:tcPr>
            <w:tcW w:w="1417" w:type="dxa"/>
            <w:tcBorders>
              <w:bottom w:val="single" w:sz="4" w:space="0" w:color="auto"/>
            </w:tcBorders>
          </w:tcPr>
          <w:p w14:paraId="50D94832"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Yes</w:t>
            </w:r>
          </w:p>
        </w:tc>
        <w:tc>
          <w:tcPr>
            <w:tcW w:w="2694" w:type="dxa"/>
            <w:tcBorders>
              <w:bottom w:val="single" w:sz="4" w:space="0" w:color="auto"/>
            </w:tcBorders>
          </w:tcPr>
          <w:p w14:paraId="3AB391D6"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Unanimous decision of other judges</w:t>
            </w:r>
          </w:p>
        </w:tc>
      </w:tr>
    </w:tbl>
    <w:p w14:paraId="3310ADF3" w14:textId="77777777" w:rsidR="00E80518" w:rsidRPr="00CB2C31" w:rsidRDefault="00E80518" w:rsidP="00623C41">
      <w:pPr>
        <w:rPr>
          <w:sz w:val="20"/>
          <w:szCs w:val="20"/>
          <w:lang w:val="en-US"/>
        </w:rPr>
      </w:pPr>
    </w:p>
    <w:p w14:paraId="21EE1853" w14:textId="77777777" w:rsidR="00E80518" w:rsidRPr="00CB2C31" w:rsidRDefault="00E80518" w:rsidP="00623C41">
      <w:pPr>
        <w:pStyle w:val="HeadingLeftBold"/>
        <w:jc w:val="both"/>
        <w:rPr>
          <w:lang w:val="en-US"/>
        </w:rPr>
      </w:pPr>
      <w:r w:rsidRPr="00CB2C31">
        <w:rPr>
          <w:lang w:val="en-US"/>
        </w:rPr>
        <w:br w:type="page"/>
        <w:t xml:space="preserve">PART 3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559"/>
        <w:gridCol w:w="2126"/>
        <w:gridCol w:w="2977"/>
        <w:gridCol w:w="2977"/>
        <w:gridCol w:w="3685"/>
      </w:tblGrid>
      <w:tr w:rsidR="00E80518" w:rsidRPr="00CB2C31" w14:paraId="74FD742A" w14:textId="77777777" w:rsidTr="009038AA">
        <w:trPr>
          <w:cantSplit/>
          <w:trHeight w:val="841"/>
          <w:tblHeader/>
        </w:trPr>
        <w:tc>
          <w:tcPr>
            <w:tcW w:w="1101" w:type="dxa"/>
            <w:tcBorders>
              <w:bottom w:val="single" w:sz="4" w:space="0" w:color="auto"/>
            </w:tcBorders>
            <w:shd w:val="clear" w:color="auto" w:fill="8DB3E2" w:themeFill="text2" w:themeFillTint="66"/>
            <w:vAlign w:val="center"/>
          </w:tcPr>
          <w:p w14:paraId="4627E1D9" w14:textId="77777777" w:rsidR="00E80518" w:rsidRPr="00CB2C31" w:rsidRDefault="00E80518" w:rsidP="00623C41">
            <w:pPr>
              <w:rPr>
                <w:rFonts w:asciiTheme="majorHAnsi" w:hAnsiTheme="majorHAnsi" w:cstheme="majorHAnsi"/>
                <w:b/>
                <w:sz w:val="18"/>
                <w:szCs w:val="18"/>
                <w:lang w:val="en-US"/>
              </w:rPr>
            </w:pPr>
            <w:r w:rsidRPr="00CB2C31">
              <w:rPr>
                <w:rFonts w:asciiTheme="majorHAnsi" w:hAnsiTheme="majorHAnsi" w:cstheme="majorHAnsi"/>
                <w:b/>
                <w:sz w:val="18"/>
                <w:szCs w:val="18"/>
                <w:lang w:val="en-US"/>
              </w:rPr>
              <w:t>Body</w:t>
            </w:r>
          </w:p>
        </w:tc>
        <w:tc>
          <w:tcPr>
            <w:tcW w:w="1559" w:type="dxa"/>
            <w:tcBorders>
              <w:bottom w:val="single" w:sz="4" w:space="0" w:color="auto"/>
            </w:tcBorders>
            <w:shd w:val="clear" w:color="auto" w:fill="8DB3E2" w:themeFill="text2" w:themeFillTint="66"/>
            <w:vAlign w:val="center"/>
          </w:tcPr>
          <w:p w14:paraId="0310166E" w14:textId="77777777" w:rsidR="00E80518" w:rsidRPr="00CB2C31" w:rsidRDefault="00E80518" w:rsidP="00623C41">
            <w:pPr>
              <w:rPr>
                <w:rFonts w:asciiTheme="majorHAnsi" w:hAnsiTheme="majorHAnsi" w:cstheme="majorHAnsi"/>
                <w:b/>
                <w:sz w:val="18"/>
                <w:szCs w:val="18"/>
                <w:lang w:val="en-US"/>
              </w:rPr>
            </w:pPr>
            <w:r w:rsidRPr="00CB2C31">
              <w:rPr>
                <w:rFonts w:asciiTheme="majorHAnsi" w:hAnsiTheme="majorHAnsi" w:cstheme="majorHAnsi"/>
                <w:b/>
                <w:sz w:val="18"/>
                <w:szCs w:val="18"/>
                <w:lang w:val="en-US"/>
              </w:rPr>
              <w:t>Restrictions</w:t>
            </w:r>
          </w:p>
        </w:tc>
        <w:tc>
          <w:tcPr>
            <w:tcW w:w="2126" w:type="dxa"/>
            <w:tcBorders>
              <w:bottom w:val="single" w:sz="4" w:space="0" w:color="auto"/>
            </w:tcBorders>
            <w:shd w:val="clear" w:color="auto" w:fill="8DB3E2" w:themeFill="text2" w:themeFillTint="66"/>
            <w:vAlign w:val="center"/>
          </w:tcPr>
          <w:p w14:paraId="1B393036" w14:textId="77777777" w:rsidR="00E80518" w:rsidRPr="00CB2C31" w:rsidRDefault="00E80518" w:rsidP="00623C41">
            <w:pPr>
              <w:rPr>
                <w:rFonts w:asciiTheme="majorHAnsi" w:hAnsiTheme="majorHAnsi" w:cstheme="majorHAnsi"/>
                <w:b/>
                <w:sz w:val="18"/>
                <w:szCs w:val="18"/>
                <w:lang w:val="en-US"/>
              </w:rPr>
            </w:pPr>
            <w:r w:rsidRPr="00CB2C31">
              <w:rPr>
                <w:rFonts w:asciiTheme="majorHAnsi" w:hAnsiTheme="majorHAnsi" w:cstheme="majorHAnsi"/>
                <w:b/>
                <w:sz w:val="18"/>
                <w:szCs w:val="18"/>
                <w:lang w:val="en-US"/>
              </w:rPr>
              <w:t>Selection Timing</w:t>
            </w:r>
          </w:p>
        </w:tc>
        <w:tc>
          <w:tcPr>
            <w:tcW w:w="2977" w:type="dxa"/>
            <w:tcBorders>
              <w:bottom w:val="single" w:sz="4" w:space="0" w:color="auto"/>
            </w:tcBorders>
            <w:shd w:val="clear" w:color="auto" w:fill="8DB3E2" w:themeFill="text2" w:themeFillTint="66"/>
            <w:vAlign w:val="center"/>
          </w:tcPr>
          <w:p w14:paraId="7BFB4E93" w14:textId="77777777" w:rsidR="00E80518" w:rsidRPr="00CB2C31" w:rsidRDefault="00E80518" w:rsidP="00623C41">
            <w:pPr>
              <w:rPr>
                <w:rFonts w:asciiTheme="majorHAnsi" w:hAnsiTheme="majorHAnsi" w:cstheme="majorHAnsi"/>
                <w:b/>
                <w:sz w:val="18"/>
                <w:szCs w:val="18"/>
                <w:lang w:val="en-US"/>
              </w:rPr>
            </w:pPr>
            <w:r w:rsidRPr="00CB2C31">
              <w:rPr>
                <w:rFonts w:asciiTheme="majorHAnsi" w:hAnsiTheme="majorHAnsi" w:cstheme="majorHAnsi"/>
                <w:b/>
                <w:sz w:val="18"/>
                <w:szCs w:val="18"/>
                <w:lang w:val="en-US"/>
              </w:rPr>
              <w:t>Submission Process</w:t>
            </w:r>
          </w:p>
        </w:tc>
        <w:tc>
          <w:tcPr>
            <w:tcW w:w="2977" w:type="dxa"/>
            <w:tcBorders>
              <w:bottom w:val="single" w:sz="4" w:space="0" w:color="auto"/>
            </w:tcBorders>
            <w:shd w:val="clear" w:color="auto" w:fill="8DB3E2" w:themeFill="text2" w:themeFillTint="66"/>
            <w:vAlign w:val="center"/>
          </w:tcPr>
          <w:p w14:paraId="73024EC4" w14:textId="77777777" w:rsidR="00E80518" w:rsidRPr="00CB2C31" w:rsidRDefault="00E80518" w:rsidP="00623C41">
            <w:pPr>
              <w:rPr>
                <w:rFonts w:asciiTheme="majorHAnsi" w:hAnsiTheme="majorHAnsi" w:cstheme="majorHAnsi"/>
                <w:b/>
                <w:sz w:val="18"/>
                <w:szCs w:val="18"/>
                <w:lang w:val="en-US"/>
              </w:rPr>
            </w:pPr>
            <w:r w:rsidRPr="00CB2C31">
              <w:rPr>
                <w:rFonts w:asciiTheme="majorHAnsi" w:hAnsiTheme="majorHAnsi" w:cstheme="majorHAnsi"/>
                <w:b/>
                <w:sz w:val="18"/>
                <w:szCs w:val="18"/>
                <w:lang w:val="en-US"/>
              </w:rPr>
              <w:t>Selection</w:t>
            </w:r>
            <w:r w:rsidR="009E58C0" w:rsidRPr="00CB2C31">
              <w:rPr>
                <w:rFonts w:asciiTheme="majorHAnsi" w:hAnsiTheme="majorHAnsi" w:cstheme="majorHAnsi"/>
                <w:b/>
                <w:sz w:val="18"/>
                <w:szCs w:val="18"/>
                <w:lang w:val="en-US"/>
              </w:rPr>
              <w:t xml:space="preserve"> </w:t>
            </w:r>
            <w:r w:rsidRPr="00CB2C31">
              <w:rPr>
                <w:rFonts w:asciiTheme="majorHAnsi" w:hAnsiTheme="majorHAnsi" w:cstheme="majorHAnsi"/>
                <w:b/>
                <w:sz w:val="18"/>
                <w:szCs w:val="18"/>
                <w:lang w:val="en-US"/>
              </w:rPr>
              <w:t>Process</w:t>
            </w:r>
          </w:p>
        </w:tc>
        <w:tc>
          <w:tcPr>
            <w:tcW w:w="3685" w:type="dxa"/>
            <w:tcBorders>
              <w:bottom w:val="single" w:sz="4" w:space="0" w:color="auto"/>
            </w:tcBorders>
            <w:shd w:val="clear" w:color="auto" w:fill="8DB3E2" w:themeFill="text2" w:themeFillTint="66"/>
            <w:vAlign w:val="center"/>
          </w:tcPr>
          <w:p w14:paraId="3A94AEAA" w14:textId="77777777" w:rsidR="00E80518" w:rsidRPr="00CB2C31" w:rsidRDefault="00E80518" w:rsidP="00623C41">
            <w:pPr>
              <w:rPr>
                <w:rFonts w:asciiTheme="majorHAnsi" w:hAnsiTheme="majorHAnsi" w:cstheme="majorHAnsi"/>
                <w:b/>
                <w:sz w:val="18"/>
                <w:szCs w:val="18"/>
                <w:lang w:val="en-US"/>
              </w:rPr>
            </w:pPr>
            <w:r w:rsidRPr="00CB2C31">
              <w:rPr>
                <w:rFonts w:asciiTheme="majorHAnsi" w:hAnsiTheme="majorHAnsi" w:cstheme="majorHAnsi"/>
                <w:b/>
                <w:sz w:val="18"/>
                <w:szCs w:val="18"/>
                <w:lang w:val="en-US"/>
              </w:rPr>
              <w:t>Vacancy Procedure</w:t>
            </w:r>
          </w:p>
        </w:tc>
      </w:tr>
      <w:tr w:rsidR="009038AA" w:rsidRPr="00CB2C31" w14:paraId="657CF2B4" w14:textId="77777777" w:rsidTr="009038AA">
        <w:trPr>
          <w:cantSplit/>
          <w:trHeight w:val="242"/>
        </w:trPr>
        <w:tc>
          <w:tcPr>
            <w:tcW w:w="14425" w:type="dxa"/>
            <w:gridSpan w:val="6"/>
            <w:shd w:val="pct10" w:color="auto" w:fill="auto"/>
          </w:tcPr>
          <w:p w14:paraId="6E8E55C2" w14:textId="17C094FE" w:rsidR="009038AA" w:rsidRPr="00CB2C31" w:rsidRDefault="009038AA" w:rsidP="00623C41">
            <w:pPr>
              <w:rPr>
                <w:rFonts w:asciiTheme="majorHAnsi" w:hAnsiTheme="majorHAnsi" w:cstheme="majorHAnsi"/>
                <w:sz w:val="18"/>
                <w:szCs w:val="18"/>
                <w:lang w:val="en-US"/>
              </w:rPr>
            </w:pPr>
            <w:r>
              <w:rPr>
                <w:rFonts w:asciiTheme="majorHAnsi" w:hAnsiTheme="majorHAnsi" w:cstheme="majorHAnsi"/>
                <w:b/>
                <w:sz w:val="18"/>
                <w:szCs w:val="18"/>
                <w:lang w:val="en-US"/>
              </w:rPr>
              <w:t>International Treaty Bodies</w:t>
            </w:r>
          </w:p>
        </w:tc>
      </w:tr>
      <w:tr w:rsidR="00E80518" w:rsidRPr="00CB2C31" w14:paraId="222F7DF4" w14:textId="77777777" w:rsidTr="005E6F9B">
        <w:trPr>
          <w:cantSplit/>
          <w:trHeight w:val="242"/>
        </w:trPr>
        <w:tc>
          <w:tcPr>
            <w:tcW w:w="1101" w:type="dxa"/>
            <w:shd w:val="clear" w:color="auto" w:fill="A6A6A6" w:themeFill="background1" w:themeFillShade="A6"/>
          </w:tcPr>
          <w:p w14:paraId="3A5E693E"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ICCPR</w:t>
            </w:r>
          </w:p>
        </w:tc>
        <w:tc>
          <w:tcPr>
            <w:tcW w:w="1559" w:type="dxa"/>
          </w:tcPr>
          <w:p w14:paraId="52F83E46"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more than one nominee per State may serve on the Committee</w:t>
            </w:r>
          </w:p>
        </w:tc>
        <w:tc>
          <w:tcPr>
            <w:tcW w:w="2126" w:type="dxa"/>
          </w:tcPr>
          <w:p w14:paraId="1879D99A"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List submitted at least 1 month prior to election</w:t>
            </w:r>
          </w:p>
        </w:tc>
        <w:tc>
          <w:tcPr>
            <w:tcW w:w="2977" w:type="dxa"/>
          </w:tcPr>
          <w:p w14:paraId="159D9814"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Candidates listed alphabetically with a notation of States selecting nominee sent</w:t>
            </w:r>
          </w:p>
        </w:tc>
        <w:tc>
          <w:tcPr>
            <w:tcW w:w="2977" w:type="dxa"/>
          </w:tcPr>
          <w:p w14:paraId="59DFF468"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Largest number of votes and absolute majority of votes of States present and voting</w:t>
            </w:r>
          </w:p>
        </w:tc>
        <w:tc>
          <w:tcPr>
            <w:tcW w:w="3685" w:type="dxa"/>
          </w:tcPr>
          <w:p w14:paraId="7FB01C02"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Election in same fashion, but new member finishes term of vacating member</w:t>
            </w:r>
          </w:p>
        </w:tc>
      </w:tr>
      <w:tr w:rsidR="00E80518" w:rsidRPr="00CB2C31" w14:paraId="01B69D5E" w14:textId="77777777" w:rsidTr="005E6F9B">
        <w:trPr>
          <w:cantSplit/>
          <w:trHeight w:val="242"/>
        </w:trPr>
        <w:tc>
          <w:tcPr>
            <w:tcW w:w="1101" w:type="dxa"/>
            <w:shd w:val="clear" w:color="auto" w:fill="A6A6A6" w:themeFill="background1" w:themeFillShade="A6"/>
          </w:tcPr>
          <w:p w14:paraId="12FFAB9F"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CEDAW</w:t>
            </w:r>
          </w:p>
        </w:tc>
        <w:tc>
          <w:tcPr>
            <w:tcW w:w="1559" w:type="dxa"/>
          </w:tcPr>
          <w:p w14:paraId="7567AC27"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2126" w:type="dxa"/>
          </w:tcPr>
          <w:p w14:paraId="2544599E"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List submitted 2 months after invitation</w:t>
            </w:r>
          </w:p>
        </w:tc>
        <w:tc>
          <w:tcPr>
            <w:tcW w:w="2977" w:type="dxa"/>
          </w:tcPr>
          <w:p w14:paraId="4A2EC935"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Candidates listed alphabetically with a notation of States selecting nominee sent</w:t>
            </w:r>
          </w:p>
        </w:tc>
        <w:tc>
          <w:tcPr>
            <w:tcW w:w="2977" w:type="dxa"/>
          </w:tcPr>
          <w:p w14:paraId="7FE9C2AD"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Largest number of votes and absolute majority of votes of States present and voting</w:t>
            </w:r>
          </w:p>
        </w:tc>
        <w:tc>
          <w:tcPr>
            <w:tcW w:w="3685" w:type="dxa"/>
          </w:tcPr>
          <w:p w14:paraId="45DE718A"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The </w:t>
            </w:r>
            <w:r w:rsidR="00D12918" w:rsidRPr="00CB2C31">
              <w:rPr>
                <w:rFonts w:asciiTheme="majorHAnsi" w:hAnsiTheme="majorHAnsi" w:cstheme="majorHAnsi"/>
                <w:sz w:val="18"/>
                <w:szCs w:val="18"/>
                <w:lang w:val="en-US"/>
              </w:rPr>
              <w:t>State part</w:t>
            </w:r>
            <w:r w:rsidR="006D44BB" w:rsidRPr="00CB2C31">
              <w:rPr>
                <w:rFonts w:asciiTheme="majorHAnsi" w:hAnsiTheme="majorHAnsi" w:cstheme="majorHAnsi"/>
                <w:sz w:val="18"/>
                <w:szCs w:val="18"/>
                <w:lang w:val="en-US"/>
              </w:rPr>
              <w:t xml:space="preserve">y </w:t>
            </w:r>
            <w:r w:rsidRPr="00CB2C31">
              <w:rPr>
                <w:rFonts w:asciiTheme="majorHAnsi" w:hAnsiTheme="majorHAnsi" w:cstheme="majorHAnsi"/>
                <w:sz w:val="18"/>
                <w:szCs w:val="18"/>
                <w:lang w:val="en-US"/>
              </w:rPr>
              <w:t xml:space="preserve">whose expert has ceased to function as a </w:t>
            </w:r>
            <w:r w:rsidR="00783132" w:rsidRPr="00CB2C31">
              <w:rPr>
                <w:rFonts w:asciiTheme="majorHAnsi" w:hAnsiTheme="majorHAnsi" w:cstheme="majorHAnsi"/>
                <w:sz w:val="18"/>
                <w:szCs w:val="18"/>
                <w:lang w:val="en-US"/>
              </w:rPr>
              <w:t>M</w:t>
            </w:r>
            <w:r w:rsidRPr="00CB2C31">
              <w:rPr>
                <w:rFonts w:asciiTheme="majorHAnsi" w:hAnsiTheme="majorHAnsi" w:cstheme="majorHAnsi"/>
                <w:sz w:val="18"/>
                <w:szCs w:val="18"/>
                <w:lang w:val="en-US"/>
              </w:rPr>
              <w:t>ember of the Committee shall appoint another expert from among its nationals, subject to the approval of the Committee</w:t>
            </w:r>
          </w:p>
        </w:tc>
      </w:tr>
      <w:tr w:rsidR="00E80518" w:rsidRPr="00CB2C31" w14:paraId="7D212A7F" w14:textId="77777777" w:rsidTr="005E6F9B">
        <w:trPr>
          <w:cantSplit/>
          <w:trHeight w:val="231"/>
        </w:trPr>
        <w:tc>
          <w:tcPr>
            <w:tcW w:w="1101" w:type="dxa"/>
            <w:shd w:val="clear" w:color="auto" w:fill="A6A6A6" w:themeFill="background1" w:themeFillShade="A6"/>
          </w:tcPr>
          <w:p w14:paraId="55BFD7A5"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CMW</w:t>
            </w:r>
          </w:p>
        </w:tc>
        <w:tc>
          <w:tcPr>
            <w:tcW w:w="1559" w:type="dxa"/>
          </w:tcPr>
          <w:p w14:paraId="3BC0AD23"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2126" w:type="dxa"/>
          </w:tcPr>
          <w:p w14:paraId="69BEDA2D"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List submitted at least </w:t>
            </w:r>
            <w:r w:rsidR="00783132" w:rsidRPr="00CB2C31">
              <w:rPr>
                <w:rFonts w:asciiTheme="majorHAnsi" w:hAnsiTheme="majorHAnsi" w:cstheme="majorHAnsi"/>
                <w:sz w:val="18"/>
                <w:szCs w:val="18"/>
                <w:lang w:val="en-US"/>
              </w:rPr>
              <w:t>1</w:t>
            </w:r>
            <w:r w:rsidRPr="00CB2C31">
              <w:rPr>
                <w:rFonts w:asciiTheme="majorHAnsi" w:hAnsiTheme="majorHAnsi" w:cstheme="majorHAnsi"/>
                <w:sz w:val="18"/>
                <w:szCs w:val="18"/>
                <w:lang w:val="en-US"/>
              </w:rPr>
              <w:t xml:space="preserve"> month prior to election</w:t>
            </w:r>
          </w:p>
        </w:tc>
        <w:tc>
          <w:tcPr>
            <w:tcW w:w="2977" w:type="dxa"/>
          </w:tcPr>
          <w:p w14:paraId="59C4CE9B"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Candidates listed alphabetically with CV and a notation of States selecting nominee sent</w:t>
            </w:r>
          </w:p>
        </w:tc>
        <w:tc>
          <w:tcPr>
            <w:tcW w:w="2977" w:type="dxa"/>
          </w:tcPr>
          <w:p w14:paraId="6E36FD7A"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Largest number of votes and absolute majority of votes of States present and voting</w:t>
            </w:r>
          </w:p>
        </w:tc>
        <w:tc>
          <w:tcPr>
            <w:tcW w:w="3685" w:type="dxa"/>
          </w:tcPr>
          <w:p w14:paraId="4EA7241C"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The </w:t>
            </w:r>
            <w:r w:rsidR="00D12918" w:rsidRPr="00CB2C31">
              <w:rPr>
                <w:rFonts w:asciiTheme="majorHAnsi" w:hAnsiTheme="majorHAnsi" w:cstheme="majorHAnsi"/>
                <w:sz w:val="18"/>
                <w:szCs w:val="18"/>
                <w:lang w:val="en-US"/>
              </w:rPr>
              <w:t>State part</w:t>
            </w:r>
            <w:r w:rsidR="006D44BB" w:rsidRPr="00CB2C31">
              <w:rPr>
                <w:rFonts w:asciiTheme="majorHAnsi" w:hAnsiTheme="majorHAnsi" w:cstheme="majorHAnsi"/>
                <w:sz w:val="18"/>
                <w:szCs w:val="18"/>
                <w:lang w:val="en-US"/>
              </w:rPr>
              <w:t xml:space="preserve">y </w:t>
            </w:r>
            <w:r w:rsidRPr="00CB2C31">
              <w:rPr>
                <w:rFonts w:asciiTheme="majorHAnsi" w:hAnsiTheme="majorHAnsi" w:cstheme="majorHAnsi"/>
                <w:sz w:val="18"/>
                <w:szCs w:val="18"/>
                <w:lang w:val="en-US"/>
              </w:rPr>
              <w:t>who nominated the vacating expert shall appoint another expert from among its own nationals for the remaining part of the term, subject to the approval of the Committee</w:t>
            </w:r>
          </w:p>
        </w:tc>
      </w:tr>
      <w:tr w:rsidR="00E80518" w:rsidRPr="00CB2C31" w14:paraId="53957CD9" w14:textId="77777777" w:rsidTr="005E6F9B">
        <w:trPr>
          <w:cantSplit/>
          <w:trHeight w:val="242"/>
        </w:trPr>
        <w:tc>
          <w:tcPr>
            <w:tcW w:w="1101" w:type="dxa"/>
            <w:shd w:val="clear" w:color="auto" w:fill="A6A6A6" w:themeFill="background1" w:themeFillShade="A6"/>
          </w:tcPr>
          <w:p w14:paraId="7C6852A7"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SPT</w:t>
            </w:r>
          </w:p>
        </w:tc>
        <w:tc>
          <w:tcPr>
            <w:tcW w:w="1559" w:type="dxa"/>
          </w:tcPr>
          <w:p w14:paraId="4937CF12"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more than one nominee per State may serve on the Committee</w:t>
            </w:r>
          </w:p>
        </w:tc>
        <w:tc>
          <w:tcPr>
            <w:tcW w:w="2126" w:type="dxa"/>
          </w:tcPr>
          <w:p w14:paraId="7D0FCFDC"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List subm</w:t>
            </w:r>
            <w:r w:rsidR="00783132" w:rsidRPr="00CB2C31">
              <w:rPr>
                <w:rFonts w:asciiTheme="majorHAnsi" w:hAnsiTheme="majorHAnsi" w:cstheme="majorHAnsi"/>
                <w:sz w:val="18"/>
                <w:szCs w:val="18"/>
                <w:lang w:val="en-US"/>
              </w:rPr>
              <w:t>itted 3 months after invitation</w:t>
            </w:r>
          </w:p>
        </w:tc>
        <w:tc>
          <w:tcPr>
            <w:tcW w:w="2977" w:type="dxa"/>
          </w:tcPr>
          <w:p w14:paraId="62A62175"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Candidates listed alphabetically with a notation of States selecting nominee sent</w:t>
            </w:r>
          </w:p>
        </w:tc>
        <w:tc>
          <w:tcPr>
            <w:tcW w:w="2977" w:type="dxa"/>
          </w:tcPr>
          <w:p w14:paraId="1A5E6D22" w14:textId="6BBFD80B"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Primary consideration shall be given to </w:t>
            </w:r>
            <w:r w:rsidR="002F3009" w:rsidRPr="00CB2C31">
              <w:rPr>
                <w:rFonts w:asciiTheme="majorHAnsi" w:hAnsiTheme="majorHAnsi" w:cstheme="majorHAnsi"/>
                <w:sz w:val="18"/>
                <w:szCs w:val="18"/>
                <w:lang w:val="en-US"/>
              </w:rPr>
              <w:t>fulfil</w:t>
            </w:r>
            <w:r w:rsidR="007276F8">
              <w:rPr>
                <w:rFonts w:asciiTheme="majorHAnsi" w:hAnsiTheme="majorHAnsi" w:cstheme="majorHAnsi"/>
                <w:sz w:val="18"/>
                <w:szCs w:val="18"/>
                <w:lang w:val="en-US"/>
              </w:rPr>
              <w:t>l</w:t>
            </w:r>
            <w:r w:rsidR="002F3009" w:rsidRPr="00CB2C31">
              <w:rPr>
                <w:rFonts w:asciiTheme="majorHAnsi" w:hAnsiTheme="majorHAnsi" w:cstheme="majorHAnsi"/>
                <w:sz w:val="18"/>
                <w:szCs w:val="18"/>
                <w:lang w:val="en-US"/>
              </w:rPr>
              <w:t>ment</w:t>
            </w:r>
            <w:r w:rsidRPr="00CB2C31">
              <w:rPr>
                <w:rFonts w:asciiTheme="majorHAnsi" w:hAnsiTheme="majorHAnsi" w:cstheme="majorHAnsi"/>
                <w:sz w:val="18"/>
                <w:szCs w:val="18"/>
                <w:lang w:val="en-US"/>
              </w:rPr>
              <w:t xml:space="preserve"> of requirements in Art. 5 (experience, geography, legal system, gender)</w:t>
            </w:r>
            <w:r w:rsidR="00F111D2" w:rsidRPr="00CB2C31">
              <w:rPr>
                <w:rFonts w:asciiTheme="majorHAnsi" w:hAnsiTheme="majorHAnsi" w:cstheme="majorHAnsi"/>
                <w:sz w:val="18"/>
                <w:szCs w:val="18"/>
                <w:lang w:val="en-US"/>
              </w:rPr>
              <w:t xml:space="preserve">.  </w:t>
            </w:r>
            <w:r w:rsidRPr="00CB2C31">
              <w:rPr>
                <w:rFonts w:asciiTheme="majorHAnsi" w:hAnsiTheme="majorHAnsi" w:cstheme="majorHAnsi"/>
                <w:sz w:val="18"/>
                <w:szCs w:val="18"/>
                <w:lang w:val="en-US"/>
              </w:rPr>
              <w:t>Largest number of votes and absolute majority of votes of States present and voting</w:t>
            </w:r>
            <w:r w:rsidR="00F111D2" w:rsidRPr="00CB2C31">
              <w:rPr>
                <w:rFonts w:asciiTheme="majorHAnsi" w:hAnsiTheme="majorHAnsi" w:cstheme="majorHAnsi"/>
                <w:sz w:val="18"/>
                <w:szCs w:val="18"/>
                <w:lang w:val="en-US"/>
              </w:rPr>
              <w:t xml:space="preserve">.  </w:t>
            </w:r>
            <w:r w:rsidRPr="00CB2C31">
              <w:rPr>
                <w:rFonts w:asciiTheme="majorHAnsi" w:hAnsiTheme="majorHAnsi" w:cstheme="majorHAnsi"/>
                <w:sz w:val="18"/>
                <w:szCs w:val="18"/>
                <w:lang w:val="en-US"/>
              </w:rPr>
              <w:t xml:space="preserve">If two nationals of a State </w:t>
            </w:r>
            <w:r w:rsidR="006D44BB" w:rsidRPr="00CB2C31">
              <w:rPr>
                <w:rFonts w:asciiTheme="majorHAnsi" w:hAnsiTheme="majorHAnsi" w:cstheme="majorHAnsi"/>
                <w:sz w:val="18"/>
                <w:szCs w:val="18"/>
                <w:lang w:val="en-US"/>
              </w:rPr>
              <w:t xml:space="preserve">party </w:t>
            </w:r>
            <w:r w:rsidRPr="00CB2C31">
              <w:rPr>
                <w:rFonts w:asciiTheme="majorHAnsi" w:hAnsiTheme="majorHAnsi" w:cstheme="majorHAnsi"/>
                <w:sz w:val="18"/>
                <w:szCs w:val="18"/>
                <w:lang w:val="en-US"/>
              </w:rPr>
              <w:t xml:space="preserve">are selected, the national with the most votes shall serve and if there is a tie, that national selected by the State </w:t>
            </w:r>
            <w:r w:rsidR="006D44BB" w:rsidRPr="00CB2C31">
              <w:rPr>
                <w:rFonts w:asciiTheme="majorHAnsi" w:hAnsiTheme="majorHAnsi" w:cstheme="majorHAnsi"/>
                <w:sz w:val="18"/>
                <w:szCs w:val="18"/>
                <w:lang w:val="en-US"/>
              </w:rPr>
              <w:t xml:space="preserve">party </w:t>
            </w:r>
            <w:r w:rsidRPr="00CB2C31">
              <w:rPr>
                <w:rFonts w:asciiTheme="majorHAnsi" w:hAnsiTheme="majorHAnsi" w:cstheme="majorHAnsi"/>
                <w:sz w:val="18"/>
                <w:szCs w:val="18"/>
                <w:lang w:val="en-US"/>
              </w:rPr>
              <w:t xml:space="preserve">shall serve or if both or neither candidate is nominated by the </w:t>
            </w:r>
            <w:r w:rsidR="00D12918" w:rsidRPr="00CB2C31">
              <w:rPr>
                <w:rFonts w:asciiTheme="majorHAnsi" w:hAnsiTheme="majorHAnsi" w:cstheme="majorHAnsi"/>
                <w:sz w:val="18"/>
                <w:szCs w:val="18"/>
                <w:lang w:val="en-US"/>
              </w:rPr>
              <w:t>State part</w:t>
            </w:r>
            <w:r w:rsidR="006D44BB" w:rsidRPr="00CB2C31">
              <w:rPr>
                <w:rFonts w:asciiTheme="majorHAnsi" w:hAnsiTheme="majorHAnsi" w:cstheme="majorHAnsi"/>
                <w:sz w:val="18"/>
                <w:szCs w:val="18"/>
                <w:lang w:val="en-US"/>
              </w:rPr>
              <w:t>y</w:t>
            </w:r>
            <w:r w:rsidRPr="00CB2C31">
              <w:rPr>
                <w:rFonts w:asciiTheme="majorHAnsi" w:hAnsiTheme="majorHAnsi" w:cstheme="majorHAnsi"/>
                <w:sz w:val="18"/>
                <w:szCs w:val="18"/>
                <w:lang w:val="en-US"/>
              </w:rPr>
              <w:t>, there shall be a secret ballot</w:t>
            </w:r>
            <w:r w:rsidR="000C6BF1">
              <w:rPr>
                <w:rFonts w:asciiTheme="majorHAnsi" w:hAnsiTheme="majorHAnsi" w:cstheme="majorHAnsi"/>
                <w:sz w:val="18"/>
                <w:szCs w:val="18"/>
                <w:lang w:val="en-US"/>
              </w:rPr>
              <w:t>.</w:t>
            </w:r>
          </w:p>
        </w:tc>
        <w:tc>
          <w:tcPr>
            <w:tcW w:w="3685" w:type="dxa"/>
          </w:tcPr>
          <w:p w14:paraId="338D6CD9"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The </w:t>
            </w:r>
            <w:r w:rsidR="00D12918" w:rsidRPr="00CB2C31">
              <w:rPr>
                <w:rFonts w:asciiTheme="majorHAnsi" w:hAnsiTheme="majorHAnsi" w:cstheme="majorHAnsi"/>
                <w:sz w:val="18"/>
                <w:szCs w:val="18"/>
                <w:lang w:val="en-US"/>
              </w:rPr>
              <w:t>State part</w:t>
            </w:r>
            <w:r w:rsidR="006D44BB" w:rsidRPr="00CB2C31">
              <w:rPr>
                <w:rFonts w:asciiTheme="majorHAnsi" w:hAnsiTheme="majorHAnsi" w:cstheme="majorHAnsi"/>
                <w:sz w:val="18"/>
                <w:szCs w:val="18"/>
                <w:lang w:val="en-US"/>
              </w:rPr>
              <w:t xml:space="preserve">y </w:t>
            </w:r>
            <w:r w:rsidRPr="00CB2C31">
              <w:rPr>
                <w:rFonts w:asciiTheme="majorHAnsi" w:hAnsiTheme="majorHAnsi" w:cstheme="majorHAnsi"/>
                <w:sz w:val="18"/>
                <w:szCs w:val="18"/>
                <w:lang w:val="en-US"/>
              </w:rPr>
              <w:t>who nominated the vacating expert shall nominate another eligible person possessing the qualifications in Art. 5 for the remaining part of the term, subject to the approval of the Committee</w:t>
            </w:r>
            <w:r w:rsidR="00F111D2" w:rsidRPr="00CB2C31">
              <w:rPr>
                <w:rFonts w:asciiTheme="majorHAnsi" w:hAnsiTheme="majorHAnsi" w:cstheme="majorHAnsi"/>
                <w:sz w:val="18"/>
                <w:szCs w:val="18"/>
                <w:lang w:val="en-US"/>
              </w:rPr>
              <w:t xml:space="preserve">.  </w:t>
            </w:r>
            <w:r w:rsidRPr="00CB2C31">
              <w:rPr>
                <w:rFonts w:asciiTheme="majorHAnsi" w:hAnsiTheme="majorHAnsi" w:cstheme="majorHAnsi"/>
                <w:sz w:val="18"/>
                <w:szCs w:val="18"/>
                <w:lang w:val="en-US"/>
              </w:rPr>
              <w:t xml:space="preserve">Approval shall be considered given unless half or more of the </w:t>
            </w:r>
            <w:r w:rsidR="00D12918" w:rsidRPr="00CB2C31">
              <w:rPr>
                <w:rFonts w:asciiTheme="majorHAnsi" w:hAnsiTheme="majorHAnsi" w:cstheme="majorHAnsi"/>
                <w:sz w:val="18"/>
                <w:szCs w:val="18"/>
                <w:lang w:val="en-US"/>
              </w:rPr>
              <w:t>State part</w:t>
            </w:r>
            <w:r w:rsidR="00FE2B35" w:rsidRPr="00CB2C31">
              <w:rPr>
                <w:rFonts w:asciiTheme="majorHAnsi" w:hAnsiTheme="majorHAnsi" w:cstheme="majorHAnsi"/>
                <w:sz w:val="18"/>
                <w:szCs w:val="18"/>
                <w:lang w:val="en-US"/>
              </w:rPr>
              <w:t xml:space="preserve">ies </w:t>
            </w:r>
            <w:r w:rsidRPr="00CB2C31">
              <w:rPr>
                <w:rFonts w:asciiTheme="majorHAnsi" w:hAnsiTheme="majorHAnsi" w:cstheme="majorHAnsi"/>
                <w:sz w:val="18"/>
                <w:szCs w:val="18"/>
                <w:lang w:val="en-US"/>
              </w:rPr>
              <w:t>respond negatively within six weeks after having been informed of the proposed appointment</w:t>
            </w:r>
            <w:r w:rsidR="007276F8">
              <w:rPr>
                <w:rFonts w:asciiTheme="majorHAnsi" w:hAnsiTheme="majorHAnsi" w:cstheme="majorHAnsi"/>
                <w:sz w:val="18"/>
                <w:szCs w:val="18"/>
                <w:lang w:val="en-US"/>
              </w:rPr>
              <w:t>.</w:t>
            </w:r>
          </w:p>
        </w:tc>
      </w:tr>
      <w:tr w:rsidR="00E80518" w:rsidRPr="00CB2C31" w14:paraId="290AAC6D" w14:textId="77777777" w:rsidTr="005E6F9B">
        <w:trPr>
          <w:cantSplit/>
          <w:trHeight w:val="242"/>
        </w:trPr>
        <w:tc>
          <w:tcPr>
            <w:tcW w:w="1101" w:type="dxa"/>
            <w:shd w:val="clear" w:color="auto" w:fill="A6A6A6" w:themeFill="background1" w:themeFillShade="A6"/>
          </w:tcPr>
          <w:p w14:paraId="27225681"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CAT</w:t>
            </w:r>
          </w:p>
        </w:tc>
        <w:tc>
          <w:tcPr>
            <w:tcW w:w="1559" w:type="dxa"/>
          </w:tcPr>
          <w:p w14:paraId="6B5D58C5"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2126" w:type="dxa"/>
          </w:tcPr>
          <w:p w14:paraId="77236976"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List submitted at least 1 month prior to election</w:t>
            </w:r>
          </w:p>
        </w:tc>
        <w:tc>
          <w:tcPr>
            <w:tcW w:w="2977" w:type="dxa"/>
          </w:tcPr>
          <w:p w14:paraId="2491C34A"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Candidates listed alphabetically with a notation of States selecting nominee sent</w:t>
            </w:r>
          </w:p>
        </w:tc>
        <w:tc>
          <w:tcPr>
            <w:tcW w:w="2977" w:type="dxa"/>
          </w:tcPr>
          <w:p w14:paraId="06FDA542"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Largest number of votes and an absolute majority of the votes of the representatives of </w:t>
            </w:r>
            <w:r w:rsidR="00D12918" w:rsidRPr="00CB2C31">
              <w:rPr>
                <w:rFonts w:asciiTheme="majorHAnsi" w:hAnsiTheme="majorHAnsi" w:cstheme="majorHAnsi"/>
                <w:sz w:val="18"/>
                <w:szCs w:val="18"/>
                <w:lang w:val="en-US"/>
              </w:rPr>
              <w:t>State part</w:t>
            </w:r>
            <w:r w:rsidR="00FE2B35" w:rsidRPr="00CB2C31">
              <w:rPr>
                <w:rFonts w:asciiTheme="majorHAnsi" w:hAnsiTheme="majorHAnsi" w:cstheme="majorHAnsi"/>
                <w:sz w:val="18"/>
                <w:szCs w:val="18"/>
                <w:lang w:val="en-US"/>
              </w:rPr>
              <w:t xml:space="preserve">ies </w:t>
            </w:r>
            <w:r w:rsidRPr="00CB2C31">
              <w:rPr>
                <w:rFonts w:asciiTheme="majorHAnsi" w:hAnsiTheme="majorHAnsi" w:cstheme="majorHAnsi"/>
                <w:sz w:val="18"/>
                <w:szCs w:val="18"/>
                <w:lang w:val="en-US"/>
              </w:rPr>
              <w:t>present and voting</w:t>
            </w:r>
          </w:p>
        </w:tc>
        <w:tc>
          <w:tcPr>
            <w:tcW w:w="3685" w:type="dxa"/>
          </w:tcPr>
          <w:p w14:paraId="4BB9915E"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The </w:t>
            </w:r>
            <w:r w:rsidR="00D12918" w:rsidRPr="00CB2C31">
              <w:rPr>
                <w:rFonts w:asciiTheme="majorHAnsi" w:hAnsiTheme="majorHAnsi" w:cstheme="majorHAnsi"/>
                <w:sz w:val="18"/>
                <w:szCs w:val="18"/>
                <w:lang w:val="en-US"/>
              </w:rPr>
              <w:t>State part</w:t>
            </w:r>
            <w:r w:rsidR="006D44BB" w:rsidRPr="00CB2C31">
              <w:rPr>
                <w:rFonts w:asciiTheme="majorHAnsi" w:hAnsiTheme="majorHAnsi" w:cstheme="majorHAnsi"/>
                <w:sz w:val="18"/>
                <w:szCs w:val="18"/>
                <w:lang w:val="en-US"/>
              </w:rPr>
              <w:t xml:space="preserve">y </w:t>
            </w:r>
            <w:r w:rsidRPr="00CB2C31">
              <w:rPr>
                <w:rFonts w:asciiTheme="majorHAnsi" w:hAnsiTheme="majorHAnsi" w:cstheme="majorHAnsi"/>
                <w:sz w:val="18"/>
                <w:szCs w:val="18"/>
                <w:lang w:val="en-US"/>
              </w:rPr>
              <w:t>shall appoint another expert from among its nationals to serve for</w:t>
            </w:r>
            <w:r w:rsidR="00783132" w:rsidRPr="00CB2C31">
              <w:rPr>
                <w:rFonts w:asciiTheme="majorHAnsi" w:hAnsiTheme="majorHAnsi" w:cstheme="majorHAnsi"/>
                <w:sz w:val="18"/>
                <w:szCs w:val="18"/>
                <w:lang w:val="en-US"/>
              </w:rPr>
              <w:t xml:space="preserve"> the remainder of the vacating M</w:t>
            </w:r>
            <w:r w:rsidRPr="00CB2C31">
              <w:rPr>
                <w:rFonts w:asciiTheme="majorHAnsi" w:hAnsiTheme="majorHAnsi" w:cstheme="majorHAnsi"/>
                <w:sz w:val="18"/>
                <w:szCs w:val="18"/>
                <w:lang w:val="en-US"/>
              </w:rPr>
              <w:t>ember</w:t>
            </w:r>
            <w:r w:rsidR="00593F1F">
              <w:rPr>
                <w:rFonts w:asciiTheme="majorHAnsi" w:hAnsiTheme="majorHAnsi" w:cstheme="majorHAnsi"/>
                <w:sz w:val="18"/>
                <w:szCs w:val="18"/>
                <w:lang w:val="en-US"/>
              </w:rPr>
              <w:t>’</w:t>
            </w:r>
            <w:r w:rsidRPr="00CB2C31">
              <w:rPr>
                <w:rFonts w:asciiTheme="majorHAnsi" w:hAnsiTheme="majorHAnsi" w:cstheme="majorHAnsi"/>
                <w:sz w:val="18"/>
                <w:szCs w:val="18"/>
                <w:lang w:val="en-US"/>
              </w:rPr>
              <w:t xml:space="preserve">s term, subject to the approval of the majority of the </w:t>
            </w:r>
            <w:r w:rsidR="00D12918" w:rsidRPr="00CB2C31">
              <w:rPr>
                <w:rFonts w:asciiTheme="majorHAnsi" w:hAnsiTheme="majorHAnsi" w:cstheme="majorHAnsi"/>
                <w:sz w:val="18"/>
                <w:szCs w:val="18"/>
                <w:lang w:val="en-US"/>
              </w:rPr>
              <w:t>State part</w:t>
            </w:r>
            <w:r w:rsidR="00FE2B35" w:rsidRPr="00CB2C31">
              <w:rPr>
                <w:rFonts w:asciiTheme="majorHAnsi" w:hAnsiTheme="majorHAnsi" w:cstheme="majorHAnsi"/>
                <w:sz w:val="18"/>
                <w:szCs w:val="18"/>
                <w:lang w:val="en-US"/>
              </w:rPr>
              <w:t>ies</w:t>
            </w:r>
          </w:p>
        </w:tc>
      </w:tr>
      <w:tr w:rsidR="00E80518" w:rsidRPr="00CB2C31" w14:paraId="685E4751" w14:textId="77777777" w:rsidTr="005E6F9B">
        <w:trPr>
          <w:cantSplit/>
          <w:trHeight w:val="242"/>
        </w:trPr>
        <w:tc>
          <w:tcPr>
            <w:tcW w:w="1101" w:type="dxa"/>
            <w:shd w:val="clear" w:color="auto" w:fill="A6A6A6" w:themeFill="background1" w:themeFillShade="A6"/>
          </w:tcPr>
          <w:p w14:paraId="19858CF2"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CRPD</w:t>
            </w:r>
          </w:p>
        </w:tc>
        <w:tc>
          <w:tcPr>
            <w:tcW w:w="1559" w:type="dxa"/>
          </w:tcPr>
          <w:p w14:paraId="337CCDFF"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2126" w:type="dxa"/>
          </w:tcPr>
          <w:p w14:paraId="55F77E4F"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List submitted at least </w:t>
            </w:r>
            <w:r w:rsidR="00783132" w:rsidRPr="00CB2C31">
              <w:rPr>
                <w:rFonts w:asciiTheme="majorHAnsi" w:hAnsiTheme="majorHAnsi" w:cstheme="majorHAnsi"/>
                <w:sz w:val="18"/>
                <w:szCs w:val="18"/>
                <w:lang w:val="en-US"/>
              </w:rPr>
              <w:t>2</w:t>
            </w:r>
            <w:r w:rsidRPr="00CB2C31">
              <w:rPr>
                <w:rFonts w:asciiTheme="majorHAnsi" w:hAnsiTheme="majorHAnsi" w:cstheme="majorHAnsi"/>
                <w:sz w:val="18"/>
                <w:szCs w:val="18"/>
                <w:lang w:val="en-US"/>
              </w:rPr>
              <w:t xml:space="preserve"> months prior to election</w:t>
            </w:r>
          </w:p>
        </w:tc>
        <w:tc>
          <w:tcPr>
            <w:tcW w:w="2977" w:type="dxa"/>
          </w:tcPr>
          <w:p w14:paraId="12B59244"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Candidates listed alphabetically with a notation of States selecting nominee sent</w:t>
            </w:r>
          </w:p>
        </w:tc>
        <w:tc>
          <w:tcPr>
            <w:tcW w:w="2977" w:type="dxa"/>
          </w:tcPr>
          <w:p w14:paraId="5AB8EDF4" w14:textId="509E81E4"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Largest number of votes and an absolute majority of the votes of the representatives of </w:t>
            </w:r>
            <w:r w:rsidR="00D12918" w:rsidRPr="00CB2C31">
              <w:rPr>
                <w:rFonts w:asciiTheme="majorHAnsi" w:hAnsiTheme="majorHAnsi" w:cstheme="majorHAnsi"/>
                <w:sz w:val="18"/>
                <w:szCs w:val="18"/>
                <w:lang w:val="en-US"/>
              </w:rPr>
              <w:t>State part</w:t>
            </w:r>
            <w:r w:rsidR="00FE2B35" w:rsidRPr="00CB2C31">
              <w:rPr>
                <w:rFonts w:asciiTheme="majorHAnsi" w:hAnsiTheme="majorHAnsi" w:cstheme="majorHAnsi"/>
                <w:sz w:val="18"/>
                <w:szCs w:val="18"/>
                <w:lang w:val="en-US"/>
              </w:rPr>
              <w:t xml:space="preserve">ies </w:t>
            </w:r>
            <w:r w:rsidRPr="00CB2C31">
              <w:rPr>
                <w:rFonts w:asciiTheme="majorHAnsi" w:hAnsiTheme="majorHAnsi" w:cstheme="majorHAnsi"/>
                <w:sz w:val="18"/>
                <w:szCs w:val="18"/>
                <w:lang w:val="en-US"/>
              </w:rPr>
              <w:t>present and voting</w:t>
            </w:r>
          </w:p>
        </w:tc>
        <w:tc>
          <w:tcPr>
            <w:tcW w:w="3685" w:type="dxa"/>
          </w:tcPr>
          <w:p w14:paraId="038D8CC6"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The </w:t>
            </w:r>
            <w:r w:rsidR="00D12918" w:rsidRPr="00CB2C31">
              <w:rPr>
                <w:rFonts w:asciiTheme="majorHAnsi" w:hAnsiTheme="majorHAnsi" w:cstheme="majorHAnsi"/>
                <w:sz w:val="18"/>
                <w:szCs w:val="18"/>
                <w:lang w:val="en-US"/>
              </w:rPr>
              <w:t>State part</w:t>
            </w:r>
            <w:r w:rsidR="006D44BB" w:rsidRPr="00CB2C31">
              <w:rPr>
                <w:rFonts w:asciiTheme="majorHAnsi" w:hAnsiTheme="majorHAnsi" w:cstheme="majorHAnsi"/>
                <w:sz w:val="18"/>
                <w:szCs w:val="18"/>
                <w:lang w:val="en-US"/>
              </w:rPr>
              <w:t xml:space="preserve">y </w:t>
            </w:r>
            <w:r w:rsidRPr="00CB2C31">
              <w:rPr>
                <w:rFonts w:asciiTheme="majorHAnsi" w:hAnsiTheme="majorHAnsi" w:cstheme="majorHAnsi"/>
                <w:sz w:val="18"/>
                <w:szCs w:val="18"/>
                <w:lang w:val="en-US"/>
              </w:rPr>
              <w:t>shall appoint another expert possessing the qualifications and relevant requirements set out in Art</w:t>
            </w:r>
            <w:r w:rsidR="00783132" w:rsidRPr="00CB2C31">
              <w:rPr>
                <w:rFonts w:asciiTheme="majorHAnsi" w:hAnsiTheme="majorHAnsi" w:cstheme="majorHAnsi"/>
                <w:sz w:val="18"/>
                <w:szCs w:val="18"/>
                <w:lang w:val="en-US"/>
              </w:rPr>
              <w:t>.</w:t>
            </w:r>
            <w:r w:rsidRPr="00CB2C31">
              <w:rPr>
                <w:rFonts w:asciiTheme="majorHAnsi" w:hAnsiTheme="majorHAnsi" w:cstheme="majorHAnsi"/>
                <w:sz w:val="18"/>
                <w:szCs w:val="18"/>
                <w:lang w:val="en-US"/>
              </w:rPr>
              <w:t xml:space="preserve"> 34 and will serve the remainder of the term</w:t>
            </w:r>
          </w:p>
        </w:tc>
      </w:tr>
      <w:tr w:rsidR="00E80518" w:rsidRPr="00CB2C31" w14:paraId="78BC8BB5" w14:textId="77777777" w:rsidTr="005E6F9B">
        <w:trPr>
          <w:cantSplit/>
          <w:trHeight w:val="231"/>
        </w:trPr>
        <w:tc>
          <w:tcPr>
            <w:tcW w:w="1101" w:type="dxa"/>
            <w:shd w:val="clear" w:color="auto" w:fill="A6A6A6" w:themeFill="background1" w:themeFillShade="A6"/>
          </w:tcPr>
          <w:p w14:paraId="03E2E1E5"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ICESCR</w:t>
            </w:r>
          </w:p>
        </w:tc>
        <w:tc>
          <w:tcPr>
            <w:tcW w:w="1559" w:type="dxa"/>
          </w:tcPr>
          <w:p w14:paraId="3200BE26"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2126" w:type="dxa"/>
          </w:tcPr>
          <w:p w14:paraId="618B74DF"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List submitted at least </w:t>
            </w:r>
            <w:r w:rsidR="00783132" w:rsidRPr="00CB2C31">
              <w:rPr>
                <w:rFonts w:asciiTheme="majorHAnsi" w:hAnsiTheme="majorHAnsi" w:cstheme="majorHAnsi"/>
                <w:sz w:val="18"/>
                <w:szCs w:val="18"/>
                <w:lang w:val="en-US"/>
              </w:rPr>
              <w:t>1</w:t>
            </w:r>
            <w:r w:rsidRPr="00CB2C31">
              <w:rPr>
                <w:rFonts w:asciiTheme="majorHAnsi" w:hAnsiTheme="majorHAnsi" w:cstheme="majorHAnsi"/>
                <w:sz w:val="18"/>
                <w:szCs w:val="18"/>
                <w:lang w:val="en-US"/>
              </w:rPr>
              <w:t xml:space="preserve"> month prior to election</w:t>
            </w:r>
          </w:p>
        </w:tc>
        <w:tc>
          <w:tcPr>
            <w:tcW w:w="2977" w:type="dxa"/>
          </w:tcPr>
          <w:p w14:paraId="3E0F6A46"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Not clear</w:t>
            </w:r>
          </w:p>
        </w:tc>
        <w:tc>
          <w:tcPr>
            <w:tcW w:w="2977" w:type="dxa"/>
          </w:tcPr>
          <w:p w14:paraId="706CE268"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Not clear</w:t>
            </w:r>
          </w:p>
        </w:tc>
        <w:tc>
          <w:tcPr>
            <w:tcW w:w="3685" w:type="dxa"/>
          </w:tcPr>
          <w:p w14:paraId="1C36ADF7"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E80518" w:rsidRPr="00CB2C31" w14:paraId="379F0E33" w14:textId="77777777" w:rsidTr="005E6F9B">
        <w:trPr>
          <w:cantSplit/>
          <w:trHeight w:val="242"/>
        </w:trPr>
        <w:tc>
          <w:tcPr>
            <w:tcW w:w="1101" w:type="dxa"/>
            <w:shd w:val="clear" w:color="auto" w:fill="A6A6A6" w:themeFill="background1" w:themeFillShade="A6"/>
          </w:tcPr>
          <w:p w14:paraId="7BA40DEC"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CERD</w:t>
            </w:r>
          </w:p>
        </w:tc>
        <w:tc>
          <w:tcPr>
            <w:tcW w:w="1559" w:type="dxa"/>
          </w:tcPr>
          <w:p w14:paraId="5FB71C08"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No more than </w:t>
            </w:r>
            <w:r w:rsidR="00783132" w:rsidRPr="00CB2C31">
              <w:rPr>
                <w:rFonts w:asciiTheme="majorHAnsi" w:hAnsiTheme="majorHAnsi" w:cstheme="majorHAnsi"/>
                <w:sz w:val="18"/>
                <w:szCs w:val="18"/>
                <w:lang w:val="en-US"/>
              </w:rPr>
              <w:t>1</w:t>
            </w:r>
            <w:r w:rsidRPr="00CB2C31">
              <w:rPr>
                <w:rFonts w:asciiTheme="majorHAnsi" w:hAnsiTheme="majorHAnsi" w:cstheme="majorHAnsi"/>
                <w:sz w:val="18"/>
                <w:szCs w:val="18"/>
                <w:lang w:val="en-US"/>
              </w:rPr>
              <w:t xml:space="preserve"> nominee per State may serve on the Committee</w:t>
            </w:r>
          </w:p>
        </w:tc>
        <w:tc>
          <w:tcPr>
            <w:tcW w:w="2126" w:type="dxa"/>
          </w:tcPr>
          <w:p w14:paraId="0EBB3E25"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List submitted at least 2 months prior to election</w:t>
            </w:r>
          </w:p>
        </w:tc>
        <w:tc>
          <w:tcPr>
            <w:tcW w:w="2977" w:type="dxa"/>
          </w:tcPr>
          <w:p w14:paraId="404BBFBF"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Candidates listed alphabetically</w:t>
            </w:r>
          </w:p>
        </w:tc>
        <w:tc>
          <w:tcPr>
            <w:tcW w:w="2977" w:type="dxa"/>
          </w:tcPr>
          <w:p w14:paraId="3507E5F8"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Largest number of votes and absolute majority of votes of States present and voting</w:t>
            </w:r>
          </w:p>
        </w:tc>
        <w:tc>
          <w:tcPr>
            <w:tcW w:w="3685" w:type="dxa"/>
          </w:tcPr>
          <w:p w14:paraId="0B0E1DEF" w14:textId="77777777" w:rsidR="00E80518" w:rsidRPr="00CB2C31" w:rsidRDefault="00D129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State part</w:t>
            </w:r>
            <w:r w:rsidR="006D44BB" w:rsidRPr="00CB2C31">
              <w:rPr>
                <w:rFonts w:asciiTheme="majorHAnsi" w:hAnsiTheme="majorHAnsi" w:cstheme="majorHAnsi"/>
                <w:sz w:val="18"/>
                <w:szCs w:val="18"/>
                <w:lang w:val="en-US"/>
              </w:rPr>
              <w:t xml:space="preserve">y </w:t>
            </w:r>
            <w:r w:rsidR="00E80518" w:rsidRPr="00CB2C31">
              <w:rPr>
                <w:rFonts w:asciiTheme="majorHAnsi" w:hAnsiTheme="majorHAnsi" w:cstheme="majorHAnsi"/>
                <w:sz w:val="18"/>
                <w:szCs w:val="18"/>
                <w:lang w:val="en-US"/>
              </w:rPr>
              <w:t xml:space="preserve">whose expert has ceased to function as a </w:t>
            </w:r>
            <w:r w:rsidR="00783132" w:rsidRPr="00CB2C31">
              <w:rPr>
                <w:rFonts w:asciiTheme="majorHAnsi" w:hAnsiTheme="majorHAnsi" w:cstheme="majorHAnsi"/>
                <w:sz w:val="18"/>
                <w:szCs w:val="18"/>
                <w:lang w:val="en-US"/>
              </w:rPr>
              <w:t>M</w:t>
            </w:r>
            <w:r w:rsidR="00E80518" w:rsidRPr="00CB2C31">
              <w:rPr>
                <w:rFonts w:asciiTheme="majorHAnsi" w:hAnsiTheme="majorHAnsi" w:cstheme="majorHAnsi"/>
                <w:sz w:val="18"/>
                <w:szCs w:val="18"/>
                <w:lang w:val="en-US"/>
              </w:rPr>
              <w:t>ember of Committee shall appoint another expert from its own nationals, subject to approval of Committee</w:t>
            </w:r>
          </w:p>
        </w:tc>
      </w:tr>
      <w:tr w:rsidR="00E80518" w:rsidRPr="00CB2C31" w14:paraId="05F3FA2C" w14:textId="77777777" w:rsidTr="005E6F9B">
        <w:trPr>
          <w:cantSplit/>
          <w:trHeight w:val="242"/>
        </w:trPr>
        <w:tc>
          <w:tcPr>
            <w:tcW w:w="1101" w:type="dxa"/>
            <w:shd w:val="clear" w:color="auto" w:fill="A6A6A6" w:themeFill="background1" w:themeFillShade="A6"/>
          </w:tcPr>
          <w:p w14:paraId="6BF09317"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CRC</w:t>
            </w:r>
          </w:p>
        </w:tc>
        <w:tc>
          <w:tcPr>
            <w:tcW w:w="1559" w:type="dxa"/>
          </w:tcPr>
          <w:p w14:paraId="0747CE06"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 xml:space="preserve">No more than </w:t>
            </w:r>
            <w:r w:rsidR="00783132" w:rsidRPr="00CB2C31">
              <w:rPr>
                <w:rFonts w:asciiTheme="majorHAnsi" w:hAnsiTheme="majorHAnsi" w:cstheme="majorHAnsi"/>
                <w:sz w:val="18"/>
                <w:szCs w:val="18"/>
                <w:lang w:val="en-US"/>
              </w:rPr>
              <w:t>1</w:t>
            </w:r>
            <w:r w:rsidRPr="00CB2C31">
              <w:rPr>
                <w:rFonts w:asciiTheme="majorHAnsi" w:hAnsiTheme="majorHAnsi" w:cstheme="majorHAnsi"/>
                <w:sz w:val="18"/>
                <w:szCs w:val="18"/>
                <w:lang w:val="en-US"/>
              </w:rPr>
              <w:t xml:space="preserve"> nominee per State may serve on the Committee</w:t>
            </w:r>
          </w:p>
        </w:tc>
        <w:tc>
          <w:tcPr>
            <w:tcW w:w="2126" w:type="dxa"/>
          </w:tcPr>
          <w:p w14:paraId="68B7689C"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List submitted at least 2 months prior to election</w:t>
            </w:r>
          </w:p>
        </w:tc>
        <w:tc>
          <w:tcPr>
            <w:tcW w:w="2977" w:type="dxa"/>
          </w:tcPr>
          <w:p w14:paraId="5F351DDC"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Candidates listed alphabetically</w:t>
            </w:r>
          </w:p>
        </w:tc>
        <w:tc>
          <w:tcPr>
            <w:tcW w:w="2977" w:type="dxa"/>
          </w:tcPr>
          <w:p w14:paraId="13C75E10"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Largest number of votes and absolute majority of votes of States present and voting</w:t>
            </w:r>
          </w:p>
        </w:tc>
        <w:tc>
          <w:tcPr>
            <w:tcW w:w="3685" w:type="dxa"/>
          </w:tcPr>
          <w:p w14:paraId="627036D2" w14:textId="77777777" w:rsidR="00E80518" w:rsidRPr="00CB2C31" w:rsidRDefault="00D129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State part</w:t>
            </w:r>
            <w:r w:rsidR="006D44BB" w:rsidRPr="00CB2C31">
              <w:rPr>
                <w:rFonts w:asciiTheme="majorHAnsi" w:hAnsiTheme="majorHAnsi" w:cstheme="majorHAnsi"/>
                <w:sz w:val="18"/>
                <w:szCs w:val="18"/>
                <w:lang w:val="en-US"/>
              </w:rPr>
              <w:t xml:space="preserve">y </w:t>
            </w:r>
            <w:r w:rsidR="00E80518" w:rsidRPr="00CB2C31">
              <w:rPr>
                <w:rFonts w:asciiTheme="majorHAnsi" w:hAnsiTheme="majorHAnsi" w:cstheme="majorHAnsi"/>
                <w:sz w:val="18"/>
                <w:szCs w:val="18"/>
                <w:lang w:val="en-US"/>
              </w:rPr>
              <w:t xml:space="preserve">whose expert has ceased to function as a </w:t>
            </w:r>
            <w:r w:rsidR="00783132" w:rsidRPr="00CB2C31">
              <w:rPr>
                <w:rFonts w:asciiTheme="majorHAnsi" w:hAnsiTheme="majorHAnsi" w:cstheme="majorHAnsi"/>
                <w:sz w:val="18"/>
                <w:szCs w:val="18"/>
                <w:lang w:val="en-US"/>
              </w:rPr>
              <w:t>M</w:t>
            </w:r>
            <w:r w:rsidR="00E80518" w:rsidRPr="00CB2C31">
              <w:rPr>
                <w:rFonts w:asciiTheme="majorHAnsi" w:hAnsiTheme="majorHAnsi" w:cstheme="majorHAnsi"/>
                <w:sz w:val="18"/>
                <w:szCs w:val="18"/>
                <w:lang w:val="en-US"/>
              </w:rPr>
              <w:t>ember of Committee shall appoint another expert from its own nationals to serve remainder of term, subject to approval of Committee</w:t>
            </w:r>
          </w:p>
        </w:tc>
      </w:tr>
      <w:tr w:rsidR="00E80518" w:rsidRPr="00CB2C31" w14:paraId="48626A2D" w14:textId="77777777" w:rsidTr="005E6F9B">
        <w:trPr>
          <w:cantSplit/>
          <w:trHeight w:val="231"/>
        </w:trPr>
        <w:tc>
          <w:tcPr>
            <w:tcW w:w="1101" w:type="dxa"/>
            <w:shd w:val="clear" w:color="auto" w:fill="A6A6A6" w:themeFill="background1" w:themeFillShade="A6"/>
          </w:tcPr>
          <w:p w14:paraId="7BD12254" w14:textId="77777777" w:rsidR="00E80518" w:rsidRPr="00CB2C31" w:rsidRDefault="00E80518" w:rsidP="00623C41">
            <w:pPr>
              <w:rPr>
                <w:rFonts w:asciiTheme="majorHAnsi" w:hAnsiTheme="majorHAnsi" w:cstheme="majorHAnsi"/>
                <w:sz w:val="18"/>
                <w:szCs w:val="18"/>
                <w:lang w:val="en-US"/>
              </w:rPr>
            </w:pPr>
            <w:r w:rsidRPr="00CB2C31">
              <w:rPr>
                <w:rFonts w:asciiTheme="majorHAnsi" w:hAnsiTheme="majorHAnsi" w:cstheme="majorHAnsi"/>
                <w:sz w:val="18"/>
                <w:szCs w:val="18"/>
                <w:lang w:val="en-US"/>
              </w:rPr>
              <w:t>CED</w:t>
            </w:r>
          </w:p>
        </w:tc>
        <w:tc>
          <w:tcPr>
            <w:tcW w:w="1559" w:type="dxa"/>
          </w:tcPr>
          <w:p w14:paraId="211EE123"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2126" w:type="dxa"/>
          </w:tcPr>
          <w:p w14:paraId="38AFAF7E"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List submitted at least 3 months prior to election</w:t>
            </w:r>
          </w:p>
        </w:tc>
        <w:tc>
          <w:tcPr>
            <w:tcW w:w="2977" w:type="dxa"/>
          </w:tcPr>
          <w:p w14:paraId="46EC3BF5"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Candidates listed alphabetically</w:t>
            </w:r>
          </w:p>
        </w:tc>
        <w:tc>
          <w:tcPr>
            <w:tcW w:w="2977" w:type="dxa"/>
          </w:tcPr>
          <w:p w14:paraId="6FC4EEE8" w14:textId="77777777" w:rsidR="00E80518" w:rsidRPr="00CB2C31" w:rsidRDefault="00E805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Largest number of votes and absolute majority of votes of States present and voting</w:t>
            </w:r>
          </w:p>
        </w:tc>
        <w:tc>
          <w:tcPr>
            <w:tcW w:w="3685" w:type="dxa"/>
          </w:tcPr>
          <w:p w14:paraId="710E305E" w14:textId="77777777" w:rsidR="00E80518" w:rsidRPr="00CB2C31" w:rsidRDefault="00D12918"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State part</w:t>
            </w:r>
            <w:r w:rsidR="006D44BB" w:rsidRPr="00CB2C31">
              <w:rPr>
                <w:rFonts w:asciiTheme="majorHAnsi" w:hAnsiTheme="majorHAnsi" w:cstheme="majorHAnsi"/>
                <w:sz w:val="18"/>
                <w:szCs w:val="18"/>
                <w:lang w:val="en-US"/>
              </w:rPr>
              <w:t xml:space="preserve">y </w:t>
            </w:r>
            <w:r w:rsidR="00E80518" w:rsidRPr="00CB2C31">
              <w:rPr>
                <w:rFonts w:asciiTheme="majorHAnsi" w:hAnsiTheme="majorHAnsi" w:cstheme="majorHAnsi"/>
                <w:sz w:val="18"/>
                <w:szCs w:val="18"/>
                <w:lang w:val="en-US"/>
              </w:rPr>
              <w:t xml:space="preserve">who nominated </w:t>
            </w:r>
            <w:r w:rsidR="00783132" w:rsidRPr="00CB2C31">
              <w:rPr>
                <w:rFonts w:asciiTheme="majorHAnsi" w:hAnsiTheme="majorHAnsi" w:cstheme="majorHAnsi"/>
                <w:sz w:val="18"/>
                <w:szCs w:val="18"/>
                <w:lang w:val="en-US"/>
              </w:rPr>
              <w:t>M</w:t>
            </w:r>
            <w:r w:rsidR="00E80518" w:rsidRPr="00CB2C31">
              <w:rPr>
                <w:rFonts w:asciiTheme="majorHAnsi" w:hAnsiTheme="majorHAnsi" w:cstheme="majorHAnsi"/>
                <w:sz w:val="18"/>
                <w:szCs w:val="18"/>
                <w:lang w:val="en-US"/>
              </w:rPr>
              <w:t xml:space="preserve">ember, shall, in accordance with selection criteria, appoint another candidate from its nationals to serve remainder of term, subject to approval of majority of </w:t>
            </w:r>
            <w:r w:rsidRPr="00CB2C31">
              <w:rPr>
                <w:rFonts w:asciiTheme="majorHAnsi" w:hAnsiTheme="majorHAnsi" w:cstheme="majorHAnsi"/>
                <w:sz w:val="18"/>
                <w:szCs w:val="18"/>
                <w:lang w:val="en-US"/>
              </w:rPr>
              <w:t>State part</w:t>
            </w:r>
            <w:r w:rsidR="00E80518" w:rsidRPr="00CB2C31">
              <w:rPr>
                <w:rFonts w:asciiTheme="majorHAnsi" w:hAnsiTheme="majorHAnsi" w:cstheme="majorHAnsi"/>
                <w:sz w:val="18"/>
                <w:szCs w:val="18"/>
                <w:lang w:val="en-US"/>
              </w:rPr>
              <w:t>ies</w:t>
            </w:r>
          </w:p>
        </w:tc>
      </w:tr>
      <w:tr w:rsidR="009038AA" w:rsidRPr="00CB2C31" w14:paraId="64BEAA25" w14:textId="77777777" w:rsidTr="009038AA">
        <w:trPr>
          <w:cantSplit/>
          <w:trHeight w:val="242"/>
        </w:trPr>
        <w:tc>
          <w:tcPr>
            <w:tcW w:w="14425" w:type="dxa"/>
            <w:gridSpan w:val="6"/>
            <w:shd w:val="pct10" w:color="auto" w:fill="auto"/>
          </w:tcPr>
          <w:p w14:paraId="1E6A07EC" w14:textId="1B42A3CF" w:rsidR="009038AA" w:rsidRPr="00CB2C31" w:rsidRDefault="009038AA" w:rsidP="00623C41">
            <w:pPr>
              <w:rPr>
                <w:rFonts w:asciiTheme="majorHAnsi" w:hAnsiTheme="majorHAnsi" w:cstheme="majorHAnsi"/>
                <w:sz w:val="18"/>
                <w:szCs w:val="18"/>
                <w:lang w:val="en-US"/>
              </w:rPr>
            </w:pPr>
            <w:r>
              <w:rPr>
                <w:rFonts w:asciiTheme="majorHAnsi" w:hAnsiTheme="majorHAnsi" w:cstheme="majorHAnsi"/>
                <w:b/>
                <w:sz w:val="18"/>
                <w:szCs w:val="18"/>
                <w:lang w:val="en-US"/>
              </w:rPr>
              <w:t>Regional/Other</w:t>
            </w:r>
          </w:p>
        </w:tc>
      </w:tr>
      <w:tr w:rsidR="009038AA" w:rsidRPr="00CB2C31" w14:paraId="2EF32F45" w14:textId="77777777" w:rsidTr="00127CD7">
        <w:trPr>
          <w:cantSplit/>
          <w:trHeight w:val="957"/>
        </w:trPr>
        <w:tc>
          <w:tcPr>
            <w:tcW w:w="1101" w:type="dxa"/>
            <w:shd w:val="clear" w:color="auto" w:fill="A6A6A6" w:themeFill="background1" w:themeFillShade="A6"/>
          </w:tcPr>
          <w:p w14:paraId="0F95C9DC" w14:textId="77777777" w:rsidR="009038AA" w:rsidRPr="00CB2C31" w:rsidRDefault="009038AA"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ICC</w:t>
            </w:r>
          </w:p>
        </w:tc>
        <w:tc>
          <w:tcPr>
            <w:tcW w:w="1559" w:type="dxa"/>
          </w:tcPr>
          <w:p w14:paraId="006DB725"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One judge per State</w:t>
            </w:r>
          </w:p>
        </w:tc>
        <w:tc>
          <w:tcPr>
            <w:tcW w:w="2126" w:type="dxa"/>
          </w:tcPr>
          <w:p w14:paraId="0C17BF17"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2977" w:type="dxa"/>
          </w:tcPr>
          <w:p w14:paraId="060A9520"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Either (i) by the procedure for appointment to the highest judicial offices in the state in question; or (ii) by the procedure provided for the nomination of candidates for the ICJ in its statute</w:t>
            </w:r>
          </w:p>
        </w:tc>
        <w:tc>
          <w:tcPr>
            <w:tcW w:w="2977" w:type="dxa"/>
          </w:tcPr>
          <w:p w14:paraId="5F079B57"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Highest number of votes and a 2/3 majority of the State parties present and voting</w:t>
            </w:r>
          </w:p>
        </w:tc>
        <w:tc>
          <w:tcPr>
            <w:tcW w:w="3685" w:type="dxa"/>
          </w:tcPr>
          <w:p w14:paraId="41DF4F54"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An election shall be held in accordance with Art. 36 to fill the vacancy.  A judge elected to fill a vacancy shall serve for the remainder of the predecessor</w:t>
            </w:r>
            <w:r>
              <w:rPr>
                <w:rFonts w:asciiTheme="majorHAnsi" w:hAnsiTheme="majorHAnsi" w:cstheme="majorHAnsi"/>
                <w:sz w:val="18"/>
                <w:szCs w:val="18"/>
                <w:lang w:val="en-US"/>
              </w:rPr>
              <w:t>’</w:t>
            </w:r>
            <w:r w:rsidRPr="00CB2C31">
              <w:rPr>
                <w:rFonts w:asciiTheme="majorHAnsi" w:hAnsiTheme="majorHAnsi" w:cstheme="majorHAnsi"/>
                <w:sz w:val="18"/>
                <w:szCs w:val="18"/>
                <w:lang w:val="en-US"/>
              </w:rPr>
              <w:t>s term and if that is less than three years the new judge shall be eligible for re-election for a full term.</w:t>
            </w:r>
          </w:p>
        </w:tc>
      </w:tr>
      <w:tr w:rsidR="009038AA" w:rsidRPr="00CB2C31" w14:paraId="1B078FA6" w14:textId="77777777" w:rsidTr="00127CD7">
        <w:trPr>
          <w:cantSplit/>
          <w:trHeight w:val="472"/>
        </w:trPr>
        <w:tc>
          <w:tcPr>
            <w:tcW w:w="1101" w:type="dxa"/>
            <w:shd w:val="clear" w:color="auto" w:fill="A6A6A6" w:themeFill="background1" w:themeFillShade="A6"/>
          </w:tcPr>
          <w:p w14:paraId="4269372B" w14:textId="77777777" w:rsidR="009038AA" w:rsidRPr="00CB2C31" w:rsidRDefault="009038AA"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ICC Assembly</w:t>
            </w:r>
          </w:p>
        </w:tc>
        <w:tc>
          <w:tcPr>
            <w:tcW w:w="1559" w:type="dxa"/>
          </w:tcPr>
          <w:p w14:paraId="597642F0"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2126" w:type="dxa"/>
          </w:tcPr>
          <w:p w14:paraId="28F2D49E"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2977" w:type="dxa"/>
          </w:tcPr>
          <w:p w14:paraId="06D38CAA"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The credentials of representatives and their alternates and advisers shall be submitted to the Secretariat</w:t>
            </w:r>
          </w:p>
        </w:tc>
        <w:tc>
          <w:tcPr>
            <w:tcW w:w="2977" w:type="dxa"/>
          </w:tcPr>
          <w:p w14:paraId="7CC8125F"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3685" w:type="dxa"/>
          </w:tcPr>
          <w:p w14:paraId="2275C4B1" w14:textId="77777777" w:rsidR="009038AA" w:rsidRPr="00CB2C31" w:rsidRDefault="009038AA"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D717A4" w:rsidRPr="00CB2C31" w14:paraId="59E7BB27" w14:textId="77777777" w:rsidTr="00127CD7">
        <w:trPr>
          <w:cantSplit/>
          <w:trHeight w:val="242"/>
        </w:trPr>
        <w:tc>
          <w:tcPr>
            <w:tcW w:w="1101" w:type="dxa"/>
            <w:shd w:val="clear" w:color="auto" w:fill="A6A6A6" w:themeFill="background1" w:themeFillShade="A6"/>
          </w:tcPr>
          <w:p w14:paraId="350D0F09" w14:textId="7AF9D59F" w:rsidR="00D717A4" w:rsidRPr="00CB2C31" w:rsidRDefault="00D717A4"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EC</w:t>
            </w:r>
            <w:r>
              <w:rPr>
                <w:rFonts w:asciiTheme="majorHAnsi" w:hAnsiTheme="majorHAnsi" w:cstheme="majorHAnsi"/>
                <w:sz w:val="18"/>
                <w:szCs w:val="18"/>
                <w:lang w:val="en-US"/>
              </w:rPr>
              <w:t>t</w:t>
            </w:r>
            <w:r w:rsidRPr="00CB2C31">
              <w:rPr>
                <w:rFonts w:asciiTheme="majorHAnsi" w:hAnsiTheme="majorHAnsi" w:cstheme="majorHAnsi"/>
                <w:sz w:val="18"/>
                <w:szCs w:val="18"/>
                <w:lang w:val="en-US"/>
              </w:rPr>
              <w:t>HR</w:t>
            </w:r>
          </w:p>
        </w:tc>
        <w:tc>
          <w:tcPr>
            <w:tcW w:w="1559" w:type="dxa"/>
          </w:tcPr>
          <w:p w14:paraId="5106AB6E"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 candidate should be submitted whose election might result in the need to appoint an ad hoc judge</w:t>
            </w:r>
          </w:p>
        </w:tc>
        <w:tc>
          <w:tcPr>
            <w:tcW w:w="2126" w:type="dxa"/>
          </w:tcPr>
          <w:p w14:paraId="07EB68AA"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N/A</w:t>
            </w:r>
          </w:p>
        </w:tc>
        <w:tc>
          <w:tcPr>
            <w:tcW w:w="2977" w:type="dxa"/>
          </w:tcPr>
          <w:p w14:paraId="6D1B0318"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Only those persons entered as candidates before the opening of the first ballot will be taken into account in calculating the number of votes cast.</w:t>
            </w:r>
          </w:p>
        </w:tc>
        <w:tc>
          <w:tcPr>
            <w:tcW w:w="2977" w:type="dxa"/>
          </w:tcPr>
          <w:p w14:paraId="4052988B"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Majority of votes cast from a list of 3 candidates nominated by the Member State</w:t>
            </w:r>
          </w:p>
        </w:tc>
        <w:tc>
          <w:tcPr>
            <w:tcW w:w="3685" w:type="dxa"/>
          </w:tcPr>
          <w:p w14:paraId="3BB2EAD5"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r>
      <w:tr w:rsidR="00D717A4" w:rsidRPr="00CB2C31" w14:paraId="1124C67A" w14:textId="77777777" w:rsidTr="00127CD7">
        <w:trPr>
          <w:cantSplit/>
          <w:trHeight w:val="242"/>
        </w:trPr>
        <w:tc>
          <w:tcPr>
            <w:tcW w:w="1101" w:type="dxa"/>
            <w:shd w:val="clear" w:color="auto" w:fill="A6A6A6" w:themeFill="background1" w:themeFillShade="A6"/>
          </w:tcPr>
          <w:p w14:paraId="2A03B5D7" w14:textId="77777777" w:rsidR="00D717A4" w:rsidRPr="00CB2C31" w:rsidRDefault="00D717A4"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ECPT</w:t>
            </w:r>
          </w:p>
        </w:tc>
        <w:tc>
          <w:tcPr>
            <w:tcW w:w="1559" w:type="dxa"/>
          </w:tcPr>
          <w:p w14:paraId="6B63B772"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2126" w:type="dxa"/>
          </w:tcPr>
          <w:p w14:paraId="6B816F0C"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N/A</w:t>
            </w:r>
          </w:p>
        </w:tc>
        <w:tc>
          <w:tcPr>
            <w:tcW w:w="2977" w:type="dxa"/>
          </w:tcPr>
          <w:p w14:paraId="5F8E0915"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Each national delegation of the parties in the consultative assembly puts forward 3 candidates</w:t>
            </w:r>
          </w:p>
        </w:tc>
        <w:tc>
          <w:tcPr>
            <w:tcW w:w="2977" w:type="dxa"/>
          </w:tcPr>
          <w:p w14:paraId="66FF4FDB"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No</w:t>
            </w:r>
          </w:p>
        </w:tc>
        <w:tc>
          <w:tcPr>
            <w:tcW w:w="3685" w:type="dxa"/>
          </w:tcPr>
          <w:p w14:paraId="6BA76D9B"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Same procedure as for elections</w:t>
            </w:r>
          </w:p>
        </w:tc>
      </w:tr>
      <w:tr w:rsidR="00D717A4" w:rsidRPr="00CB2C31" w14:paraId="522B0B8E" w14:textId="77777777" w:rsidTr="00127CD7">
        <w:trPr>
          <w:cantSplit/>
          <w:trHeight w:val="231"/>
        </w:trPr>
        <w:tc>
          <w:tcPr>
            <w:tcW w:w="1101" w:type="dxa"/>
            <w:shd w:val="clear" w:color="auto" w:fill="A6A6A6" w:themeFill="background1" w:themeFillShade="A6"/>
          </w:tcPr>
          <w:p w14:paraId="4ADEF0D7" w14:textId="77777777" w:rsidR="00D717A4" w:rsidRPr="00CB2C31" w:rsidRDefault="00D717A4"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ACHPR</w:t>
            </w:r>
          </w:p>
        </w:tc>
        <w:tc>
          <w:tcPr>
            <w:tcW w:w="1559" w:type="dxa"/>
          </w:tcPr>
          <w:p w14:paraId="65CA3C9F"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Only one national  of the same State</w:t>
            </w:r>
          </w:p>
        </w:tc>
        <w:tc>
          <w:tcPr>
            <w:tcW w:w="2126" w:type="dxa"/>
          </w:tcPr>
          <w:p w14:paraId="1A849BC5"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List submitted at least 1 month before the elections</w:t>
            </w:r>
          </w:p>
        </w:tc>
        <w:tc>
          <w:tcPr>
            <w:tcW w:w="2977" w:type="dxa"/>
          </w:tcPr>
          <w:p w14:paraId="6C589FA4"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Candidates listed alphabetically</w:t>
            </w:r>
          </w:p>
        </w:tc>
        <w:tc>
          <w:tcPr>
            <w:tcW w:w="2977" w:type="dxa"/>
          </w:tcPr>
          <w:p w14:paraId="1EF156EF"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Majority of Members</w:t>
            </w:r>
          </w:p>
        </w:tc>
        <w:tc>
          <w:tcPr>
            <w:tcW w:w="3685" w:type="dxa"/>
          </w:tcPr>
          <w:p w14:paraId="2BA0C825"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The Assembly of Heads of State and Government shall replace the Member whose seat became vacant for the remaining period of his term unless the period is less than 6 months</w:t>
            </w:r>
          </w:p>
        </w:tc>
      </w:tr>
      <w:tr w:rsidR="00D717A4" w:rsidRPr="00CB2C31" w14:paraId="15F2DD15" w14:textId="77777777" w:rsidTr="00127CD7">
        <w:trPr>
          <w:cantSplit/>
          <w:trHeight w:val="242"/>
        </w:trPr>
        <w:tc>
          <w:tcPr>
            <w:tcW w:w="1101" w:type="dxa"/>
            <w:shd w:val="clear" w:color="auto" w:fill="A6A6A6" w:themeFill="background1" w:themeFillShade="A6"/>
          </w:tcPr>
          <w:p w14:paraId="3426A5CF" w14:textId="77777777" w:rsidR="00D717A4" w:rsidRPr="00CB2C31" w:rsidRDefault="00D717A4"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IACHR</w:t>
            </w:r>
          </w:p>
        </w:tc>
        <w:tc>
          <w:tcPr>
            <w:tcW w:w="1559" w:type="dxa"/>
          </w:tcPr>
          <w:p w14:paraId="49B3D775"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Only 1 national per State</w:t>
            </w:r>
          </w:p>
        </w:tc>
        <w:tc>
          <w:tcPr>
            <w:tcW w:w="2126" w:type="dxa"/>
          </w:tcPr>
          <w:p w14:paraId="135D7481"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List submitted at least 30 days prior to Assembly</w:t>
            </w:r>
          </w:p>
        </w:tc>
        <w:tc>
          <w:tcPr>
            <w:tcW w:w="2977" w:type="dxa"/>
          </w:tcPr>
          <w:p w14:paraId="034B39E8"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Candidates listed alphabetically</w:t>
            </w:r>
          </w:p>
        </w:tc>
        <w:tc>
          <w:tcPr>
            <w:tcW w:w="2977" w:type="dxa"/>
          </w:tcPr>
          <w:p w14:paraId="77F91FDE"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Largest number of votes and an absolute majority of votes of Member States</w:t>
            </w:r>
          </w:p>
        </w:tc>
        <w:tc>
          <w:tcPr>
            <w:tcW w:w="3685" w:type="dxa"/>
          </w:tcPr>
          <w:p w14:paraId="2B487665"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Each government to propose a candidate within 30 days from date of receipt of communication of vacancy</w:t>
            </w:r>
          </w:p>
        </w:tc>
      </w:tr>
      <w:tr w:rsidR="00D717A4" w:rsidRPr="00CB2C31" w14:paraId="0AAA53B6" w14:textId="77777777" w:rsidTr="00127CD7">
        <w:trPr>
          <w:cantSplit/>
          <w:trHeight w:val="242"/>
        </w:trPr>
        <w:tc>
          <w:tcPr>
            <w:tcW w:w="1101" w:type="dxa"/>
            <w:shd w:val="clear" w:color="auto" w:fill="A6A6A6" w:themeFill="background1" w:themeFillShade="A6"/>
          </w:tcPr>
          <w:p w14:paraId="211820AF" w14:textId="77777777" w:rsidR="00D717A4" w:rsidRPr="00CB2C31" w:rsidRDefault="00D717A4"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IACtHR</w:t>
            </w:r>
          </w:p>
        </w:tc>
        <w:tc>
          <w:tcPr>
            <w:tcW w:w="1559" w:type="dxa"/>
          </w:tcPr>
          <w:p w14:paraId="35AA99F0"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Only 1 national per State</w:t>
            </w:r>
          </w:p>
        </w:tc>
        <w:tc>
          <w:tcPr>
            <w:tcW w:w="2126" w:type="dxa"/>
          </w:tcPr>
          <w:p w14:paraId="6CE06726"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List submitted at least 30 days prior to Assembly</w:t>
            </w:r>
          </w:p>
        </w:tc>
        <w:tc>
          <w:tcPr>
            <w:tcW w:w="2977" w:type="dxa"/>
          </w:tcPr>
          <w:p w14:paraId="77E20A46"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Candidates listed alphabetically</w:t>
            </w:r>
          </w:p>
        </w:tc>
        <w:tc>
          <w:tcPr>
            <w:tcW w:w="2977" w:type="dxa"/>
          </w:tcPr>
          <w:p w14:paraId="35B107CE"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Largest number of votes and absolute majority</w:t>
            </w:r>
          </w:p>
        </w:tc>
        <w:tc>
          <w:tcPr>
            <w:tcW w:w="3685" w:type="dxa"/>
          </w:tcPr>
          <w:p w14:paraId="638544B9"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Election in same fashion, but time periods shortened to a period deemed reasonable</w:t>
            </w:r>
          </w:p>
        </w:tc>
      </w:tr>
      <w:tr w:rsidR="00D717A4" w:rsidRPr="00CB2C31" w14:paraId="487A2DAC" w14:textId="77777777" w:rsidTr="00127CD7">
        <w:trPr>
          <w:cantSplit/>
          <w:trHeight w:val="242"/>
        </w:trPr>
        <w:tc>
          <w:tcPr>
            <w:tcW w:w="1101" w:type="dxa"/>
            <w:tcBorders>
              <w:bottom w:val="single" w:sz="4" w:space="0" w:color="auto"/>
            </w:tcBorders>
            <w:shd w:val="clear" w:color="auto" w:fill="A6A6A6" w:themeFill="background1" w:themeFillShade="A6"/>
          </w:tcPr>
          <w:p w14:paraId="435A332D" w14:textId="77777777" w:rsidR="00D717A4" w:rsidRPr="00CB2C31" w:rsidRDefault="00D717A4" w:rsidP="00127CD7">
            <w:pPr>
              <w:rPr>
                <w:rFonts w:asciiTheme="majorHAnsi" w:hAnsiTheme="majorHAnsi" w:cstheme="majorHAnsi"/>
                <w:sz w:val="18"/>
                <w:szCs w:val="18"/>
                <w:lang w:val="en-US"/>
              </w:rPr>
            </w:pPr>
            <w:r w:rsidRPr="00CB2C31">
              <w:rPr>
                <w:rFonts w:asciiTheme="majorHAnsi" w:hAnsiTheme="majorHAnsi" w:cstheme="majorHAnsi"/>
                <w:sz w:val="18"/>
                <w:szCs w:val="18"/>
                <w:lang w:val="en-US"/>
              </w:rPr>
              <w:t>ACtHPR</w:t>
            </w:r>
          </w:p>
        </w:tc>
        <w:tc>
          <w:tcPr>
            <w:tcW w:w="1559" w:type="dxa"/>
            <w:tcBorders>
              <w:bottom w:val="single" w:sz="4" w:space="0" w:color="auto"/>
            </w:tcBorders>
          </w:tcPr>
          <w:p w14:paraId="766A18D1"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Only 1 national per State</w:t>
            </w:r>
          </w:p>
        </w:tc>
        <w:tc>
          <w:tcPr>
            <w:tcW w:w="2126" w:type="dxa"/>
            <w:tcBorders>
              <w:bottom w:val="single" w:sz="4" w:space="0" w:color="auto"/>
            </w:tcBorders>
          </w:tcPr>
          <w:p w14:paraId="5F46F11A"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List submitted at least 30 days prior to Assembly</w:t>
            </w:r>
          </w:p>
        </w:tc>
        <w:tc>
          <w:tcPr>
            <w:tcW w:w="2977" w:type="dxa"/>
            <w:tcBorders>
              <w:bottom w:val="single" w:sz="4" w:space="0" w:color="auto"/>
            </w:tcBorders>
          </w:tcPr>
          <w:p w14:paraId="3F9C50EE"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Candidates listed alphabetically</w:t>
            </w:r>
          </w:p>
        </w:tc>
        <w:tc>
          <w:tcPr>
            <w:tcW w:w="2977" w:type="dxa"/>
            <w:tcBorders>
              <w:bottom w:val="single" w:sz="4" w:space="0" w:color="auto"/>
            </w:tcBorders>
          </w:tcPr>
          <w:p w14:paraId="6AD9962C"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N/A</w:t>
            </w:r>
          </w:p>
        </w:tc>
        <w:tc>
          <w:tcPr>
            <w:tcW w:w="3685" w:type="dxa"/>
            <w:tcBorders>
              <w:bottom w:val="single" w:sz="4" w:space="0" w:color="auto"/>
            </w:tcBorders>
          </w:tcPr>
          <w:p w14:paraId="3862FC6A" w14:textId="77777777" w:rsidR="00D717A4" w:rsidRPr="00CB2C31" w:rsidRDefault="00D717A4" w:rsidP="00141FF7">
            <w:pPr>
              <w:jc w:val="left"/>
              <w:rPr>
                <w:rFonts w:asciiTheme="majorHAnsi" w:hAnsiTheme="majorHAnsi" w:cstheme="majorHAnsi"/>
                <w:sz w:val="18"/>
                <w:szCs w:val="18"/>
                <w:lang w:val="en-US"/>
              </w:rPr>
            </w:pPr>
            <w:r w:rsidRPr="00CB2C31">
              <w:rPr>
                <w:rFonts w:asciiTheme="majorHAnsi" w:hAnsiTheme="majorHAnsi" w:cstheme="majorHAnsi"/>
                <w:sz w:val="18"/>
                <w:szCs w:val="18"/>
                <w:lang w:val="en-US"/>
              </w:rPr>
              <w:t>Election in same fashion, but new member finishes term of vacating member</w:t>
            </w:r>
          </w:p>
        </w:tc>
      </w:tr>
    </w:tbl>
    <w:p w14:paraId="264174F3" w14:textId="77777777" w:rsidR="00E80518" w:rsidRDefault="00E80518" w:rsidP="00623C41">
      <w:pPr>
        <w:rPr>
          <w:lang w:val="en-US"/>
        </w:rPr>
      </w:pPr>
    </w:p>
    <w:p w14:paraId="2EFC4390" w14:textId="02B8B752" w:rsidR="00B13C4A" w:rsidRDefault="00B13C4A">
      <w:pPr>
        <w:spacing w:after="200" w:line="276" w:lineRule="auto"/>
        <w:jc w:val="left"/>
        <w:rPr>
          <w:lang w:val="en-US"/>
        </w:rPr>
      </w:pPr>
    </w:p>
    <w:p w14:paraId="2F9BAFEC" w14:textId="77777777" w:rsidR="00B13C4A" w:rsidRDefault="00B13C4A">
      <w:pPr>
        <w:spacing w:after="200" w:line="276" w:lineRule="auto"/>
        <w:jc w:val="left"/>
        <w:rPr>
          <w:lang w:val="en-US"/>
        </w:rPr>
        <w:sectPr w:rsidR="00B13C4A" w:rsidSect="003F58CB">
          <w:footerReference w:type="default" r:id="rId21"/>
          <w:pgSz w:w="16839" w:h="11907" w:orient="landscape" w:code="9"/>
          <w:pgMar w:top="1440" w:right="1440" w:bottom="1440" w:left="1440" w:header="706" w:footer="706" w:gutter="0"/>
          <w:cols w:space="720"/>
          <w:docGrid w:linePitch="360"/>
        </w:sectPr>
      </w:pPr>
    </w:p>
    <w:p w14:paraId="3830590E" w14:textId="035D7C51" w:rsidR="00B13C4A" w:rsidRDefault="00B13C4A">
      <w:pPr>
        <w:spacing w:after="200" w:line="276" w:lineRule="auto"/>
        <w:jc w:val="left"/>
        <w:rPr>
          <w:lang w:val="en-US"/>
        </w:rPr>
      </w:pPr>
    </w:p>
    <w:p w14:paraId="4803F5A2" w14:textId="77777777" w:rsidR="00B13C4A" w:rsidRPr="00FC1C73" w:rsidRDefault="00B13C4A" w:rsidP="00B13C4A">
      <w:pPr>
        <w:pStyle w:val="DoublePara"/>
        <w:jc w:val="center"/>
        <w:rPr>
          <w:b/>
          <w:lang w:val="en-US"/>
        </w:rPr>
      </w:pPr>
      <w:r w:rsidRPr="00FC1C73">
        <w:rPr>
          <w:b/>
          <w:lang w:val="en-US"/>
        </w:rPr>
        <w:t>QUALIFICATIONS ON CONTENT AND USE</w:t>
      </w:r>
    </w:p>
    <w:p w14:paraId="3510290F" w14:textId="3476D365" w:rsidR="005E6F9B" w:rsidRDefault="00B13C4A" w:rsidP="00B13C4A">
      <w:pPr>
        <w:rPr>
          <w:lang w:val="en-US"/>
        </w:rPr>
      </w:pPr>
      <w:r w:rsidRPr="00CB2C31">
        <w:rPr>
          <w:lang w:val="en-US"/>
        </w:rPr>
        <w:t xml:space="preserve">This report (the </w:t>
      </w:r>
      <w:r w:rsidRPr="00203E75">
        <w:rPr>
          <w:i/>
          <w:lang w:val="en-US"/>
        </w:rPr>
        <w:t>“</w:t>
      </w:r>
      <w:r w:rsidRPr="00CB2C31">
        <w:rPr>
          <w:b/>
          <w:lang w:val="en-US"/>
        </w:rPr>
        <w:t>Report</w:t>
      </w:r>
      <w:r w:rsidRPr="00203E75">
        <w:rPr>
          <w:i/>
          <w:lang w:val="en-US"/>
        </w:rPr>
        <w:t>”</w:t>
      </w:r>
      <w:r w:rsidRPr="00CB2C31">
        <w:rPr>
          <w:lang w:val="en-US"/>
        </w:rPr>
        <w:t xml:space="preserve">) has been prepared by </w:t>
      </w:r>
      <w:r>
        <w:rPr>
          <w:lang w:val="en-US"/>
        </w:rPr>
        <w:t xml:space="preserve">attorneys at </w:t>
      </w:r>
      <w:r w:rsidRPr="00CB2C31">
        <w:rPr>
          <w:lang w:val="en-US"/>
        </w:rPr>
        <w:t>Skadden, Arps, Slate, Meagher &amp; Flom (UK) LLP for Women@TheTable (</w:t>
      </w:r>
      <w:r w:rsidRPr="00203E75">
        <w:rPr>
          <w:i/>
          <w:lang w:val="en-US"/>
        </w:rPr>
        <w:t>“</w:t>
      </w:r>
      <w:r w:rsidRPr="00CB2C31">
        <w:rPr>
          <w:b/>
          <w:lang w:val="en-US"/>
        </w:rPr>
        <w:t>W@TT</w:t>
      </w:r>
      <w:r w:rsidRPr="00203E75">
        <w:rPr>
          <w:i/>
          <w:lang w:val="en-US"/>
        </w:rPr>
        <w:t>”</w:t>
      </w:r>
      <w:r w:rsidRPr="00CB2C31">
        <w:rPr>
          <w:lang w:val="en-US"/>
        </w:rPr>
        <w:t>).  The Report is not a legal opinion, and does not contain any advice or opinions specific to the areas of law that are considered in the Report or in respect of any local laws.  The analysis is a summary based solely on the documents and legislative materials reviewed.  W@TT may use the contents of the Report for its own purposes, including the circulation of W@TT</w:t>
      </w:r>
      <w:r>
        <w:rPr>
          <w:lang w:val="en-US"/>
        </w:rPr>
        <w:t>’</w:t>
      </w:r>
      <w:r w:rsidRPr="00CB2C31">
        <w:rPr>
          <w:lang w:val="en-US"/>
        </w:rPr>
        <w:t>s published materials to third parties and the public.</w:t>
      </w:r>
    </w:p>
    <w:sectPr w:rsidR="005E6F9B" w:rsidSect="00B13C4A">
      <w:pgSz w:w="11907" w:h="16839" w:code="9"/>
      <w:pgMar w:top="1440" w:right="1440" w:bottom="1440" w:left="1440" w:header="706" w:footer="706"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237">
      <wne:acd wne:acdName="acd6"/>
    </wne:keymap>
    <wne:keymap wne:kcmPrimary="0238">
      <wne:acd wne:acdName="acd7"/>
    </wne:keymap>
    <wne:keymap wne:kcmPrimary="0239">
      <wne:acd wne:acdName="acd16"/>
    </wne:keymap>
    <wne:keymap wne:kcmPrimary="0431">
      <wne:acd wne:acdName="acd17"/>
    </wne:keymap>
    <wne:keymap wne:kcmPrimary="0432">
      <wne:acd wne:acdName="acd18"/>
    </wne:keymap>
    <wne:keymap wne:kcmPrimary="0433">
      <wne:acd wne:acdName="acd19"/>
    </wne:keymap>
    <wne:keymap wne:kcmPrimary="0434">
      <wne:acd wne:acdName="acd20"/>
    </wne:keymap>
    <wne:keymap wne:kcmPrimary="0435">
      <wne:acd wne:acdName="acd21"/>
    </wne:keymap>
    <wne:keymap wne:kcmPrimary="0436">
      <wne:acd wne:acdName="acd22"/>
    </wne:keymap>
    <wne:keymap wne:kcmPrimary="0437">
      <wne:acd wne:acdName="acd31"/>
    </wne:keymap>
    <wne:keymap wne:kcmPrimary="0438">
      <wne:acd wne:acdName="acd32"/>
    </wne:keymap>
    <wne:keymap wne:kcmPrimary="0439">
      <wne:acd wne:acdName="acd3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Manifest>
  </wne:toolbars>
  <wne:acds>
    <wne:acd wne:argValue="AgBMAGUAZwBhAGwAQwBvAG0AYgBvADEA" wne:acdName="acd0" wne:fciIndexBasedOn="0065"/>
    <wne:acd wne:argValue="AgBMAGUAZwBhAGwAQwBvAG0AYgBvADIA" wne:acdName="acd1" wne:fciIndexBasedOn="0065"/>
    <wne:acd wne:argValue="AgBMAGUAZwBhAGwAQwBvAG0AYgBvADMA" wne:acdName="acd2" wne:fciIndexBasedOn="0065"/>
    <wne:acd wne:argValue="AgBMAGUAZwBhAGwAQwBvAG0AYgBvADQA" wne:acdName="acd3" wne:fciIndexBasedOn="0065"/>
    <wne:acd wne:argValue="AgBMAGUAZwBhAGwAQwBvAG0AYgBvADUA" wne:acdName="acd4" wne:fciIndexBasedOn="0065"/>
    <wne:acd wne:argValue="AgBMAGUAZwBhAGwAQwBvAG0AYgBvADYA" wne:acdName="acd5" wne:fciIndexBasedOn="0065"/>
    <wne:acd wne:argValue="AgBMAGUAZwBhAGwAQwBvAG0AYgBvADcA" wne:acdName="acd6" wne:fciIndexBasedOn="0065"/>
    <wne:acd wne:argValue="AgBMAGUAZwBhAGwAQwBvAG0AYgBvADgA"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rgValue="AgBMAGUAZwBhAGwAQwBvAG0AYgBvADkA" wne:acdName="acd16" wne:fciIndexBasedOn="0065"/>
    <wne:acd wne:argValue="AgBJAG4AZABlAG4AdAAxACAAKABsAGUAZwBhAGwAYwBvAG0AYgBvACkA" wne:acdName="acd17" wne:fciIndexBasedOn="0065"/>
    <wne:acd wne:argValue="AgBJAG4AZABlAG4AdAAyACAAKABsAGUAZwBhAGwAYwBvAG0AYgBvACkA" wne:acdName="acd18" wne:fciIndexBasedOn="0065"/>
    <wne:acd wne:argValue="AgBJAG4AZABlAG4AdAAzACAAKABsAGUAZwBhAGwAYwBvAG0AYgBvACkA" wne:acdName="acd19" wne:fciIndexBasedOn="0065"/>
    <wne:acd wne:argValue="AgBJAG4AZABlAG4AdAA0ACAAKABsAGUAZwBhAGwAYwBvAG0AYgBvACkA" wne:acdName="acd20" wne:fciIndexBasedOn="0065"/>
    <wne:acd wne:argValue="AgBJAG4AZABlAG4AdAA1ACAAKABsAGUAZwBhAGwAYwBvAG0AYgBvACkA" wne:acdName="acd21" wne:fciIndexBasedOn="0065"/>
    <wne:acd wne:argValue="AgBJAG4AZABlAG4AdAA2ACAAKABsAGUAZwBhAGwAYwBvAG0AYgBvACkA"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cdName="acd28" wne:fciIndexBasedOn="0065"/>
    <wne:acd wne:acdName="acd29" wne:fciIndexBasedOn="0065"/>
    <wne:acd wne:acdName="acd30" wne:fciIndexBasedOn="0065"/>
    <wne:acd wne:argValue="AgBJAG4AZABlAG4AdAA3ACAAKABsAGUAZwBhAGwAYwBvAG0AYgBvACkA" wne:acdName="acd31" wne:fciIndexBasedOn="0065"/>
    <wne:acd wne:argValue="AgBJAG4AZABlAG4AdAA4ACAAKABsAGUAZwBhAGwAYwBvAG0AYgBvACkA" wne:acdName="acd32" wne:fciIndexBasedOn="0065"/>
    <wne:acd wne:argValue="AgBJAG4AZABlAG4AdAA5ACAAKABsAGUAZwBhAGwAYwBvAG0AYgBvACkA" wne:acdName="acd3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71F80" w14:textId="77777777" w:rsidR="008A5C6D" w:rsidRDefault="008A5C6D" w:rsidP="003D73F4">
      <w:r>
        <w:separator/>
      </w:r>
    </w:p>
  </w:endnote>
  <w:endnote w:type="continuationSeparator" w:id="0">
    <w:p w14:paraId="580A5B92" w14:textId="77777777" w:rsidR="008A5C6D" w:rsidRDefault="008A5C6D" w:rsidP="003D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venir">
    <w:altName w:val="Corbel"/>
    <w:charset w:val="00"/>
    <w:family w:val="auto"/>
    <w:pitch w:val="variable"/>
    <w:sig w:usb0="00000001"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995365"/>
      <w:docPartObj>
        <w:docPartGallery w:val="Page Numbers (Bottom of Page)"/>
        <w:docPartUnique/>
      </w:docPartObj>
    </w:sdtPr>
    <w:sdtEndPr>
      <w:rPr>
        <w:noProof/>
      </w:rPr>
    </w:sdtEndPr>
    <w:sdtContent>
      <w:p w14:paraId="59FE57F8" w14:textId="61CA733C" w:rsidR="000A334C" w:rsidRPr="00042E1A" w:rsidRDefault="000A334C" w:rsidP="00974842">
        <w:pPr>
          <w:jc w:val="center"/>
          <w:rPr>
            <w:rFonts w:ascii="Times New Roman" w:hAnsi="Times New Roman" w:cs="Times New Roman"/>
            <w:sz w:val="15"/>
          </w:rPr>
        </w:pPr>
        <w:r>
          <w:fldChar w:fldCharType="begin"/>
        </w:r>
        <w:r>
          <w:instrText xml:space="preserve"> PAGE   \* MERGEFORMAT </w:instrText>
        </w:r>
        <w:r>
          <w:fldChar w:fldCharType="separate"/>
        </w:r>
        <w:r w:rsidR="002125ED">
          <w:rPr>
            <w:noProof/>
          </w:rPr>
          <w:t>ii</w:t>
        </w:r>
        <w:r>
          <w:rPr>
            <w:noProof/>
          </w:rPr>
          <w:fldChar w:fldCharType="end"/>
        </w:r>
      </w:p>
    </w:sdtContent>
  </w:sdt>
  <w:p w14:paraId="0D81B258" w14:textId="77777777" w:rsidR="000A334C" w:rsidRPr="00120B86" w:rsidRDefault="000A334C" w:rsidP="006775A2">
    <w:pPr>
      <w:tabs>
        <w:tab w:val="center" w:pos="4513"/>
        <w:tab w:val="right" w:pos="9027"/>
      </w:tabs>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179956"/>
      <w:docPartObj>
        <w:docPartGallery w:val="Page Numbers (Bottom of Page)"/>
        <w:docPartUnique/>
      </w:docPartObj>
    </w:sdtPr>
    <w:sdtEndPr>
      <w:rPr>
        <w:noProof/>
      </w:rPr>
    </w:sdtEndPr>
    <w:sdtContent>
      <w:p w14:paraId="6FE52EC0" w14:textId="11E2E7F7" w:rsidR="00953C0F" w:rsidRDefault="00953C0F" w:rsidP="00120B86">
        <w:pPr>
          <w:pStyle w:val="Footer"/>
          <w:tabs>
            <w:tab w:val="clear" w:pos="4522"/>
            <w:tab w:val="clear" w:pos="9029"/>
            <w:tab w:val="center" w:pos="6980"/>
            <w:tab w:val="right" w:pos="13959"/>
          </w:tabs>
          <w:jc w:val="center"/>
        </w:pPr>
        <w:r>
          <w:fldChar w:fldCharType="begin"/>
        </w:r>
        <w:r>
          <w:instrText xml:space="preserve"> PAGE   \* MERGEFORMAT </w:instrText>
        </w:r>
        <w:r>
          <w:fldChar w:fldCharType="separate"/>
        </w:r>
        <w:r w:rsidR="002125ED">
          <w:rPr>
            <w:noProof/>
          </w:rPr>
          <w:t>94</w:t>
        </w:r>
        <w:r>
          <w:rPr>
            <w:noProof/>
          </w:rPr>
          <w:fldChar w:fldCharType="end"/>
        </w:r>
      </w:p>
    </w:sdtContent>
  </w:sdt>
  <w:p w14:paraId="463F71FD" w14:textId="77777777" w:rsidR="00953C0F" w:rsidRPr="00120B86" w:rsidRDefault="00953C0F" w:rsidP="00120B86">
    <w:pPr>
      <w:tabs>
        <w:tab w:val="center" w:pos="6980"/>
        <w:tab w:val="right" w:pos="1395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902378"/>
      <w:docPartObj>
        <w:docPartGallery w:val="Page Numbers (Bottom of Page)"/>
        <w:docPartUnique/>
      </w:docPartObj>
    </w:sdtPr>
    <w:sdtEndPr>
      <w:rPr>
        <w:noProof/>
      </w:rPr>
    </w:sdtEndPr>
    <w:sdtContent>
      <w:p w14:paraId="737EEB35" w14:textId="50D8E998" w:rsidR="000A334C" w:rsidRDefault="000A334C" w:rsidP="002376B9">
        <w:pPr>
          <w:pStyle w:val="Footer"/>
          <w:tabs>
            <w:tab w:val="clear" w:pos="4522"/>
            <w:tab w:val="clear" w:pos="9029"/>
            <w:tab w:val="center" w:pos="4513"/>
            <w:tab w:val="right" w:pos="9027"/>
          </w:tabs>
          <w:jc w:val="center"/>
          <w:rPr>
            <w:noProof/>
          </w:rPr>
        </w:pPr>
        <w:r>
          <w:fldChar w:fldCharType="begin"/>
        </w:r>
        <w:r>
          <w:instrText xml:space="preserve"> PAGE   \* MERGEFORMAT </w:instrText>
        </w:r>
        <w:r>
          <w:fldChar w:fldCharType="separate"/>
        </w:r>
        <w:r w:rsidR="002125ED">
          <w:rPr>
            <w:noProof/>
          </w:rPr>
          <w:t>i</w:t>
        </w:r>
        <w:r>
          <w:rPr>
            <w:noProof/>
          </w:rPr>
          <w:fldChar w:fldCharType="end"/>
        </w:r>
      </w:p>
    </w:sdtContent>
  </w:sdt>
  <w:p w14:paraId="671232C8" w14:textId="77777777" w:rsidR="000A334C" w:rsidRPr="00120B86" w:rsidRDefault="000A334C" w:rsidP="006775A2">
    <w:pPr>
      <w:tabs>
        <w:tab w:val="center" w:pos="6980"/>
        <w:tab w:val="right" w:pos="1395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39B4" w14:textId="77777777" w:rsidR="00953C0F" w:rsidRDefault="00953C0F" w:rsidP="006775A2">
    <w:pPr>
      <w:pStyle w:val="Footer"/>
      <w:tabs>
        <w:tab w:val="clear" w:pos="4522"/>
        <w:tab w:val="clear" w:pos="9029"/>
        <w:tab w:val="center" w:pos="6980"/>
        <w:tab w:val="right" w:pos="13959"/>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6176E" w14:textId="77777777" w:rsidR="00953C0F" w:rsidRPr="00120B86" w:rsidRDefault="00953C0F" w:rsidP="006775A2">
    <w:pPr>
      <w:tabs>
        <w:tab w:val="center" w:pos="4513"/>
        <w:tab w:val="right" w:pos="9027"/>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4F7FA" w14:textId="77777777" w:rsidR="00953C0F" w:rsidRDefault="00953C0F" w:rsidP="003029FD">
    <w:pPr>
      <w:pStyle w:val="Footer"/>
      <w:tabs>
        <w:tab w:val="clear" w:pos="4522"/>
        <w:tab w:val="left" w:pos="5245"/>
        <w:tab w:val="center" w:pos="698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187699"/>
      <w:docPartObj>
        <w:docPartGallery w:val="Page Numbers (Bottom of Page)"/>
        <w:docPartUnique/>
      </w:docPartObj>
    </w:sdtPr>
    <w:sdtEndPr>
      <w:rPr>
        <w:noProof/>
      </w:rPr>
    </w:sdtEndPr>
    <w:sdtContent>
      <w:p w14:paraId="69931CB5" w14:textId="55A8C5C8" w:rsidR="00953C0F" w:rsidRDefault="00953C0F" w:rsidP="006775A2">
        <w:pPr>
          <w:pStyle w:val="Footer"/>
          <w:tabs>
            <w:tab w:val="clear" w:pos="4522"/>
            <w:tab w:val="clear" w:pos="9029"/>
            <w:tab w:val="center" w:pos="4513"/>
            <w:tab w:val="right" w:pos="9027"/>
          </w:tabs>
          <w:jc w:val="center"/>
        </w:pPr>
        <w:r>
          <w:fldChar w:fldCharType="begin"/>
        </w:r>
        <w:r>
          <w:instrText xml:space="preserve"> PAGE   \* MERGEFORMAT </w:instrText>
        </w:r>
        <w:r>
          <w:fldChar w:fldCharType="separate"/>
        </w:r>
        <w:r w:rsidR="002125ED">
          <w:rPr>
            <w:noProof/>
          </w:rPr>
          <w:t>ii</w:t>
        </w:r>
        <w:r>
          <w:rPr>
            <w:noProof/>
          </w:rPr>
          <w:fldChar w:fldCharType="end"/>
        </w:r>
      </w:p>
    </w:sdtContent>
  </w:sdt>
  <w:p w14:paraId="4BC14D74" w14:textId="77777777" w:rsidR="00953C0F" w:rsidRPr="00120B86" w:rsidRDefault="00953C0F" w:rsidP="006775A2">
    <w:pPr>
      <w:tabs>
        <w:tab w:val="center" w:pos="4513"/>
        <w:tab w:val="right" w:pos="9027"/>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22197"/>
      <w:docPartObj>
        <w:docPartGallery w:val="Page Numbers (Bottom of Page)"/>
        <w:docPartUnique/>
      </w:docPartObj>
    </w:sdtPr>
    <w:sdtEndPr>
      <w:rPr>
        <w:noProof/>
      </w:rPr>
    </w:sdtEndPr>
    <w:sdtContent>
      <w:p w14:paraId="17F8570E" w14:textId="64F9F181" w:rsidR="00953C0F" w:rsidRPr="00042E1A" w:rsidRDefault="00953C0F" w:rsidP="00974842">
        <w:pPr>
          <w:jc w:val="center"/>
          <w:rPr>
            <w:rFonts w:ascii="Times New Roman" w:hAnsi="Times New Roman" w:cs="Times New Roman"/>
            <w:sz w:val="15"/>
          </w:rPr>
        </w:pPr>
        <w:r>
          <w:fldChar w:fldCharType="begin"/>
        </w:r>
        <w:r>
          <w:instrText xml:space="preserve"> PAGE   \* MERGEFORMAT </w:instrText>
        </w:r>
        <w:r>
          <w:fldChar w:fldCharType="separate"/>
        </w:r>
        <w:r w:rsidR="002125ED">
          <w:rPr>
            <w:noProof/>
          </w:rPr>
          <w:t>7</w:t>
        </w:r>
        <w:r>
          <w:rPr>
            <w:noProof/>
          </w:rPr>
          <w:fldChar w:fldCharType="end"/>
        </w:r>
      </w:p>
    </w:sdtContent>
  </w:sdt>
  <w:p w14:paraId="2D306371" w14:textId="77777777" w:rsidR="00953C0F" w:rsidRPr="00120B86" w:rsidRDefault="00953C0F" w:rsidP="006775A2">
    <w:pPr>
      <w:tabs>
        <w:tab w:val="center" w:pos="4513"/>
        <w:tab w:val="right" w:pos="9027"/>
      </w:tabs>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905123"/>
      <w:docPartObj>
        <w:docPartGallery w:val="Page Numbers (Bottom of Page)"/>
        <w:docPartUnique/>
      </w:docPartObj>
    </w:sdtPr>
    <w:sdtEndPr>
      <w:rPr>
        <w:noProof/>
      </w:rPr>
    </w:sdtEndPr>
    <w:sdtContent>
      <w:p w14:paraId="4629005C" w14:textId="44E91D07" w:rsidR="00953C0F" w:rsidRDefault="00953C0F" w:rsidP="002376B9">
        <w:pPr>
          <w:pStyle w:val="Footer"/>
          <w:tabs>
            <w:tab w:val="clear" w:pos="4522"/>
            <w:tab w:val="clear" w:pos="9029"/>
            <w:tab w:val="center" w:pos="4513"/>
            <w:tab w:val="right" w:pos="9027"/>
          </w:tabs>
          <w:jc w:val="center"/>
          <w:rPr>
            <w:noProof/>
          </w:rPr>
        </w:pPr>
        <w:r>
          <w:fldChar w:fldCharType="begin"/>
        </w:r>
        <w:r>
          <w:instrText xml:space="preserve"> PAGE   \* MERGEFORMAT </w:instrText>
        </w:r>
        <w:r>
          <w:fldChar w:fldCharType="separate"/>
        </w:r>
        <w:r w:rsidR="002125ED">
          <w:rPr>
            <w:noProof/>
          </w:rPr>
          <w:t>1</w:t>
        </w:r>
        <w:r>
          <w:rPr>
            <w:noProof/>
          </w:rPr>
          <w:fldChar w:fldCharType="end"/>
        </w:r>
      </w:p>
    </w:sdtContent>
  </w:sdt>
  <w:p w14:paraId="6F528642" w14:textId="77777777" w:rsidR="00953C0F" w:rsidRPr="00120B86" w:rsidRDefault="00953C0F" w:rsidP="006775A2">
    <w:pPr>
      <w:tabs>
        <w:tab w:val="center" w:pos="6980"/>
        <w:tab w:val="right" w:pos="13959"/>
      </w:tab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41569" w14:textId="35AD811F" w:rsidR="00953C0F" w:rsidRPr="00180524" w:rsidRDefault="00953C0F" w:rsidP="00974842">
    <w:pPr>
      <w:jc w:val="center"/>
      <w:rPr>
        <w:rFonts w:ascii="Times New Roman" w:hAnsi="Times New Roman" w:cs="Times New Roman"/>
        <w:szCs w:val="22"/>
      </w:rPr>
    </w:pPr>
    <w:r w:rsidRPr="00180524">
      <w:rPr>
        <w:rFonts w:ascii="Times New Roman" w:hAnsi="Times New Roman" w:cs="Times New Roman"/>
        <w:szCs w:val="22"/>
      </w:rPr>
      <w:fldChar w:fldCharType="begin"/>
    </w:r>
    <w:r w:rsidRPr="00180524">
      <w:rPr>
        <w:rFonts w:ascii="Times New Roman" w:hAnsi="Times New Roman" w:cs="Times New Roman"/>
        <w:szCs w:val="22"/>
      </w:rPr>
      <w:instrText xml:space="preserve"> PAGE   \* MERGEFORMAT </w:instrText>
    </w:r>
    <w:r w:rsidRPr="00180524">
      <w:rPr>
        <w:rFonts w:ascii="Times New Roman" w:hAnsi="Times New Roman" w:cs="Times New Roman"/>
        <w:szCs w:val="22"/>
      </w:rPr>
      <w:fldChar w:fldCharType="separate"/>
    </w:r>
    <w:r w:rsidR="002125ED">
      <w:rPr>
        <w:rFonts w:ascii="Times New Roman" w:hAnsi="Times New Roman" w:cs="Times New Roman"/>
        <w:noProof/>
        <w:szCs w:val="22"/>
      </w:rPr>
      <w:t>86</w:t>
    </w:r>
    <w:r w:rsidRPr="00180524">
      <w:rPr>
        <w:rFonts w:ascii="Times New Roman" w:hAnsi="Times New Roman" w:cs="Times New Roman"/>
        <w:noProof/>
        <w:szCs w:val="22"/>
      </w:rPr>
      <w:fldChar w:fldCharType="end"/>
    </w:r>
  </w:p>
  <w:p w14:paraId="74562692" w14:textId="77777777" w:rsidR="00953C0F" w:rsidRPr="00120B86" w:rsidRDefault="00953C0F" w:rsidP="006775A2">
    <w:pPr>
      <w:tabs>
        <w:tab w:val="center" w:pos="4513"/>
        <w:tab w:val="right" w:pos="902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341B6" w14:textId="77777777" w:rsidR="008A5C6D" w:rsidRDefault="008A5C6D" w:rsidP="003D73F4">
      <w:r>
        <w:separator/>
      </w:r>
    </w:p>
  </w:footnote>
  <w:footnote w:type="continuationSeparator" w:id="0">
    <w:p w14:paraId="674A767D" w14:textId="77777777" w:rsidR="008A5C6D" w:rsidRPr="0060109E" w:rsidRDefault="008A5C6D" w:rsidP="003D73F4">
      <w:pPr>
        <w:rPr>
          <w:i/>
          <w:sz w:val="16"/>
          <w:szCs w:val="16"/>
        </w:rPr>
      </w:pPr>
      <w:r w:rsidRPr="0060109E">
        <w:rPr>
          <w:i/>
          <w:sz w:val="16"/>
          <w:szCs w:val="16"/>
        </w:rPr>
        <w:t>________________________</w:t>
      </w:r>
      <w:r w:rsidRPr="0060109E">
        <w:rPr>
          <w:i/>
          <w:sz w:val="16"/>
          <w:szCs w:val="16"/>
        </w:rPr>
        <w:br/>
        <w:t>(cont</w:t>
      </w:r>
      <w:r>
        <w:rPr>
          <w:i/>
          <w:sz w:val="16"/>
          <w:szCs w:val="16"/>
        </w:rPr>
        <w:t>’</w:t>
      </w:r>
      <w:r w:rsidRPr="0060109E">
        <w:rPr>
          <w:i/>
          <w:sz w:val="16"/>
          <w:szCs w:val="16"/>
        </w:rPr>
        <w:t>d from previous page)</w:t>
      </w:r>
    </w:p>
  </w:footnote>
  <w:footnote w:type="continuationNotice" w:id="1">
    <w:p w14:paraId="4275ED98" w14:textId="77777777" w:rsidR="008A5C6D" w:rsidRPr="0060109E" w:rsidRDefault="008A5C6D" w:rsidP="0060109E">
      <w:pPr>
        <w:jc w:val="right"/>
        <w:rPr>
          <w:i/>
          <w:sz w:val="16"/>
          <w:szCs w:val="16"/>
        </w:rPr>
      </w:pPr>
      <w:r w:rsidRPr="0060109E">
        <w:rPr>
          <w:i/>
          <w:sz w:val="16"/>
          <w:szCs w:val="16"/>
        </w:rPr>
        <w:t>(cont</w:t>
      </w:r>
      <w:r>
        <w:rPr>
          <w:i/>
          <w:sz w:val="16"/>
          <w:szCs w:val="16"/>
        </w:rPr>
        <w:t>’</w:t>
      </w:r>
      <w:r w:rsidRPr="0060109E">
        <w:rPr>
          <w:i/>
          <w:sz w:val="16"/>
          <w:szCs w:val="16"/>
        </w:rPr>
        <w:t>d)</w:t>
      </w:r>
    </w:p>
  </w:footnote>
  <w:footnote w:id="2">
    <w:p w14:paraId="0E44702F" w14:textId="3DC0F236" w:rsidR="00953C0F" w:rsidRPr="0008474E" w:rsidRDefault="00953C0F" w:rsidP="006902A2">
      <w:pPr>
        <w:pStyle w:val="FootnoteText"/>
        <w:rPr>
          <w:lang w:val="en-US"/>
        </w:rPr>
      </w:pPr>
      <w:r w:rsidRPr="0008474E">
        <w:rPr>
          <w:rStyle w:val="FootnoteReference"/>
          <w:lang w:val="en-US"/>
        </w:rPr>
        <w:footnoteRef/>
      </w:r>
      <w:r w:rsidRPr="0008474E">
        <w:rPr>
          <w:lang w:val="en-US"/>
        </w:rPr>
        <w:tab/>
        <w:t>The authors would like to thank</w:t>
      </w:r>
      <w:r>
        <w:rPr>
          <w:lang w:val="en-US"/>
        </w:rPr>
        <w:t xml:space="preserve"> Oli</w:t>
      </w:r>
      <w:r w:rsidRPr="00CF74F2">
        <w:rPr>
          <w:lang w:val="en-US"/>
        </w:rPr>
        <w:t>via Bushell and Corinne Noel for assisting with the coordination of the production of this Report</w:t>
      </w:r>
      <w:r w:rsidR="00C51A0D">
        <w:rPr>
          <w:lang w:val="en-US"/>
        </w:rPr>
        <w:t xml:space="preserve"> and</w:t>
      </w:r>
      <w:r w:rsidRPr="00CF74F2">
        <w:rPr>
          <w:lang w:val="en-US"/>
        </w:rPr>
        <w:t xml:space="preserve"> Jonathan Akinluyi, Riccardo Alonzi, Jack Browne, Megan Coall, Claire Consoli, Rahul Desai, Javeste Dulcio, James Falconer, Megan Finley, Jake Foster, Anna Grunseit, Keshara Hallock, Camille Jetzer, Ani Kusheva, Christopher Lillywhite, Brendan Macreadie, Zahra Mashhood, Vanessa McGoldrick, Manav Melwani, Shannon Mercer, </w:t>
      </w:r>
      <w:r w:rsidR="00B833E9">
        <w:rPr>
          <w:lang w:val="en-US"/>
        </w:rPr>
        <w:t xml:space="preserve">Marcos Perales Mellado, </w:t>
      </w:r>
      <w:r w:rsidRPr="00CF74F2">
        <w:rPr>
          <w:lang w:val="en-US"/>
        </w:rPr>
        <w:t>Genevieve Poirier, Maria Protopapa, David Quartner, Marika Somero, Alex Stock, Edward Taylor and Ruth-Helen Vassilas for their research and assistance in preparing this Report.</w:t>
      </w:r>
    </w:p>
  </w:footnote>
  <w:footnote w:id="3">
    <w:p w14:paraId="7290693A" w14:textId="2D86028B" w:rsidR="00953C0F" w:rsidRDefault="00953C0F" w:rsidP="006902A2">
      <w:pPr>
        <w:pStyle w:val="FootnoteText"/>
      </w:pPr>
      <w:r>
        <w:rPr>
          <w:rStyle w:val="FootnoteReference"/>
        </w:rPr>
        <w:footnoteRef/>
      </w:r>
      <w:r>
        <w:t xml:space="preserve"> </w:t>
      </w:r>
      <w:r>
        <w:tab/>
      </w:r>
      <w:r w:rsidRPr="0008474E">
        <w:rPr>
          <w:lang w:val="en-US"/>
        </w:rPr>
        <w:t>We have intentionally canvassed a range of international and regional rights treaties, based on their significance in the treaty body space and relevance to the diversity and gender balance discussions.</w:t>
      </w:r>
      <w:r>
        <w:rPr>
          <w:lang w:val="en-US"/>
        </w:rPr>
        <w:t xml:space="preserve">  As a result, i</w:t>
      </w:r>
      <w:r w:rsidRPr="008154A3">
        <w:t xml:space="preserve">n preparing this Report, the practices of the following treaty bodies </w:t>
      </w:r>
      <w:r>
        <w:t xml:space="preserve">and organizations </w:t>
      </w:r>
      <w:r w:rsidRPr="008154A3">
        <w:t>were examined:</w:t>
      </w:r>
    </w:p>
    <w:p w14:paraId="2921D214" w14:textId="0CBF7BFB" w:rsidR="00953C0F" w:rsidRDefault="00953C0F" w:rsidP="006902A2">
      <w:pPr>
        <w:pStyle w:val="FootnoteText"/>
        <w:ind w:left="720"/>
      </w:pPr>
      <w:r>
        <w:t>•</w:t>
      </w:r>
      <w:r>
        <w:tab/>
        <w:t>the Human Rights Committee, which monitors the International Covenant on Civil and Political Rights (</w:t>
      </w:r>
      <w:r w:rsidRPr="00203E75">
        <w:rPr>
          <w:i/>
        </w:rPr>
        <w:t>“</w:t>
      </w:r>
      <w:r w:rsidRPr="002E5273">
        <w:rPr>
          <w:b/>
        </w:rPr>
        <w:t>ICCPR</w:t>
      </w:r>
      <w:r w:rsidRPr="00203E75">
        <w:rPr>
          <w:i/>
        </w:rPr>
        <w:t>”</w:t>
      </w:r>
      <w:r>
        <w:t>);</w:t>
      </w:r>
    </w:p>
    <w:p w14:paraId="1185146C" w14:textId="1ADABC3B" w:rsidR="00953C0F" w:rsidRDefault="00953C0F" w:rsidP="006902A2">
      <w:pPr>
        <w:pStyle w:val="FootnoteText"/>
        <w:ind w:left="720"/>
      </w:pPr>
      <w:r>
        <w:t>•</w:t>
      </w:r>
      <w:r>
        <w:tab/>
        <w:t>the Committee that monitors the Convention on the Elimination of All Forms of Discrimination Against Women (</w:t>
      </w:r>
      <w:r w:rsidRPr="00203E75">
        <w:rPr>
          <w:i/>
        </w:rPr>
        <w:t>“</w:t>
      </w:r>
      <w:r w:rsidRPr="002E5273">
        <w:rPr>
          <w:b/>
        </w:rPr>
        <w:t>CEDAW</w:t>
      </w:r>
      <w:r w:rsidRPr="00203E75">
        <w:rPr>
          <w:i/>
        </w:rPr>
        <w:t>”</w:t>
      </w:r>
      <w:r>
        <w:t>);</w:t>
      </w:r>
    </w:p>
    <w:p w14:paraId="396D2DD4" w14:textId="0B827F9E" w:rsidR="00953C0F" w:rsidRDefault="00953C0F" w:rsidP="006902A2">
      <w:pPr>
        <w:pStyle w:val="FootnoteText"/>
        <w:ind w:left="720"/>
      </w:pPr>
      <w:r>
        <w:t>•</w:t>
      </w:r>
      <w:r>
        <w:tab/>
        <w:t>the Committee on the Protection of the Rights of All Migrant Workers and Members of their Families (</w:t>
      </w:r>
      <w:r w:rsidRPr="00203E75">
        <w:rPr>
          <w:i/>
        </w:rPr>
        <w:t>“</w:t>
      </w:r>
      <w:r w:rsidRPr="002E5273">
        <w:rPr>
          <w:b/>
        </w:rPr>
        <w:t>CMW</w:t>
      </w:r>
      <w:r w:rsidRPr="00203E75">
        <w:rPr>
          <w:i/>
        </w:rPr>
        <w:t>”</w:t>
      </w:r>
      <w:r>
        <w:t>), which monitors the International Convention on the Protection of the Rights of All Migrant Workers and Members of Their Families (</w:t>
      </w:r>
      <w:r w:rsidRPr="00203E75">
        <w:rPr>
          <w:i/>
        </w:rPr>
        <w:t>“</w:t>
      </w:r>
      <w:r w:rsidRPr="002E5273">
        <w:rPr>
          <w:b/>
        </w:rPr>
        <w:t>ICMW</w:t>
      </w:r>
      <w:r w:rsidRPr="00203E75">
        <w:rPr>
          <w:i/>
        </w:rPr>
        <w:t>”</w:t>
      </w:r>
      <w:r>
        <w:t>);</w:t>
      </w:r>
    </w:p>
    <w:p w14:paraId="2C83F981" w14:textId="50E0A97F" w:rsidR="00953C0F" w:rsidRDefault="00953C0F" w:rsidP="006902A2">
      <w:pPr>
        <w:pStyle w:val="FootnoteText"/>
        <w:ind w:left="720"/>
      </w:pPr>
      <w:r>
        <w:t>•</w:t>
      </w:r>
      <w:r>
        <w:tab/>
        <w:t>the Subcommittee on Prevention of Torture and other Cruel, Inhuman or Degrading Treatment or Punishment (</w:t>
      </w:r>
      <w:r w:rsidRPr="00203E75">
        <w:rPr>
          <w:i/>
        </w:rPr>
        <w:t>“</w:t>
      </w:r>
      <w:r w:rsidRPr="002E5273">
        <w:rPr>
          <w:b/>
        </w:rPr>
        <w:t>SPT</w:t>
      </w:r>
      <w:r w:rsidRPr="00203E75">
        <w:rPr>
          <w:i/>
        </w:rPr>
        <w:t>”</w:t>
      </w:r>
      <w:r>
        <w:t>), which monitors the Optional Protocol to the Convention against Torture and Other Cruel, Inhuman or Degrading Treatment or Punishment (</w:t>
      </w:r>
      <w:r w:rsidRPr="00203E75">
        <w:rPr>
          <w:i/>
        </w:rPr>
        <w:t>“</w:t>
      </w:r>
      <w:r w:rsidRPr="002E5273">
        <w:rPr>
          <w:b/>
        </w:rPr>
        <w:t>OPCAT</w:t>
      </w:r>
      <w:r w:rsidRPr="00203E75">
        <w:rPr>
          <w:i/>
        </w:rPr>
        <w:t>”</w:t>
      </w:r>
      <w:r>
        <w:t>);</w:t>
      </w:r>
    </w:p>
    <w:p w14:paraId="5E079B62" w14:textId="3098C62B" w:rsidR="00953C0F" w:rsidRDefault="00953C0F" w:rsidP="006902A2">
      <w:pPr>
        <w:pStyle w:val="FootnoteText"/>
        <w:ind w:left="720"/>
      </w:pPr>
      <w:r>
        <w:t>•</w:t>
      </w:r>
      <w:r>
        <w:tab/>
        <w:t>the International Criminal Court (</w:t>
      </w:r>
      <w:r w:rsidRPr="00203E75">
        <w:rPr>
          <w:i/>
        </w:rPr>
        <w:t>“</w:t>
      </w:r>
      <w:r w:rsidRPr="002E5273">
        <w:rPr>
          <w:b/>
        </w:rPr>
        <w:t>ICC</w:t>
      </w:r>
      <w:r w:rsidRPr="00203E75">
        <w:rPr>
          <w:i/>
        </w:rPr>
        <w:t>”</w:t>
      </w:r>
      <w:r>
        <w:t>) constituted under the Rome Statute of the International Criminal Court; the International Criminal Court Assembly (</w:t>
      </w:r>
      <w:r w:rsidRPr="00203E75">
        <w:rPr>
          <w:i/>
        </w:rPr>
        <w:t>“</w:t>
      </w:r>
      <w:r w:rsidRPr="002E5273">
        <w:rPr>
          <w:b/>
        </w:rPr>
        <w:t>ICC Assembly</w:t>
      </w:r>
      <w:r w:rsidRPr="00203E75">
        <w:rPr>
          <w:i/>
        </w:rPr>
        <w:t>”</w:t>
      </w:r>
      <w:r>
        <w:t>) constituted under the Rome Statute of the International Criminal Court;</w:t>
      </w:r>
    </w:p>
    <w:p w14:paraId="64E0F06A" w14:textId="1CFBE392" w:rsidR="00953C0F" w:rsidRDefault="00953C0F" w:rsidP="006902A2">
      <w:pPr>
        <w:pStyle w:val="FootnoteText"/>
        <w:ind w:left="720"/>
      </w:pPr>
      <w:r>
        <w:t>•</w:t>
      </w:r>
      <w:r>
        <w:tab/>
        <w:t>the Committee against Torture (</w:t>
      </w:r>
      <w:r w:rsidRPr="00203E75">
        <w:rPr>
          <w:i/>
        </w:rPr>
        <w:t>“</w:t>
      </w:r>
      <w:r w:rsidRPr="002E5273">
        <w:rPr>
          <w:b/>
        </w:rPr>
        <w:t>CAT</w:t>
      </w:r>
      <w:r w:rsidRPr="00203E75">
        <w:rPr>
          <w:i/>
        </w:rPr>
        <w:t>”</w:t>
      </w:r>
      <w:r>
        <w:t xml:space="preserve">), which monitors the Convention against Torture and Other Cruel, Inhuman or Degrading Treatment or Punishment; </w:t>
      </w:r>
    </w:p>
    <w:p w14:paraId="24740F57" w14:textId="62E8C441" w:rsidR="00953C0F" w:rsidRDefault="00953C0F" w:rsidP="006902A2">
      <w:pPr>
        <w:pStyle w:val="FootnoteText"/>
        <w:ind w:left="720"/>
      </w:pPr>
      <w:r>
        <w:t>•</w:t>
      </w:r>
      <w:r>
        <w:tab/>
        <w:t>the Committee on the Rights of Persons with Disabilities, which monitors the Convention on the Rights of Persons with Disabilities (</w:t>
      </w:r>
      <w:r w:rsidRPr="00203E75">
        <w:rPr>
          <w:i/>
        </w:rPr>
        <w:t>“</w:t>
      </w:r>
      <w:r w:rsidRPr="002E5273">
        <w:rPr>
          <w:b/>
        </w:rPr>
        <w:t>CRPD</w:t>
      </w:r>
      <w:r w:rsidRPr="00203E75">
        <w:rPr>
          <w:i/>
        </w:rPr>
        <w:t>”</w:t>
      </w:r>
      <w:r>
        <w:t>);</w:t>
      </w:r>
    </w:p>
    <w:p w14:paraId="137D479D" w14:textId="0EC742CC" w:rsidR="00953C0F" w:rsidRDefault="00953C0F" w:rsidP="006902A2">
      <w:pPr>
        <w:pStyle w:val="FootnoteText"/>
        <w:ind w:left="720"/>
      </w:pPr>
      <w:r>
        <w:t>•</w:t>
      </w:r>
      <w:r>
        <w:tab/>
        <w:t>the Committee on Economic, Social and Cultural Rights (</w:t>
      </w:r>
      <w:r w:rsidRPr="00203E75">
        <w:rPr>
          <w:i/>
        </w:rPr>
        <w:t>“</w:t>
      </w:r>
      <w:r w:rsidRPr="002E5273">
        <w:rPr>
          <w:b/>
        </w:rPr>
        <w:t>CESCR</w:t>
      </w:r>
      <w:r w:rsidRPr="00203E75">
        <w:rPr>
          <w:i/>
        </w:rPr>
        <w:t>”</w:t>
      </w:r>
      <w:r>
        <w:t>), which monitors the International Covenant on Economic, Social and Cultural Rights (</w:t>
      </w:r>
      <w:r w:rsidRPr="00203E75">
        <w:rPr>
          <w:i/>
        </w:rPr>
        <w:t>“</w:t>
      </w:r>
      <w:r w:rsidRPr="00F90097">
        <w:rPr>
          <w:b/>
        </w:rPr>
        <w:t>ICESCR</w:t>
      </w:r>
      <w:r w:rsidRPr="00203E75">
        <w:rPr>
          <w:i/>
        </w:rPr>
        <w:t>”</w:t>
      </w:r>
      <w:r>
        <w:t>);</w:t>
      </w:r>
    </w:p>
    <w:p w14:paraId="4830FEB1" w14:textId="27579A37" w:rsidR="00953C0F" w:rsidRDefault="00953C0F" w:rsidP="006902A2">
      <w:pPr>
        <w:pStyle w:val="FootnoteText"/>
        <w:ind w:left="720"/>
      </w:pPr>
      <w:r>
        <w:t>•</w:t>
      </w:r>
      <w:r>
        <w:tab/>
        <w:t>Committee on the Election of Judges to the European Court of Human Rights (</w:t>
      </w:r>
      <w:r w:rsidRPr="00203E75">
        <w:rPr>
          <w:i/>
        </w:rPr>
        <w:t>“</w:t>
      </w:r>
      <w:r w:rsidRPr="002E5273">
        <w:rPr>
          <w:b/>
        </w:rPr>
        <w:t>ECtHR</w:t>
      </w:r>
      <w:r w:rsidRPr="00203E75">
        <w:rPr>
          <w:i/>
        </w:rPr>
        <w:t>”</w:t>
      </w:r>
      <w:r>
        <w:t>), which recommends candidates to the European Assembly for election;</w:t>
      </w:r>
    </w:p>
    <w:p w14:paraId="1AA7B008" w14:textId="2EA8DA3E" w:rsidR="00953C0F" w:rsidRDefault="00953C0F" w:rsidP="006902A2">
      <w:pPr>
        <w:pStyle w:val="FootnoteText"/>
        <w:ind w:left="720"/>
      </w:pPr>
      <w:r>
        <w:t>•</w:t>
      </w:r>
      <w:r>
        <w:tab/>
        <w:t>the European Committee for the Prevention of Torture (</w:t>
      </w:r>
      <w:r w:rsidRPr="00203E75">
        <w:rPr>
          <w:i/>
        </w:rPr>
        <w:t>“</w:t>
      </w:r>
      <w:r w:rsidRPr="002E5273">
        <w:rPr>
          <w:b/>
        </w:rPr>
        <w:t>CPT</w:t>
      </w:r>
      <w:r w:rsidRPr="00203E75">
        <w:rPr>
          <w:i/>
        </w:rPr>
        <w:t>”</w:t>
      </w:r>
      <w:r>
        <w:t>), which monitors the European Convention for the Prevention of Torture and Inhuman or Degrading Treatment or Punishment (</w:t>
      </w:r>
      <w:r w:rsidRPr="00203E75">
        <w:rPr>
          <w:i/>
        </w:rPr>
        <w:t>“</w:t>
      </w:r>
      <w:r w:rsidRPr="002E5273">
        <w:rPr>
          <w:b/>
        </w:rPr>
        <w:t>ECPT</w:t>
      </w:r>
      <w:r w:rsidRPr="00203E75">
        <w:rPr>
          <w:i/>
        </w:rPr>
        <w:t>”</w:t>
      </w:r>
      <w:r>
        <w:t>);</w:t>
      </w:r>
    </w:p>
    <w:p w14:paraId="2E18F3AE" w14:textId="24D39569" w:rsidR="00953C0F" w:rsidRDefault="00953C0F" w:rsidP="006902A2">
      <w:pPr>
        <w:pStyle w:val="FootnoteText"/>
        <w:ind w:left="720"/>
      </w:pPr>
      <w:r>
        <w:t>•</w:t>
      </w:r>
      <w:r>
        <w:tab/>
        <w:t>the African Commission on Human and Peoples’ Rights (</w:t>
      </w:r>
      <w:r w:rsidRPr="00203E75">
        <w:rPr>
          <w:i/>
        </w:rPr>
        <w:t>“</w:t>
      </w:r>
      <w:r w:rsidRPr="002E5273">
        <w:rPr>
          <w:b/>
        </w:rPr>
        <w:t>ACHPR</w:t>
      </w:r>
      <w:r w:rsidRPr="00203E75">
        <w:rPr>
          <w:i/>
        </w:rPr>
        <w:t>”</w:t>
      </w:r>
      <w:r>
        <w:t>), and African Court on Human and Peoples’ Rights (</w:t>
      </w:r>
      <w:r w:rsidRPr="00203E75">
        <w:rPr>
          <w:i/>
        </w:rPr>
        <w:t>“</w:t>
      </w:r>
      <w:r w:rsidRPr="002E5273">
        <w:rPr>
          <w:b/>
        </w:rPr>
        <w:t>ACtHPR</w:t>
      </w:r>
      <w:r w:rsidRPr="00203E75">
        <w:rPr>
          <w:i/>
        </w:rPr>
        <w:t>”</w:t>
      </w:r>
      <w:r>
        <w:t>), which together monitor the African Charter on Human and Peoples’ Rights;</w:t>
      </w:r>
    </w:p>
    <w:p w14:paraId="0E492CB6" w14:textId="0CDC0E89" w:rsidR="00953C0F" w:rsidRDefault="00953C0F" w:rsidP="006902A2">
      <w:pPr>
        <w:pStyle w:val="FootnoteText"/>
        <w:ind w:left="720"/>
      </w:pPr>
      <w:r>
        <w:t>•</w:t>
      </w:r>
      <w:r>
        <w:tab/>
        <w:t>the Committee on the Elimination of Racial Discrimination (</w:t>
      </w:r>
      <w:r w:rsidRPr="00203E75">
        <w:rPr>
          <w:i/>
        </w:rPr>
        <w:t>“</w:t>
      </w:r>
      <w:r w:rsidRPr="002E5273">
        <w:rPr>
          <w:b/>
        </w:rPr>
        <w:t>CERD</w:t>
      </w:r>
      <w:r w:rsidRPr="00203E75">
        <w:rPr>
          <w:i/>
        </w:rPr>
        <w:t>”</w:t>
      </w:r>
      <w:r>
        <w:t>), which monitors the International Convention on the Elimination of All Forms of Racial Discrimination (</w:t>
      </w:r>
      <w:r w:rsidRPr="00203E75">
        <w:rPr>
          <w:i/>
        </w:rPr>
        <w:t>“</w:t>
      </w:r>
      <w:r w:rsidRPr="002E5273">
        <w:rPr>
          <w:b/>
        </w:rPr>
        <w:t>ICERD</w:t>
      </w:r>
      <w:r w:rsidRPr="00203E75">
        <w:rPr>
          <w:i/>
        </w:rPr>
        <w:t>”</w:t>
      </w:r>
      <w:r>
        <w:t>);</w:t>
      </w:r>
    </w:p>
    <w:p w14:paraId="2844F512" w14:textId="1D9EAC73" w:rsidR="00953C0F" w:rsidRDefault="00953C0F" w:rsidP="006902A2">
      <w:pPr>
        <w:pStyle w:val="FootnoteText"/>
        <w:ind w:left="720"/>
      </w:pPr>
      <w:r>
        <w:t>•</w:t>
      </w:r>
      <w:r>
        <w:tab/>
        <w:t>the Committee on the Rights of the Child, which monitors the Convention on the Rights of the Child (</w:t>
      </w:r>
      <w:r w:rsidRPr="00203E75">
        <w:rPr>
          <w:i/>
        </w:rPr>
        <w:t>“</w:t>
      </w:r>
      <w:r w:rsidRPr="002E5273">
        <w:rPr>
          <w:b/>
        </w:rPr>
        <w:t>CRC</w:t>
      </w:r>
      <w:r w:rsidRPr="00203E75">
        <w:rPr>
          <w:i/>
        </w:rPr>
        <w:t>”</w:t>
      </w:r>
      <w:r>
        <w:t>);</w:t>
      </w:r>
    </w:p>
    <w:p w14:paraId="787A7ACB" w14:textId="115B89FB" w:rsidR="00953C0F" w:rsidRDefault="00953C0F" w:rsidP="006902A2">
      <w:pPr>
        <w:pStyle w:val="FootnoteText"/>
        <w:ind w:left="720"/>
      </w:pPr>
      <w:r>
        <w:t>•</w:t>
      </w:r>
      <w:r>
        <w:tab/>
        <w:t>the Committee on Enforced Disappearances (</w:t>
      </w:r>
      <w:r w:rsidRPr="00203E75">
        <w:rPr>
          <w:i/>
        </w:rPr>
        <w:t>“</w:t>
      </w:r>
      <w:r w:rsidRPr="002E5273">
        <w:rPr>
          <w:b/>
        </w:rPr>
        <w:t>CED</w:t>
      </w:r>
      <w:r w:rsidRPr="00203E75">
        <w:rPr>
          <w:i/>
        </w:rPr>
        <w:t>”</w:t>
      </w:r>
      <w:r>
        <w:t>), which monitors the International Convention for the Protection of All Persons from Enforced Disappearance (</w:t>
      </w:r>
      <w:r w:rsidRPr="00203E75">
        <w:rPr>
          <w:i/>
        </w:rPr>
        <w:t>“</w:t>
      </w:r>
      <w:r w:rsidRPr="002E5273">
        <w:rPr>
          <w:b/>
        </w:rPr>
        <w:t>CPED</w:t>
      </w:r>
      <w:r w:rsidRPr="00203E75">
        <w:rPr>
          <w:i/>
        </w:rPr>
        <w:t>”</w:t>
      </w:r>
      <w:r>
        <w:t>); and</w:t>
      </w:r>
    </w:p>
    <w:p w14:paraId="0DC5B3FD" w14:textId="2211F751" w:rsidR="00953C0F" w:rsidRPr="002E5273" w:rsidRDefault="00953C0F" w:rsidP="006902A2">
      <w:pPr>
        <w:pStyle w:val="FootnoteText"/>
        <w:ind w:left="720"/>
        <w:rPr>
          <w:lang w:val="en-US"/>
        </w:rPr>
      </w:pPr>
      <w:r>
        <w:t>•</w:t>
      </w:r>
      <w:r>
        <w:tab/>
        <w:t>the Inter-American Commission on Human Rights (</w:t>
      </w:r>
      <w:r w:rsidRPr="00203E75">
        <w:rPr>
          <w:i/>
        </w:rPr>
        <w:t>“</w:t>
      </w:r>
      <w:r w:rsidRPr="002E5273">
        <w:rPr>
          <w:b/>
        </w:rPr>
        <w:t>IACHR</w:t>
      </w:r>
      <w:r w:rsidRPr="00203E75">
        <w:rPr>
          <w:i/>
        </w:rPr>
        <w:t>”</w:t>
      </w:r>
      <w:r>
        <w:t>) and the Inter-American Court of Human Rights (</w:t>
      </w:r>
      <w:r w:rsidRPr="00203E75">
        <w:rPr>
          <w:i/>
        </w:rPr>
        <w:t>“</w:t>
      </w:r>
      <w:r w:rsidRPr="002E5273">
        <w:rPr>
          <w:b/>
        </w:rPr>
        <w:t>IACtHR</w:t>
      </w:r>
      <w:r w:rsidRPr="00203E75">
        <w:rPr>
          <w:i/>
        </w:rPr>
        <w:t>”</w:t>
      </w:r>
      <w:r>
        <w:t>), which together monitor the American Convention on Human Rights.</w:t>
      </w:r>
    </w:p>
  </w:footnote>
  <w:footnote w:id="4">
    <w:p w14:paraId="794CF257"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See</w:t>
      </w:r>
      <w:r w:rsidRPr="0008474E">
        <w:rPr>
          <w:lang w:val="en-US"/>
        </w:rPr>
        <w:t xml:space="preserve"> Mary Dahdouh et al., Int</w:t>
      </w:r>
      <w:r>
        <w:rPr>
          <w:lang w:val="en-US"/>
        </w:rPr>
        <w:t>’</w:t>
      </w:r>
      <w:r w:rsidRPr="0008474E">
        <w:rPr>
          <w:lang w:val="en-US"/>
        </w:rPr>
        <w:t xml:space="preserve">l Human Rights Law Clinic, Univ. of Cal., Berkeley, </w:t>
      </w:r>
      <w:r w:rsidRPr="0008474E">
        <w:rPr>
          <w:i/>
          <w:lang w:val="en-US"/>
        </w:rPr>
        <w:t>Achieving Gender balance on International Judicial and Monitoring Bodies: Analysis of International Human Rights Laws and Standards Relevant to the GQUAL Campaign</w:t>
      </w:r>
      <w:r w:rsidRPr="0008474E">
        <w:rPr>
          <w:lang w:val="en-US"/>
        </w:rPr>
        <w:t xml:space="preserve"> (2017); Vivian Hunt et al., McKinsey &amp; Co., </w:t>
      </w:r>
      <w:r w:rsidRPr="0008474E">
        <w:rPr>
          <w:i/>
          <w:lang w:val="en-US"/>
        </w:rPr>
        <w:t>Diversity Matters</w:t>
      </w:r>
      <w:r w:rsidRPr="0008474E">
        <w:rPr>
          <w:lang w:val="en-US"/>
        </w:rPr>
        <w:t xml:space="preserve"> (2015) [hereinafter McKinsey report], https://assets.mckinsey.com/~/media/857F440109AA4D13A54D9C496D86ED58.ashx.</w:t>
      </w:r>
    </w:p>
  </w:footnote>
  <w:footnote w:id="5">
    <w:p w14:paraId="17F9E859" w14:textId="75FC8C96"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McKinsey report, </w:t>
      </w:r>
      <w:r w:rsidRPr="0008474E">
        <w:rPr>
          <w:i/>
          <w:lang w:val="en-US"/>
        </w:rPr>
        <w:t>supra</w:t>
      </w:r>
      <w:r w:rsidRPr="0008474E">
        <w:rPr>
          <w:lang w:val="en-US"/>
        </w:rPr>
        <w:t xml:space="preserve"> note </w:t>
      </w:r>
      <w:r>
        <w:rPr>
          <w:lang w:val="en-US"/>
        </w:rPr>
        <w:fldChar w:fldCharType="begin"/>
      </w:r>
      <w:r>
        <w:rPr>
          <w:lang w:val="en-US"/>
        </w:rPr>
        <w:instrText xml:space="preserve"> NOTEREF _Ref21804339 \h </w:instrText>
      </w:r>
      <w:r w:rsidR="006902A2">
        <w:rPr>
          <w:lang w:val="en-US"/>
        </w:rPr>
        <w:instrText xml:space="preserve"> \* MERGEFORMAT </w:instrText>
      </w:r>
      <w:r>
        <w:rPr>
          <w:lang w:val="en-US"/>
        </w:rPr>
      </w:r>
      <w:r>
        <w:rPr>
          <w:lang w:val="en-US"/>
        </w:rPr>
        <w:fldChar w:fldCharType="separate"/>
      </w:r>
      <w:r w:rsidR="00AE4BA1">
        <w:rPr>
          <w:lang w:val="en-US"/>
        </w:rPr>
        <w:t>3</w:t>
      </w:r>
      <w:r>
        <w:rPr>
          <w:lang w:val="en-US"/>
        </w:rPr>
        <w:fldChar w:fldCharType="end"/>
      </w:r>
      <w:r w:rsidRPr="0008474E">
        <w:rPr>
          <w:lang w:val="en-US"/>
        </w:rPr>
        <w:t xml:space="preserve">, at 9-13. </w:t>
      </w:r>
    </w:p>
  </w:footnote>
  <w:footnote w:id="6">
    <w:p w14:paraId="26717403" w14:textId="77777777" w:rsidR="00953C0F" w:rsidRDefault="00953C0F" w:rsidP="006902A2">
      <w:pPr>
        <w:pStyle w:val="FootnoteText"/>
        <w:rPr>
          <w:lang w:val="en-US"/>
        </w:rPr>
      </w:pPr>
      <w:r>
        <w:rPr>
          <w:rStyle w:val="FootnoteReference"/>
        </w:rPr>
        <w:footnoteRef/>
      </w:r>
      <w:r>
        <w:t xml:space="preserve"> </w:t>
      </w:r>
      <w:r>
        <w:rPr>
          <w:lang w:val="en-US"/>
        </w:rPr>
        <w:tab/>
        <w:t>https://genderchampions.com/champions/michelle-bachelet (accessed on October 1, 2019).</w:t>
      </w:r>
    </w:p>
  </w:footnote>
  <w:footnote w:id="7">
    <w:p w14:paraId="697C6C22" w14:textId="77777777" w:rsidR="00953C0F" w:rsidRDefault="00953C0F" w:rsidP="006902A2">
      <w:pPr>
        <w:pStyle w:val="FootnoteText"/>
        <w:rPr>
          <w:lang w:val="en-US"/>
        </w:rPr>
      </w:pPr>
      <w:r>
        <w:rPr>
          <w:rStyle w:val="FootnoteReference"/>
        </w:rPr>
        <w:footnoteRef/>
      </w:r>
      <w:r>
        <w:t xml:space="preserve"> </w:t>
      </w:r>
      <w:r>
        <w:rPr>
          <w:lang w:val="en-US"/>
        </w:rPr>
        <w:tab/>
      </w:r>
      <w:r>
        <w:rPr>
          <w:i/>
          <w:lang w:val="en-US"/>
        </w:rPr>
        <w:t>Id</w:t>
      </w:r>
      <w:r>
        <w:rPr>
          <w:lang w:val="en-US"/>
        </w:rPr>
        <w:t>.</w:t>
      </w:r>
    </w:p>
  </w:footnote>
  <w:footnote w:id="8">
    <w:p w14:paraId="1E81FB1C"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U.N. Secretary-General, </w:t>
      </w:r>
      <w:r w:rsidRPr="0008474E">
        <w:rPr>
          <w:i/>
          <w:lang w:val="en-US"/>
        </w:rPr>
        <w:t>Status of the human rights treaty body system</w:t>
      </w:r>
      <w:r w:rsidRPr="0008474E">
        <w:rPr>
          <w:lang w:val="en-US"/>
        </w:rPr>
        <w:t>, ¶¶ 79-80, UN Doc. A/71/118 (July 18, 2016).</w:t>
      </w:r>
    </w:p>
  </w:footnote>
  <w:footnote w:id="9">
    <w:p w14:paraId="7B8B22A8"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U.N. Secretary-General, </w:t>
      </w:r>
      <w:r w:rsidRPr="0008474E">
        <w:rPr>
          <w:i/>
          <w:lang w:val="en-US"/>
        </w:rPr>
        <w:t>Status of the human rights treaty body system</w:t>
      </w:r>
      <w:r w:rsidRPr="0008474E">
        <w:rPr>
          <w:lang w:val="en-US"/>
        </w:rPr>
        <w:t xml:space="preserve">, </w:t>
      </w:r>
      <w:r>
        <w:rPr>
          <w:lang w:val="en-US"/>
        </w:rPr>
        <w:t xml:space="preserve">Annex XXIV, </w:t>
      </w:r>
      <w:r w:rsidRPr="0008474E">
        <w:rPr>
          <w:lang w:val="en-US"/>
        </w:rPr>
        <w:t>UN Doc. A/73/309 (August 6, 2018).</w:t>
      </w:r>
    </w:p>
  </w:footnote>
  <w:footnote w:id="10">
    <w:p w14:paraId="12C052A3" w14:textId="77777777" w:rsidR="004C5DDF" w:rsidRPr="0008474E" w:rsidRDefault="004C5DDF" w:rsidP="006902A2">
      <w:pPr>
        <w:pStyle w:val="FootnoteText"/>
        <w:rPr>
          <w:lang w:val="en-US"/>
        </w:rPr>
      </w:pPr>
      <w:r w:rsidRPr="0008474E">
        <w:rPr>
          <w:rStyle w:val="FootnoteReference"/>
          <w:lang w:val="en-US"/>
        </w:rPr>
        <w:footnoteRef/>
      </w:r>
      <w:r w:rsidRPr="0008474E">
        <w:rPr>
          <w:lang w:val="en-US"/>
        </w:rPr>
        <w:tab/>
        <w:t>Navi Pillay (U.N. High Comm</w:t>
      </w:r>
      <w:r>
        <w:rPr>
          <w:lang w:val="en-US"/>
        </w:rPr>
        <w:t>’</w:t>
      </w:r>
      <w:r w:rsidRPr="0008474E">
        <w:rPr>
          <w:lang w:val="en-US"/>
        </w:rPr>
        <w:t xml:space="preserve">r on Human Rights), </w:t>
      </w:r>
      <w:r w:rsidRPr="0008474E">
        <w:rPr>
          <w:i/>
          <w:lang w:val="en-US"/>
        </w:rPr>
        <w:t>United Nations Reform: Measures and Proposals</w:t>
      </w:r>
      <w:r w:rsidRPr="0008474E">
        <w:rPr>
          <w:lang w:val="en-US"/>
        </w:rPr>
        <w:t xml:space="preserve">, UN Doc. A/66/860 (June 26, 2012) [hereinafter </w:t>
      </w:r>
      <w:r w:rsidRPr="0008474E">
        <w:rPr>
          <w:i/>
          <w:lang w:val="en-US"/>
        </w:rPr>
        <w:t>Measures and Proposals</w:t>
      </w:r>
      <w:r w:rsidRPr="0008474E">
        <w:rPr>
          <w:lang w:val="en-US"/>
        </w:rPr>
        <w:t>], https://digitallibrary.un.org/record/730152/files/A_66_860-EN.pdf.</w:t>
      </w:r>
    </w:p>
  </w:footnote>
  <w:footnote w:id="11">
    <w:p w14:paraId="170A7241" w14:textId="77777777" w:rsidR="004C5DDF" w:rsidRPr="0008474E" w:rsidRDefault="004C5DDF" w:rsidP="006902A2">
      <w:pPr>
        <w:pStyle w:val="FootnoteText"/>
        <w:rPr>
          <w:lang w:val="en-US"/>
        </w:rPr>
      </w:pPr>
      <w:r w:rsidRPr="0008474E">
        <w:rPr>
          <w:rStyle w:val="FootnoteReference"/>
          <w:lang w:val="en-US"/>
        </w:rPr>
        <w:footnoteRef/>
      </w:r>
      <w:r w:rsidRPr="0008474E">
        <w:rPr>
          <w:lang w:val="en-US"/>
        </w:rPr>
        <w:tab/>
        <w:t>Office of U.N. High Comm</w:t>
      </w:r>
      <w:r>
        <w:rPr>
          <w:lang w:val="en-US"/>
        </w:rPr>
        <w:t>’</w:t>
      </w:r>
      <w:r w:rsidRPr="0008474E">
        <w:rPr>
          <w:lang w:val="en-US"/>
        </w:rPr>
        <w:t xml:space="preserve">r for Human Rights, </w:t>
      </w:r>
      <w:r w:rsidRPr="0008474E">
        <w:rPr>
          <w:i/>
          <w:lang w:val="en-US"/>
        </w:rPr>
        <w:t>Handbook for Human Rights Treaty Body Members</w:t>
      </w:r>
      <w:r w:rsidRPr="0008474E">
        <w:rPr>
          <w:lang w:val="en-US"/>
        </w:rPr>
        <w:t xml:space="preserve"> iii (2015), https://www.ohchr.org/Documents/Publications/HR_PUB_15_2_TB%20Handbook_EN.pdf.</w:t>
      </w:r>
    </w:p>
  </w:footnote>
  <w:footnote w:id="12">
    <w:p w14:paraId="2ACF194E" w14:textId="37A1A6DF" w:rsidR="00867D2A" w:rsidRPr="00867D2A" w:rsidRDefault="00867D2A" w:rsidP="006902A2">
      <w:pPr>
        <w:pStyle w:val="FootnoteText"/>
        <w:rPr>
          <w:lang w:val="en-US"/>
        </w:rPr>
      </w:pPr>
      <w:r>
        <w:rPr>
          <w:rStyle w:val="FootnoteReference"/>
        </w:rPr>
        <w:footnoteRef/>
      </w:r>
      <w:r>
        <w:t xml:space="preserve"> </w:t>
      </w:r>
      <w:r>
        <w:tab/>
        <w:t xml:space="preserve">Zeid Ra’ad Al Hussein (U.N. </w:t>
      </w:r>
      <w:r w:rsidR="00591C2B">
        <w:t xml:space="preserve">High </w:t>
      </w:r>
      <w:r>
        <w:t xml:space="preserve">Comm’r on Human Rights), </w:t>
      </w:r>
      <w:r w:rsidRPr="00591C2B">
        <w:t>Opening Statement by Zeid Ra’ad Al Hussein, United Nations High Commissioner for Human Rights, to the Annual discussion on the integration of a gender perspective throughout the work of the Human Rights Cou</w:t>
      </w:r>
      <w:r w:rsidR="00591C2B">
        <w:t xml:space="preserve">ncil and that of its mechanisms (Sept. 15, 2015) (transcript available at </w:t>
      </w:r>
      <w:r w:rsidRPr="00591C2B">
        <w:t>https://www.ohchr.org/en/NewsEvents/Pages/DisplayNews.aspx?NewsID=16425&amp;LangID=E</w:t>
      </w:r>
      <w:r w:rsidR="00591C2B" w:rsidRPr="00591C2B">
        <w:t>)</w:t>
      </w:r>
      <w:r w:rsidR="00591C2B">
        <w:t>.</w:t>
      </w:r>
    </w:p>
  </w:footnote>
  <w:footnote w:id="13">
    <w:p w14:paraId="45025B01" w14:textId="74AA4383" w:rsidR="004C5DDF" w:rsidRPr="0008474E" w:rsidRDefault="004C5DDF" w:rsidP="006902A2">
      <w:pPr>
        <w:pStyle w:val="FootnoteText"/>
        <w:rPr>
          <w:lang w:val="en-US"/>
        </w:rPr>
      </w:pPr>
      <w:r w:rsidRPr="0008474E">
        <w:rPr>
          <w:rStyle w:val="FootnoteReference"/>
          <w:lang w:val="en-US"/>
        </w:rPr>
        <w:footnoteRef/>
      </w:r>
      <w:r w:rsidRPr="0008474E">
        <w:rPr>
          <w:lang w:val="en-US"/>
        </w:rPr>
        <w:tab/>
      </w:r>
      <w:r w:rsidR="00591C2B" w:rsidRPr="0008474E">
        <w:rPr>
          <w:lang w:val="en-US"/>
        </w:rPr>
        <w:t>Office of U.N. High Comm</w:t>
      </w:r>
      <w:r w:rsidR="00591C2B">
        <w:rPr>
          <w:lang w:val="en-US"/>
        </w:rPr>
        <w:t>’</w:t>
      </w:r>
      <w:r w:rsidR="00591C2B" w:rsidRPr="0008474E">
        <w:rPr>
          <w:lang w:val="en-US"/>
        </w:rPr>
        <w:t xml:space="preserve">r for Human Rights, </w:t>
      </w:r>
      <w:r w:rsidR="00591C2B">
        <w:rPr>
          <w:i/>
          <w:lang w:val="en-US"/>
        </w:rPr>
        <w:t xml:space="preserve">supra </w:t>
      </w:r>
      <w:r w:rsidR="00591C2B">
        <w:rPr>
          <w:lang w:val="en-US"/>
        </w:rPr>
        <w:t xml:space="preserve">note </w:t>
      </w:r>
      <w:r w:rsidR="00591C2B">
        <w:rPr>
          <w:lang w:val="en-US"/>
        </w:rPr>
        <w:fldChar w:fldCharType="begin"/>
      </w:r>
      <w:r w:rsidR="00591C2B">
        <w:rPr>
          <w:lang w:val="en-US"/>
        </w:rPr>
        <w:instrText xml:space="preserve"> NOTEREF _Ref24363539 \h </w:instrText>
      </w:r>
      <w:r w:rsidR="006902A2">
        <w:rPr>
          <w:lang w:val="en-US"/>
        </w:rPr>
        <w:instrText xml:space="preserve"> \* MERGEFORMAT </w:instrText>
      </w:r>
      <w:r w:rsidR="00591C2B">
        <w:rPr>
          <w:lang w:val="en-US"/>
        </w:rPr>
      </w:r>
      <w:r w:rsidR="00591C2B">
        <w:rPr>
          <w:lang w:val="en-US"/>
        </w:rPr>
        <w:fldChar w:fldCharType="separate"/>
      </w:r>
      <w:r w:rsidR="00AE4BA1">
        <w:rPr>
          <w:lang w:val="en-US"/>
        </w:rPr>
        <w:t>10</w:t>
      </w:r>
      <w:r w:rsidR="00591C2B">
        <w:rPr>
          <w:lang w:val="en-US"/>
        </w:rPr>
        <w:fldChar w:fldCharType="end"/>
      </w:r>
      <w:r w:rsidR="00591C2B">
        <w:rPr>
          <w:lang w:val="en-US"/>
        </w:rPr>
        <w:t>.</w:t>
      </w:r>
      <w:r w:rsidR="00591C2B">
        <w:rPr>
          <w:i/>
          <w:lang w:val="en-US"/>
        </w:rPr>
        <w:t xml:space="preserve"> </w:t>
      </w:r>
    </w:p>
  </w:footnote>
  <w:footnote w:id="14">
    <w:p w14:paraId="772F036A" w14:textId="77777777" w:rsidR="004C5DDF" w:rsidRPr="002E5273" w:rsidRDefault="004C5DDF" w:rsidP="006902A2">
      <w:pPr>
        <w:pStyle w:val="FootnoteText"/>
        <w:rPr>
          <w:lang w:val="en-US"/>
        </w:rPr>
      </w:pPr>
      <w:r>
        <w:rPr>
          <w:rStyle w:val="FootnoteReference"/>
        </w:rPr>
        <w:footnoteRef/>
      </w:r>
      <w:r>
        <w:t xml:space="preserve"> </w:t>
      </w:r>
      <w:r>
        <w:rPr>
          <w:lang w:val="en-US"/>
        </w:rPr>
        <w:tab/>
      </w:r>
      <w:r w:rsidRPr="0008474E">
        <w:rPr>
          <w:i/>
          <w:lang w:val="en-US"/>
        </w:rPr>
        <w:t>Why so few women on International Courts?</w:t>
      </w:r>
      <w:r>
        <w:rPr>
          <w:i/>
          <w:lang w:val="en-US"/>
        </w:rPr>
        <w:t xml:space="preserve">  </w:t>
      </w:r>
      <w:r w:rsidRPr="0008474E">
        <w:rPr>
          <w:i/>
          <w:lang w:val="en-US"/>
        </w:rPr>
        <w:t>Its</w:t>
      </w:r>
      <w:r>
        <w:rPr>
          <w:i/>
          <w:lang w:val="en-US"/>
        </w:rPr>
        <w:t>’</w:t>
      </w:r>
      <w:r w:rsidRPr="0008474E">
        <w:rPr>
          <w:i/>
          <w:lang w:val="en-US"/>
        </w:rPr>
        <w:t>s Time for a Change</w:t>
      </w:r>
      <w:r>
        <w:rPr>
          <w:lang w:val="en-US"/>
        </w:rPr>
        <w:t>, GQUAL (Sept.</w:t>
      </w:r>
      <w:r w:rsidRPr="0008474E">
        <w:rPr>
          <w:lang w:val="en-US"/>
        </w:rPr>
        <w:t xml:space="preserve"> 2015), http://www.gqualcampaign.org/why-so-few-women-on-international-</w:t>
      </w:r>
      <w:r>
        <w:rPr>
          <w:lang w:val="en-US"/>
        </w:rPr>
        <w:t>courts-its-time-for-a-change/.</w:t>
      </w:r>
    </w:p>
  </w:footnote>
  <w:footnote w:id="15">
    <w:p w14:paraId="61A2EF4B" w14:textId="42ECDD85" w:rsidR="004C5DDF" w:rsidRPr="0008474E" w:rsidRDefault="004C5DDF" w:rsidP="006902A2">
      <w:pPr>
        <w:pStyle w:val="FootnoteText"/>
        <w:rPr>
          <w:lang w:val="en-US"/>
        </w:rPr>
      </w:pPr>
      <w:r w:rsidRPr="0008474E">
        <w:rPr>
          <w:rStyle w:val="FootnoteReference"/>
          <w:lang w:val="en-US"/>
        </w:rPr>
        <w:footnoteRef/>
      </w:r>
      <w:r w:rsidRPr="0008474E">
        <w:rPr>
          <w:lang w:val="en-US"/>
        </w:rPr>
        <w:tab/>
        <w:t xml:space="preserve">Dahdouh, </w:t>
      </w:r>
      <w:r w:rsidRPr="0008474E">
        <w:rPr>
          <w:i/>
          <w:lang w:val="en-US"/>
        </w:rPr>
        <w:t>supra</w:t>
      </w:r>
      <w:r w:rsidRPr="0008474E">
        <w:rPr>
          <w:lang w:val="en-US"/>
        </w:rPr>
        <w:t xml:space="preserve"> note</w:t>
      </w:r>
      <w:r>
        <w:rPr>
          <w:lang w:val="en-US"/>
        </w:rPr>
        <w:t xml:space="preserve"> </w:t>
      </w:r>
      <w:r>
        <w:rPr>
          <w:lang w:val="en-US"/>
        </w:rPr>
        <w:fldChar w:fldCharType="begin"/>
      </w:r>
      <w:r>
        <w:rPr>
          <w:lang w:val="en-US"/>
        </w:rPr>
        <w:instrText xml:space="preserve"> NOTEREF _Ref21804339 \h </w:instrText>
      </w:r>
      <w:r w:rsidR="006902A2">
        <w:rPr>
          <w:lang w:val="en-US"/>
        </w:rPr>
        <w:instrText xml:space="preserve"> \* MERGEFORMAT </w:instrText>
      </w:r>
      <w:r>
        <w:rPr>
          <w:lang w:val="en-US"/>
        </w:rPr>
      </w:r>
      <w:r>
        <w:rPr>
          <w:lang w:val="en-US"/>
        </w:rPr>
        <w:fldChar w:fldCharType="separate"/>
      </w:r>
      <w:r w:rsidR="00AE4BA1">
        <w:rPr>
          <w:lang w:val="en-US"/>
        </w:rPr>
        <w:t>3</w:t>
      </w:r>
      <w:r>
        <w:rPr>
          <w:lang w:val="en-US"/>
        </w:rPr>
        <w:fldChar w:fldCharType="end"/>
      </w:r>
      <w:r w:rsidRPr="0008474E">
        <w:rPr>
          <w:lang w:val="en-US"/>
        </w:rPr>
        <w:t xml:space="preserve">, at 43-44; Claudia Martin, GQUAL, Article 8 of the Convention to Eliminate All Forms of Discrimination Against Women: A Stepping Stone in Ensuring Gender balance in International </w:t>
      </w:r>
      <w:r>
        <w:rPr>
          <w:lang w:val="en-US"/>
        </w:rPr>
        <w:t>Organs</w:t>
      </w:r>
      <w:r w:rsidRPr="0008474E">
        <w:rPr>
          <w:lang w:val="en-US"/>
        </w:rPr>
        <w:t xml:space="preserve"> and Tribunals (2015), http://www.gqualcampaign.org/wp-content/uploads/2015/09/Advocacy-Piece-1.pdf. </w:t>
      </w:r>
    </w:p>
  </w:footnote>
  <w:footnote w:id="16">
    <w:p w14:paraId="06BFF308" w14:textId="7D9D9C91" w:rsidR="00953C0F" w:rsidRDefault="00953C0F" w:rsidP="006902A2">
      <w:pPr>
        <w:pStyle w:val="FootnoteText"/>
      </w:pPr>
      <w:r>
        <w:rPr>
          <w:rStyle w:val="FootnoteReference"/>
        </w:rPr>
        <w:footnoteRef/>
      </w:r>
      <w:r>
        <w:t xml:space="preserve"> </w:t>
      </w:r>
      <w:r>
        <w:tab/>
        <w:t>Office of the United Nations High Commissions for Human Rights,</w:t>
      </w:r>
      <w:r w:rsidRPr="00B200F9">
        <w:rPr>
          <w:i/>
        </w:rPr>
        <w:t xml:space="preserve"> Human Rights Treaty Bodies and E</w:t>
      </w:r>
      <w:r>
        <w:rPr>
          <w:i/>
        </w:rPr>
        <w:t xml:space="preserve">lection of Treaty Body Members, </w:t>
      </w:r>
      <w:r w:rsidRPr="00B200F9">
        <w:rPr>
          <w:i/>
        </w:rPr>
        <w:t>A Guide for United Nations Delegates Based in New York</w:t>
      </w:r>
      <w:r>
        <w:t xml:space="preserve"> (January, 2013).</w:t>
      </w:r>
    </w:p>
  </w:footnote>
  <w:footnote w:id="17">
    <w:p w14:paraId="772D7333" w14:textId="228C71AB"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Referred to sometimes as </w:t>
      </w:r>
      <w:r>
        <w:rPr>
          <w:lang w:val="en-US"/>
        </w:rPr>
        <w:t>‘</w:t>
      </w:r>
      <w:r w:rsidRPr="0008474E">
        <w:rPr>
          <w:lang w:val="en-US"/>
        </w:rPr>
        <w:t>experts</w:t>
      </w:r>
      <w:r>
        <w:rPr>
          <w:lang w:val="en-US"/>
        </w:rPr>
        <w:t>’</w:t>
      </w:r>
      <w:r w:rsidRPr="0008474E">
        <w:rPr>
          <w:lang w:val="en-US"/>
        </w:rPr>
        <w:t xml:space="preserve"> or </w:t>
      </w:r>
      <w:r>
        <w:rPr>
          <w:lang w:val="en-US"/>
        </w:rPr>
        <w:t>‘</w:t>
      </w:r>
      <w:r w:rsidRPr="0008474E">
        <w:rPr>
          <w:lang w:val="en-US"/>
        </w:rPr>
        <w:t>members</w:t>
      </w:r>
      <w:r>
        <w:rPr>
          <w:lang w:val="en-US"/>
        </w:rPr>
        <w:t>.’</w:t>
      </w:r>
    </w:p>
  </w:footnote>
  <w:footnote w:id="18">
    <w:p w14:paraId="25A95C72" w14:textId="77777777" w:rsidR="00953C0F" w:rsidRPr="0051289E" w:rsidRDefault="00953C0F" w:rsidP="006902A2">
      <w:pPr>
        <w:pStyle w:val="FootnoteText"/>
        <w:rPr>
          <w:lang w:val="en-US"/>
        </w:rPr>
      </w:pPr>
      <w:r>
        <w:rPr>
          <w:rStyle w:val="FootnoteReference"/>
        </w:rPr>
        <w:footnoteRef/>
      </w:r>
      <w:r>
        <w:t xml:space="preserve"> </w:t>
      </w:r>
      <w:r>
        <w:rPr>
          <w:lang w:val="en-US"/>
        </w:rPr>
        <w:tab/>
      </w:r>
      <w:r w:rsidRPr="00141FF7">
        <w:rPr>
          <w:i/>
          <w:lang w:val="en-US"/>
        </w:rPr>
        <w:t>Supra</w:t>
      </w:r>
      <w:r>
        <w:rPr>
          <w:lang w:val="en-US"/>
        </w:rPr>
        <w:t xml:space="preserve"> note 2.</w:t>
      </w:r>
    </w:p>
  </w:footnote>
  <w:footnote w:id="19">
    <w:p w14:paraId="6D4C510F" w14:textId="186D8436"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See</w:t>
      </w:r>
      <w:r w:rsidRPr="0008474E">
        <w:rPr>
          <w:lang w:val="en-US"/>
        </w:rPr>
        <w:t xml:space="preserve"> Economic and Social Council [ECOSOC] Res. 1985/17 (May 28, 1985) (</w:t>
      </w:r>
      <w:r w:rsidRPr="00203E75">
        <w:rPr>
          <w:i/>
          <w:lang w:val="en-US"/>
        </w:rPr>
        <w:t>“</w:t>
      </w:r>
      <w:r w:rsidRPr="0008474E">
        <w:rPr>
          <w:lang w:val="en-US"/>
        </w:rPr>
        <w:t>[F]ifteen seats will be equally distributed among the regional groups, while the additional three seats will be allocated in accordance with the increase in the total number of States parties per regional group</w:t>
      </w:r>
      <w:r>
        <w:rPr>
          <w:lang w:val="en-US"/>
        </w:rPr>
        <w:t>.</w:t>
      </w:r>
      <w:r w:rsidRPr="00203E75">
        <w:rPr>
          <w:i/>
          <w:lang w:val="en-US"/>
        </w:rPr>
        <w:t>”</w:t>
      </w:r>
      <w:r w:rsidRPr="0008474E">
        <w:rPr>
          <w:lang w:val="en-US"/>
        </w:rPr>
        <w:t>).</w:t>
      </w:r>
    </w:p>
  </w:footnote>
  <w:footnote w:id="20">
    <w:p w14:paraId="23CEAFE0"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Civilization is a term used throughout UN treaties and resolutions without being defined.  However, it is distinguished from religion, nationality or ethnic group.  Academic writing suggests that the term refers to cultural groupings or identities.</w:t>
      </w:r>
    </w:p>
  </w:footnote>
  <w:footnote w:id="21">
    <w:p w14:paraId="4B3DEEEE"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Different legal systems include: civil law, common law, Islamic law (Shari</w:t>
      </w:r>
      <w:r>
        <w:rPr>
          <w:lang w:val="en-US"/>
        </w:rPr>
        <w:t>’</w:t>
      </w:r>
      <w:r w:rsidRPr="0008474E">
        <w:rPr>
          <w:lang w:val="en-US"/>
        </w:rPr>
        <w:t xml:space="preserve">a), customary law (traditional) and mixed legal systems.  </w:t>
      </w:r>
      <w:r w:rsidRPr="0008474E">
        <w:rPr>
          <w:i/>
          <w:lang w:val="en-US"/>
        </w:rPr>
        <w:t>United Nations, Handbook for Judicial Affairs Officers in the United Nations Peacekeeping Operations</w:t>
      </w:r>
      <w:r w:rsidRPr="0008474E">
        <w:rPr>
          <w:lang w:val="en-US"/>
        </w:rPr>
        <w:t xml:space="preserve"> 87 (2013), http://www.un.org/en/peacekeeping/publications/cljas/handbook_jao.pdf. </w:t>
      </w:r>
    </w:p>
  </w:footnote>
  <w:footnote w:id="22">
    <w:p w14:paraId="2203F009"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Although</w:t>
      </w:r>
      <w:r>
        <w:rPr>
          <w:lang w:val="en-US"/>
        </w:rPr>
        <w:t>,</w:t>
      </w:r>
      <w:r w:rsidRPr="0008474E">
        <w:rPr>
          <w:lang w:val="en-US"/>
        </w:rPr>
        <w:t xml:space="preserve"> it is sometimes urged upon State parties as an information consideration.  </w:t>
      </w:r>
      <w:r w:rsidRPr="0008474E">
        <w:rPr>
          <w:i/>
          <w:lang w:val="en-US"/>
        </w:rPr>
        <w:t>See, e.g.</w:t>
      </w:r>
      <w:r w:rsidRPr="0008474E">
        <w:rPr>
          <w:lang w:val="en-US"/>
        </w:rPr>
        <w:t>, Ass</w:t>
      </w:r>
      <w:r>
        <w:rPr>
          <w:lang w:val="en-US"/>
        </w:rPr>
        <w:t>’</w:t>
      </w:r>
      <w:r w:rsidRPr="0008474E">
        <w:rPr>
          <w:lang w:val="en-US"/>
        </w:rPr>
        <w:t xml:space="preserve">n for the Prevention of Torture &amp; Inter-American Inst. for Human Rights, </w:t>
      </w:r>
      <w:r w:rsidRPr="0008474E">
        <w:rPr>
          <w:i/>
          <w:lang w:val="en-US"/>
        </w:rPr>
        <w:t>Optional Protocol to the UN Convention against Torture: Implementation Manual</w:t>
      </w:r>
      <w:r w:rsidRPr="0008474E">
        <w:rPr>
          <w:lang w:val="en-US"/>
        </w:rPr>
        <w:t xml:space="preserve"> 57 (rev. ed. 2010), https://www.apt.ch/content/files_res/opcat-manual-english-revised2010.pdf.</w:t>
      </w:r>
    </w:p>
  </w:footnote>
  <w:footnote w:id="23">
    <w:p w14:paraId="0C1C5F5E"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Optional Protocol to the Convention against Torture and Other Cruel, Inhuman or Degrading Treatment </w:t>
      </w:r>
      <w:r>
        <w:rPr>
          <w:lang w:val="en-US"/>
        </w:rPr>
        <w:t>or Punishment art. 6(2)(b), Dec.</w:t>
      </w:r>
      <w:r w:rsidRPr="0008474E">
        <w:rPr>
          <w:lang w:val="en-US"/>
        </w:rPr>
        <w:t xml:space="preserve"> 18, 2002, 2375 U.N.T.S. 237 [hereinafter OPCAT]; American Convention on Human Rights art. 36(2), Nov. 22, 1969, 1144 U.N.T.S. 123 [hereinafter Pact of San José]; </w:t>
      </w:r>
      <w:r w:rsidRPr="0008474E">
        <w:rPr>
          <w:i/>
          <w:lang w:val="en-US"/>
        </w:rPr>
        <w:t>see also</w:t>
      </w:r>
      <w:r w:rsidRPr="0008474E">
        <w:rPr>
          <w:lang w:val="en-US"/>
        </w:rPr>
        <w:t xml:space="preserve"> European Convention for the Prevention of Torture and Inhuman or Degrading Treatment or Punish</w:t>
      </w:r>
      <w:r>
        <w:rPr>
          <w:lang w:val="en-US"/>
        </w:rPr>
        <w:t>ment art. 5(1), Nov.</w:t>
      </w:r>
      <w:r w:rsidRPr="0008474E">
        <w:rPr>
          <w:lang w:val="en-US"/>
        </w:rPr>
        <w:t xml:space="preserve"> 26, 1987, E.T.S. No. 126 [hereinafter ECPT]; European Convention o</w:t>
      </w:r>
      <w:r>
        <w:rPr>
          <w:lang w:val="en-US"/>
        </w:rPr>
        <w:t>n Human Rights arts. 19-22, Nov.</w:t>
      </w:r>
      <w:r w:rsidRPr="0008474E">
        <w:rPr>
          <w:lang w:val="en-US"/>
        </w:rPr>
        <w:t xml:space="preserve"> 4, 1950, E.T.S. No. 5 [hereinafter ECHR] (referring to the election of judges to the European Court of Human Rights).</w:t>
      </w:r>
    </w:p>
  </w:footnote>
  <w:footnote w:id="24">
    <w:p w14:paraId="37834150" w14:textId="2B188ECE"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Handbook for Human Rights Treaty Body Members</w:t>
      </w:r>
      <w:r w:rsidRPr="0008474E">
        <w:rPr>
          <w:lang w:val="en-US"/>
        </w:rPr>
        <w:t xml:space="preserve">, at 21; </w:t>
      </w:r>
      <w:r w:rsidRPr="0008474E">
        <w:rPr>
          <w:i/>
          <w:lang w:val="en-US"/>
        </w:rPr>
        <w:t>see also</w:t>
      </w:r>
      <w:r w:rsidRPr="0008474E">
        <w:rPr>
          <w:lang w:val="en-US"/>
        </w:rPr>
        <w:t xml:space="preserve"> African Charter on Human and Peoples</w:t>
      </w:r>
      <w:r>
        <w:rPr>
          <w:lang w:val="en-US"/>
        </w:rPr>
        <w:t>’</w:t>
      </w:r>
      <w:r w:rsidRPr="0008474E">
        <w:rPr>
          <w:lang w:val="en-US"/>
        </w:rPr>
        <w:t xml:space="preserve"> Rights art. 35(1), June 27, 1981, 21 I.L.M. 58 [hereinafter Banjul Charter].</w:t>
      </w:r>
    </w:p>
  </w:footnote>
  <w:footnote w:id="25">
    <w:p w14:paraId="416D5B53" w14:textId="13FB0492" w:rsidR="00953C0F" w:rsidRPr="0008474E" w:rsidRDefault="00953C0F" w:rsidP="006902A2">
      <w:pPr>
        <w:pStyle w:val="FootnoteText"/>
        <w:rPr>
          <w:lang w:val="en-US"/>
        </w:rPr>
      </w:pPr>
      <w:r w:rsidRPr="0008474E">
        <w:rPr>
          <w:rStyle w:val="FootnoteReference"/>
          <w:lang w:val="en-US"/>
        </w:rPr>
        <w:footnoteRef/>
      </w:r>
      <w:r w:rsidRPr="0008474E">
        <w:rPr>
          <w:lang w:val="en-US"/>
        </w:rPr>
        <w:tab/>
        <w:t>The Secretary-General</w:t>
      </w:r>
      <w:r>
        <w:rPr>
          <w:lang w:val="en-US"/>
        </w:rPr>
        <w:t>’</w:t>
      </w:r>
      <w:r w:rsidRPr="0008474E">
        <w:rPr>
          <w:lang w:val="en-US"/>
        </w:rPr>
        <w:t xml:space="preserve">s letter to the parties specifies the date by which the Secretariat should receive the nominations.  </w:t>
      </w:r>
      <w:r w:rsidRPr="0008474E">
        <w:rPr>
          <w:i/>
          <w:lang w:val="en-US"/>
        </w:rPr>
        <w:t>Handbook for Human Rights Treaty Body Members</w:t>
      </w:r>
      <w:r w:rsidRPr="0008474E">
        <w:rPr>
          <w:lang w:val="en-US"/>
        </w:rPr>
        <w:t xml:space="preserve">, </w:t>
      </w:r>
      <w:r w:rsidRPr="0008474E">
        <w:rPr>
          <w:i/>
          <w:lang w:val="en-US"/>
        </w:rPr>
        <w:t>supra</w:t>
      </w:r>
      <w:r w:rsidRPr="0008474E">
        <w:rPr>
          <w:lang w:val="en-US"/>
        </w:rPr>
        <w:t xml:space="preserve"> note </w:t>
      </w:r>
      <w:r>
        <w:rPr>
          <w:b/>
          <w:bCs/>
          <w:lang w:val="en-US"/>
        </w:rPr>
        <w:fldChar w:fldCharType="begin"/>
      </w:r>
      <w:r>
        <w:rPr>
          <w:lang w:val="en-US"/>
        </w:rPr>
        <w:instrText xml:space="preserve"> NOTEREF _Ref16193356 \h </w:instrText>
      </w:r>
      <w:r w:rsidR="006902A2">
        <w:rPr>
          <w:b/>
          <w:bCs/>
          <w:lang w:val="en-US"/>
        </w:rPr>
        <w:instrText xml:space="preserve"> \* MERGEFORMAT </w:instrText>
      </w:r>
      <w:r>
        <w:rPr>
          <w:b/>
          <w:bCs/>
          <w:lang w:val="en-US"/>
        </w:rPr>
      </w:r>
      <w:r>
        <w:rPr>
          <w:b/>
          <w:bCs/>
          <w:lang w:val="en-US"/>
        </w:rPr>
        <w:fldChar w:fldCharType="separate"/>
      </w:r>
      <w:r w:rsidR="00AE4BA1">
        <w:rPr>
          <w:lang w:val="en-US"/>
        </w:rPr>
        <w:t>23</w:t>
      </w:r>
      <w:r>
        <w:rPr>
          <w:b/>
          <w:bCs/>
          <w:lang w:val="en-US"/>
        </w:rPr>
        <w:fldChar w:fldCharType="end"/>
      </w:r>
      <w:r w:rsidRPr="0008474E">
        <w:rPr>
          <w:lang w:val="en-US"/>
        </w:rPr>
        <w:t xml:space="preserve"> at 22.</w:t>
      </w:r>
    </w:p>
  </w:footnote>
  <w:footnote w:id="26">
    <w:p w14:paraId="1B556103" w14:textId="4C82E0A9"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 xml:space="preserve">Id. </w:t>
      </w:r>
      <w:r w:rsidRPr="0008474E">
        <w:rPr>
          <w:lang w:val="en-US"/>
        </w:rPr>
        <w:t>at 25</w:t>
      </w:r>
      <w:r w:rsidRPr="0008474E">
        <w:rPr>
          <w:i/>
          <w:lang w:val="en-US"/>
        </w:rPr>
        <w:t xml:space="preserve">.  </w:t>
      </w:r>
      <w:r w:rsidRPr="0008474E">
        <w:rPr>
          <w:lang w:val="en-US"/>
        </w:rPr>
        <w:t>Although elections under the Convention against Torture and other Cruel, Inhuman or Degrading Treatment or Punishment and its Optional Protocol take place at the United Nations Office at Geneva</w:t>
      </w:r>
      <w:r>
        <w:rPr>
          <w:lang w:val="en-US"/>
        </w:rPr>
        <w:t>,</w:t>
      </w:r>
      <w:r w:rsidRPr="0008474E">
        <w:rPr>
          <w:lang w:val="en-US"/>
        </w:rPr>
        <w:t xml:space="preserve"> elections of the Committee on the Rights of Persons with Disabilities take place during a Conference of States parties, a meeting attended by States, civil society organizations (CSOs) and other stakeholders during which various aspects of the implementation of the Convention are also discussed; and elections for the Committee on Economic, Social and Cultural Rights take place at a meeting of the United Nations Economic and Social Council.</w:t>
      </w:r>
      <w:r>
        <w:rPr>
          <w:lang w:val="en-US"/>
        </w:rPr>
        <w:t xml:space="preserve"> </w:t>
      </w:r>
      <w:r w:rsidRPr="0008474E">
        <w:rPr>
          <w:i/>
          <w:lang w:val="en-US"/>
        </w:rPr>
        <w:t>Id</w:t>
      </w:r>
      <w:r w:rsidRPr="0008474E">
        <w:rPr>
          <w:lang w:val="en-US"/>
        </w:rPr>
        <w:t>.</w:t>
      </w:r>
    </w:p>
  </w:footnote>
  <w:footnote w:id="27">
    <w:p w14:paraId="35776C1C" w14:textId="53F18D15"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For an example of term limits in a regional treaty, see Article 36 of the Banjul Charter,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_Ref16193356 \h </w:instrText>
      </w:r>
      <w:r>
        <w:rPr>
          <w:lang w:val="en-US"/>
        </w:rPr>
        <w:instrText xml:space="preserve"> \* MERGEFORMAT </w:instrText>
      </w:r>
      <w:r w:rsidRPr="0008474E">
        <w:rPr>
          <w:lang w:val="en-US"/>
        </w:rPr>
      </w:r>
      <w:r w:rsidRPr="0008474E">
        <w:rPr>
          <w:lang w:val="en-US"/>
        </w:rPr>
        <w:fldChar w:fldCharType="separate"/>
      </w:r>
      <w:r w:rsidR="00AE4BA1">
        <w:rPr>
          <w:lang w:val="en-US"/>
        </w:rPr>
        <w:t>23</w:t>
      </w:r>
      <w:r w:rsidRPr="0008474E">
        <w:rPr>
          <w:lang w:val="en-US"/>
        </w:rPr>
        <w:fldChar w:fldCharType="end"/>
      </w:r>
      <w:r w:rsidRPr="0008474E">
        <w:rPr>
          <w:lang w:val="en-US"/>
        </w:rPr>
        <w:t xml:space="preserve">. </w:t>
      </w:r>
    </w:p>
  </w:footnote>
  <w:footnote w:id="28">
    <w:p w14:paraId="417B349B" w14:textId="7A9DC51C" w:rsidR="00953C0F" w:rsidRPr="0008474E" w:rsidRDefault="00953C0F" w:rsidP="006902A2">
      <w:pPr>
        <w:pStyle w:val="FootnoteText"/>
        <w:rPr>
          <w:lang w:val="en-US"/>
        </w:rPr>
      </w:pPr>
      <w:r w:rsidRPr="0008474E">
        <w:rPr>
          <w:rStyle w:val="FootnoteReference"/>
          <w:lang w:val="en-US"/>
        </w:rPr>
        <w:footnoteRef/>
      </w:r>
      <w:r w:rsidRPr="0008474E">
        <w:rPr>
          <w:lang w:val="en-US"/>
        </w:rPr>
        <w:tab/>
        <w:t>Convention on the Rights of Persons with Disabilities art. 34(</w:t>
      </w:r>
      <w:r>
        <w:rPr>
          <w:lang w:val="en-US"/>
        </w:rPr>
        <w:t>7), Dec.</w:t>
      </w:r>
      <w:r w:rsidRPr="0008474E">
        <w:rPr>
          <w:lang w:val="en-US"/>
        </w:rPr>
        <w:t xml:space="preserve"> 31, 2006, 2515 U.N.T.S. 3; OPCAT,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_Ref16188202 \h </w:instrText>
      </w:r>
      <w:r>
        <w:rPr>
          <w:lang w:val="en-US"/>
        </w:rPr>
        <w:instrText xml:space="preserve"> \* MERGEFORMAT </w:instrText>
      </w:r>
      <w:r w:rsidRPr="0008474E">
        <w:rPr>
          <w:lang w:val="en-US"/>
        </w:rPr>
      </w:r>
      <w:r w:rsidRPr="0008474E">
        <w:rPr>
          <w:lang w:val="en-US"/>
        </w:rPr>
        <w:fldChar w:fldCharType="separate"/>
      </w:r>
      <w:r w:rsidR="00AE4BA1">
        <w:rPr>
          <w:lang w:val="en-US"/>
        </w:rPr>
        <w:t>22</w:t>
      </w:r>
      <w:r w:rsidRPr="0008474E">
        <w:rPr>
          <w:lang w:val="en-US"/>
        </w:rPr>
        <w:fldChar w:fldCharType="end"/>
      </w:r>
      <w:r w:rsidRPr="0008474E">
        <w:rPr>
          <w:lang w:val="en-US"/>
        </w:rPr>
        <w:t>, art. 9; International Convention for the Protection of All Persons from Enforce</w:t>
      </w:r>
      <w:r>
        <w:rPr>
          <w:lang w:val="en-US"/>
        </w:rPr>
        <w:t>d Disappearance art. 26(4), Dec.</w:t>
      </w:r>
      <w:r w:rsidRPr="0008474E">
        <w:rPr>
          <w:lang w:val="en-US"/>
        </w:rPr>
        <w:t xml:space="preserve"> 20, 2006, 2716 U.N.T.S. 3; Pact of San José,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_Ref16188202 \h </w:instrText>
      </w:r>
      <w:r>
        <w:rPr>
          <w:lang w:val="en-US"/>
        </w:rPr>
        <w:instrText xml:space="preserve"> \* MERGEFORMAT </w:instrText>
      </w:r>
      <w:r w:rsidRPr="0008474E">
        <w:rPr>
          <w:lang w:val="en-US"/>
        </w:rPr>
      </w:r>
      <w:r w:rsidRPr="0008474E">
        <w:rPr>
          <w:lang w:val="en-US"/>
        </w:rPr>
        <w:fldChar w:fldCharType="separate"/>
      </w:r>
      <w:r w:rsidR="00AE4BA1">
        <w:rPr>
          <w:lang w:val="en-US"/>
        </w:rPr>
        <w:t>22</w:t>
      </w:r>
      <w:r w:rsidRPr="0008474E">
        <w:rPr>
          <w:lang w:val="en-US"/>
        </w:rPr>
        <w:fldChar w:fldCharType="end"/>
      </w:r>
      <w:r w:rsidRPr="0008474E">
        <w:rPr>
          <w:lang w:val="en-US"/>
        </w:rPr>
        <w:t xml:space="preserve">, arts. 37(1), 54(1); </w:t>
      </w:r>
      <w:r w:rsidRPr="0008474E">
        <w:rPr>
          <w:i/>
          <w:lang w:val="en-US"/>
        </w:rPr>
        <w:t>see also</w:t>
      </w:r>
      <w:r w:rsidRPr="0008474E">
        <w:rPr>
          <w:lang w:val="en-US"/>
        </w:rPr>
        <w:t xml:space="preserve"> ECPT,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_Ref16188202 \h </w:instrText>
      </w:r>
      <w:r>
        <w:rPr>
          <w:lang w:val="en-US"/>
        </w:rPr>
        <w:instrText xml:space="preserve"> \* MERGEFORMAT </w:instrText>
      </w:r>
      <w:r w:rsidRPr="0008474E">
        <w:rPr>
          <w:lang w:val="en-US"/>
        </w:rPr>
      </w:r>
      <w:r w:rsidRPr="0008474E">
        <w:rPr>
          <w:lang w:val="en-US"/>
        </w:rPr>
        <w:fldChar w:fldCharType="separate"/>
      </w:r>
      <w:r w:rsidR="00AE4BA1">
        <w:rPr>
          <w:lang w:val="en-US"/>
        </w:rPr>
        <w:t>22</w:t>
      </w:r>
      <w:r w:rsidRPr="0008474E">
        <w:rPr>
          <w:lang w:val="en-US"/>
        </w:rPr>
        <w:fldChar w:fldCharType="end"/>
      </w:r>
      <w:r w:rsidRPr="0008474E">
        <w:rPr>
          <w:lang w:val="en-US"/>
        </w:rPr>
        <w:t>, art. 5(3).</w:t>
      </w:r>
    </w:p>
  </w:footnote>
  <w:footnote w:id="29">
    <w:p w14:paraId="2E9DEE42" w14:textId="1FEB12EF"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Measures and Proposals</w:t>
      </w:r>
      <w:r w:rsidRPr="0008474E">
        <w:rPr>
          <w:lang w:val="en-US"/>
        </w:rPr>
        <w:t xml:space="preserve">, </w:t>
      </w:r>
      <w:r w:rsidRPr="0008474E">
        <w:rPr>
          <w:i/>
          <w:lang w:val="en-US"/>
        </w:rPr>
        <w:t>supra</w:t>
      </w:r>
      <w:r w:rsidRPr="0008474E">
        <w:rPr>
          <w:lang w:val="en-US"/>
        </w:rPr>
        <w:t xml:space="preserve"> note </w:t>
      </w:r>
      <w:r>
        <w:rPr>
          <w:b/>
          <w:bCs/>
          <w:lang w:val="en-US"/>
        </w:rPr>
        <w:fldChar w:fldCharType="begin"/>
      </w:r>
      <w:r>
        <w:rPr>
          <w:lang w:val="en-US"/>
        </w:rPr>
        <w:instrText xml:space="preserve"> NOTEREF _Ref21804548 \h </w:instrText>
      </w:r>
      <w:r w:rsidR="006902A2">
        <w:rPr>
          <w:b/>
          <w:bCs/>
          <w:lang w:val="en-US"/>
        </w:rPr>
        <w:instrText xml:space="preserve"> \* MERGEFORMAT </w:instrText>
      </w:r>
      <w:r>
        <w:rPr>
          <w:b/>
          <w:bCs/>
          <w:lang w:val="en-US"/>
        </w:rPr>
      </w:r>
      <w:r>
        <w:rPr>
          <w:b/>
          <w:bCs/>
          <w:lang w:val="en-US"/>
        </w:rPr>
        <w:fldChar w:fldCharType="separate"/>
      </w:r>
      <w:r w:rsidR="00AE4BA1">
        <w:rPr>
          <w:lang w:val="en-US"/>
        </w:rPr>
        <w:t>9</w:t>
      </w:r>
      <w:r>
        <w:rPr>
          <w:b/>
          <w:bCs/>
          <w:lang w:val="en-US"/>
        </w:rPr>
        <w:fldChar w:fldCharType="end"/>
      </w:r>
      <w:r w:rsidRPr="0008474E">
        <w:rPr>
          <w:lang w:val="en-US"/>
        </w:rPr>
        <w:t>, § 4.4.2, at 75-78.</w:t>
      </w:r>
    </w:p>
  </w:footnote>
  <w:footnote w:id="30">
    <w:p w14:paraId="7BCA2C8B" w14:textId="7693B78C"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Handbook for Human Rights Treaty Body Members</w:t>
      </w:r>
      <w:r w:rsidRPr="0008474E">
        <w:rPr>
          <w:lang w:val="en-US"/>
        </w:rPr>
        <w:t xml:space="preserve">, at 13. </w:t>
      </w:r>
    </w:p>
  </w:footnote>
  <w:footnote w:id="31">
    <w:p w14:paraId="5490F94F" w14:textId="35410A29" w:rsidR="00953C0F" w:rsidRPr="00A05708" w:rsidRDefault="00953C0F" w:rsidP="006902A2">
      <w:pPr>
        <w:pStyle w:val="FootnoteText"/>
        <w:rPr>
          <w:lang w:val="en-US"/>
        </w:rPr>
      </w:pPr>
      <w:r w:rsidRPr="0008474E">
        <w:rPr>
          <w:rStyle w:val="FootnoteReference"/>
          <w:lang w:val="en-US"/>
        </w:rPr>
        <w:footnoteRef/>
      </w:r>
      <w:r w:rsidRPr="0008474E">
        <w:rPr>
          <w:lang w:val="en-US"/>
        </w:rPr>
        <w:tab/>
        <w:t>The Secretary-General, Report of the Eighth Meeting of Persons Chairing the Human Rights Treaty Bodies, Human Rights Questions: Implementation of Human Rights Instruments, Effective implementation of international instruments on human rights, including reporting obligations under international instruments on human rig</w:t>
      </w:r>
      <w:r>
        <w:rPr>
          <w:lang w:val="en-US"/>
        </w:rPr>
        <w:t>hts ¶ 68, UN Doc. A/52/507 (Oct. 21, 1997).</w:t>
      </w:r>
    </w:p>
  </w:footnote>
  <w:footnote w:id="32">
    <w:p w14:paraId="36E004A8" w14:textId="394DA93E" w:rsidR="00953C0F" w:rsidRDefault="00953C0F" w:rsidP="006902A2">
      <w:pPr>
        <w:pStyle w:val="FootnoteText"/>
      </w:pPr>
      <w:r>
        <w:rPr>
          <w:rStyle w:val="FootnoteReference"/>
        </w:rPr>
        <w:footnoteRef/>
      </w:r>
      <w:r>
        <w:t xml:space="preserve"> </w:t>
      </w:r>
      <w:r>
        <w:tab/>
        <w:t>G.A. Res. 66/254, (May 15, 2012) set the ground for the Office of the High Commissioner for Human Rights having to provide information on the current situation regarding the composition of the treaty bodies in preparation of the election of members for each respective treaty body.</w:t>
      </w:r>
    </w:p>
  </w:footnote>
  <w:footnote w:id="33">
    <w:p w14:paraId="240CE3CD" w14:textId="73626EE9" w:rsidR="00953C0F" w:rsidRDefault="00953C0F" w:rsidP="006902A2">
      <w:pPr>
        <w:pStyle w:val="FootnoteText"/>
      </w:pPr>
      <w:r>
        <w:rPr>
          <w:rStyle w:val="FootnoteReference"/>
        </w:rPr>
        <w:footnoteRef/>
      </w:r>
      <w:r>
        <w:t xml:space="preserve"> </w:t>
      </w:r>
      <w:r>
        <w:tab/>
      </w:r>
      <w:r>
        <w:rPr>
          <w:lang w:val="en-US"/>
        </w:rPr>
        <w:t xml:space="preserve">Geneva Academy, </w:t>
      </w:r>
      <w:r>
        <w:rPr>
          <w:i/>
          <w:lang w:val="en-US"/>
        </w:rPr>
        <w:t xml:space="preserve">Diversity in Membership of the UN Human Rights Treaty Bodies </w:t>
      </w:r>
      <w:r>
        <w:rPr>
          <w:lang w:val="en-US"/>
        </w:rPr>
        <w:t>(Feb. 2018).</w:t>
      </w:r>
    </w:p>
  </w:footnote>
  <w:footnote w:id="34">
    <w:p w14:paraId="58B92577" w14:textId="2245D41C" w:rsidR="00953C0F" w:rsidRPr="0008474E" w:rsidRDefault="00953C0F" w:rsidP="006902A2">
      <w:pPr>
        <w:pStyle w:val="FootnoteText"/>
        <w:rPr>
          <w:lang w:val="en-US"/>
        </w:rPr>
      </w:pPr>
      <w:r w:rsidRPr="0008474E">
        <w:rPr>
          <w:rStyle w:val="FootnoteReference"/>
          <w:lang w:val="en-US"/>
        </w:rPr>
        <w:footnoteRef/>
      </w:r>
      <w:r w:rsidRPr="0008474E">
        <w:rPr>
          <w:lang w:val="en-US"/>
        </w:rPr>
        <w:tab/>
        <w:t>G</w:t>
      </w:r>
      <w:r>
        <w:rPr>
          <w:lang w:val="en-US"/>
        </w:rPr>
        <w:t>.A. Res. 68/268, ¶¶ 12-13 (Apr.</w:t>
      </w:r>
      <w:r w:rsidRPr="0008474E">
        <w:rPr>
          <w:lang w:val="en-US"/>
        </w:rPr>
        <w:t xml:space="preserve"> 9, 2014); </w:t>
      </w:r>
      <w:r w:rsidRPr="0008474E">
        <w:rPr>
          <w:i/>
          <w:lang w:val="en-US"/>
        </w:rPr>
        <w:t>see also</w:t>
      </w:r>
      <w:r>
        <w:rPr>
          <w:lang w:val="en-US"/>
        </w:rPr>
        <w:t xml:space="preserve"> G.A. Res. 66/153, ¶ 1 (Dec.</w:t>
      </w:r>
      <w:r w:rsidRPr="0008474E">
        <w:rPr>
          <w:lang w:val="en-US"/>
        </w:rPr>
        <w:t xml:space="preserve"> 19, 2011) (calling on States to consider geographical distribution for all treaty bodies).</w:t>
      </w:r>
    </w:p>
  </w:footnote>
  <w:footnote w:id="35">
    <w:p w14:paraId="51DF1C66" w14:textId="67A412A9"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See, e.g.</w:t>
      </w:r>
      <w:r w:rsidRPr="0008474E">
        <w:rPr>
          <w:lang w:val="en-US"/>
        </w:rPr>
        <w:t>, U.N. Framework Convention on Climate Change, Conf. of the Parties Decision 36/CP.7, Improving the participation of women in the representation of Parties in bodies established under the United Nations Framework Convention on Climate Change or the Kyoto Protocol at 26, FCCC/CP/2001/13/Add.4; UN Framework Convention on Climate Change, Conf. of the Parties Decision 3/CP.17, Launching the Green Climate Fund at 59, FCCC /CP/2011/9/Add.1; U.N. Framework Convention on Climate Change, Conf. of the Parties Decision 14/CP.18, Arrangements to make the Climate Technology Centre and Network fully operational, FCCC/CP/2012/8/Add.2, annex II at 15 (</w:t>
      </w:r>
      <w:r w:rsidRPr="00203E75">
        <w:rPr>
          <w:i/>
          <w:lang w:val="en-US"/>
        </w:rPr>
        <w:t>“</w:t>
      </w:r>
      <w:r w:rsidRPr="0008474E">
        <w:rPr>
          <w:lang w:val="en-US"/>
        </w:rPr>
        <w:t>Constitution of the Advisory Board of the Climate Technology Centre and Network</w:t>
      </w:r>
      <w:r w:rsidRPr="00203E75">
        <w:rPr>
          <w:i/>
          <w:lang w:val="en-US"/>
        </w:rPr>
        <w:t>”</w:t>
      </w:r>
      <w:r w:rsidRPr="0008474E">
        <w:rPr>
          <w:lang w:val="en-US"/>
        </w:rPr>
        <w:t xml:space="preserve">); U.N. Framework Convention on Climate Change, Conf. of the Parties Decision 23/CP.18, Promoting gender balance and improving the participation of women in UNFCCC negotiations and in the representation of Parties in bodies established pursuant to the Convention or the Kyoto Protocol at 48, FCCC/CP/2012/8/Add.3. </w:t>
      </w:r>
    </w:p>
  </w:footnote>
  <w:footnote w:id="36">
    <w:p w14:paraId="77514A8B" w14:textId="77777777" w:rsidR="00953C0F" w:rsidRPr="0049631C" w:rsidRDefault="00953C0F" w:rsidP="006902A2">
      <w:pPr>
        <w:pStyle w:val="FootnoteText"/>
        <w:rPr>
          <w:lang w:val="fr-FR"/>
        </w:rPr>
      </w:pPr>
      <w:r w:rsidRPr="0008474E">
        <w:rPr>
          <w:rStyle w:val="FootnoteReference"/>
          <w:lang w:val="en-US"/>
        </w:rPr>
        <w:footnoteRef/>
      </w:r>
      <w:r w:rsidRPr="0049631C">
        <w:rPr>
          <w:lang w:val="fr-FR"/>
        </w:rPr>
        <w:tab/>
        <w:t>G.A. Res. 68/268, ¶ 13 (Apr. 9, 2014).</w:t>
      </w:r>
    </w:p>
  </w:footnote>
  <w:footnote w:id="37">
    <w:p w14:paraId="04A5C05E" w14:textId="77777777" w:rsidR="00953C0F" w:rsidRPr="0049631C" w:rsidRDefault="00953C0F" w:rsidP="006902A2">
      <w:pPr>
        <w:pStyle w:val="FootnoteText"/>
        <w:rPr>
          <w:lang w:val="fr-FR"/>
        </w:rPr>
      </w:pPr>
      <w:r w:rsidRPr="0008474E">
        <w:rPr>
          <w:rStyle w:val="FootnoteReference"/>
          <w:lang w:val="en-US"/>
        </w:rPr>
        <w:footnoteRef/>
      </w:r>
      <w:r w:rsidRPr="0049631C">
        <w:rPr>
          <w:lang w:val="fr-FR"/>
        </w:rPr>
        <w:tab/>
      </w:r>
      <w:r w:rsidRPr="0049631C">
        <w:rPr>
          <w:i/>
          <w:lang w:val="fr-FR"/>
        </w:rPr>
        <w:t xml:space="preserve">Id. </w:t>
      </w:r>
      <w:r w:rsidRPr="0049631C">
        <w:rPr>
          <w:lang w:val="fr-FR"/>
        </w:rPr>
        <w:t xml:space="preserve">¶ 12. </w:t>
      </w:r>
    </w:p>
  </w:footnote>
  <w:footnote w:id="38">
    <w:p w14:paraId="65D19204"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U.N. Secretary-General, Promotion of equitable geographical distribution in the membership of the human rights treaty bodies, UN Doc.</w:t>
      </w:r>
      <w:r>
        <w:rPr>
          <w:lang w:val="en-US"/>
        </w:rPr>
        <w:t xml:space="preserve"> A/70/257 (Aug.</w:t>
      </w:r>
      <w:r w:rsidRPr="0008474E">
        <w:rPr>
          <w:lang w:val="en-US"/>
        </w:rPr>
        <w:t xml:space="preserve"> 3, 2015).</w:t>
      </w:r>
    </w:p>
  </w:footnote>
  <w:footnote w:id="39">
    <w:p w14:paraId="33DB8250"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U.N. Secretary-General, </w:t>
      </w:r>
      <w:r w:rsidRPr="0008474E">
        <w:rPr>
          <w:i/>
          <w:lang w:val="en-US"/>
        </w:rPr>
        <w:t>Status of the human rights treaty body system</w:t>
      </w:r>
      <w:r w:rsidRPr="0008474E">
        <w:rPr>
          <w:lang w:val="en-US"/>
        </w:rPr>
        <w:t>, ¶¶ 79-80, UN Doc. A/71/118 (July 18, 2016).</w:t>
      </w:r>
    </w:p>
  </w:footnote>
  <w:footnote w:id="40">
    <w:p w14:paraId="07230F4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U.N. Secretary-General, </w:t>
      </w:r>
      <w:r w:rsidRPr="0008474E">
        <w:rPr>
          <w:i/>
          <w:lang w:val="en-US"/>
        </w:rPr>
        <w:t>Status of the human rights treaty body system</w:t>
      </w:r>
      <w:r w:rsidRPr="0008474E">
        <w:rPr>
          <w:lang w:val="en-US"/>
        </w:rPr>
        <w:t xml:space="preserve">, </w:t>
      </w:r>
      <w:r>
        <w:rPr>
          <w:lang w:val="en-US"/>
        </w:rPr>
        <w:t xml:space="preserve">Annex XXIV, </w:t>
      </w:r>
      <w:r w:rsidRPr="0008474E">
        <w:rPr>
          <w:lang w:val="en-US"/>
        </w:rPr>
        <w:t>UN Doc. A/73/309 (August 6, 2018).</w:t>
      </w:r>
    </w:p>
  </w:footnote>
  <w:footnote w:id="41">
    <w:p w14:paraId="670D026F"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Int</w:t>
      </w:r>
      <w:r>
        <w:rPr>
          <w:lang w:val="en-US"/>
        </w:rPr>
        <w:t>’</w:t>
      </w:r>
      <w:r w:rsidRPr="0008474E">
        <w:rPr>
          <w:lang w:val="en-US"/>
        </w:rPr>
        <w:t xml:space="preserve">l Disability Alliance, </w:t>
      </w:r>
      <w:r w:rsidRPr="0008474E">
        <w:rPr>
          <w:i/>
          <w:lang w:val="en-US"/>
        </w:rPr>
        <w:t>Call to Action to Promote Gender balance</w:t>
      </w:r>
      <w:r>
        <w:rPr>
          <w:lang w:val="en-US"/>
        </w:rPr>
        <w:t xml:space="preserve"> (Jan.</w:t>
      </w:r>
      <w:r w:rsidRPr="0008474E">
        <w:rPr>
          <w:lang w:val="en-US"/>
        </w:rPr>
        <w:t xml:space="preserve"> 2017), http://www.internationaldisabilityalliance.org/activities/call-action-promote-gender-parity.</w:t>
      </w:r>
    </w:p>
  </w:footnote>
  <w:footnote w:id="42">
    <w:p w14:paraId="792343A6"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Geneva Academy, Diversity in Membership of the UN Human Rights Treaty Bodies 29-31 (2018), https://www.geneva-academy.ch/joomlatools-files/Diversity%20in%20Treaty%20Bodies%20Membership.pdf. </w:t>
      </w:r>
    </w:p>
  </w:footnote>
  <w:footnote w:id="43">
    <w:p w14:paraId="58E723A6"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Indep. Panel for the Election of Inter-American Comm</w:t>
      </w:r>
      <w:r>
        <w:rPr>
          <w:lang w:val="en-US"/>
        </w:rPr>
        <w:t>’</w:t>
      </w:r>
      <w:r w:rsidRPr="0008474E">
        <w:rPr>
          <w:lang w:val="en-US"/>
        </w:rPr>
        <w:t xml:space="preserve">rs &amp; Judges, Final Report of the Independent Panel for the Election of Inter-American Commissioners and Judges 45 (2015).  </w:t>
      </w:r>
      <w:r w:rsidRPr="0008474E">
        <w:rPr>
          <w:i/>
          <w:lang w:val="en-US"/>
        </w:rPr>
        <w:t>See also</w:t>
      </w:r>
      <w:r w:rsidRPr="0008474E">
        <w:rPr>
          <w:lang w:val="en-US"/>
        </w:rPr>
        <w:t xml:space="preserve"> Viviana Krsticevic, </w:t>
      </w:r>
      <w:r w:rsidRPr="0008474E">
        <w:rPr>
          <w:i/>
          <w:lang w:val="en-US"/>
        </w:rPr>
        <w:t>How Best to Strengthen the Inter-American Commission and Court</w:t>
      </w:r>
      <w:r>
        <w:rPr>
          <w:lang w:val="en-US"/>
        </w:rPr>
        <w:t xml:space="preserve"> (Oct.</w:t>
      </w:r>
      <w:r w:rsidRPr="0008474E">
        <w:rPr>
          <w:lang w:val="en-US"/>
        </w:rPr>
        <w:t xml:space="preserve"> 15, 2012), http://digitalcommons.wcl.american.edu/cgi/viewcontent.cgi?article=1841&amp;context=hrbrief. </w:t>
      </w:r>
    </w:p>
  </w:footnote>
  <w:footnote w:id="44">
    <w:p w14:paraId="364F8A5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ICC Assembly of States Parties, Procedure for the election of the judges for the International Criminal Court, ICC-ASP/1/Res.3 (2002); </w:t>
      </w:r>
      <w:r>
        <w:rPr>
          <w:i/>
          <w:lang w:val="en-US"/>
        </w:rPr>
        <w:t>see also Women on the Court Now</w:t>
      </w:r>
      <w:r w:rsidRPr="0008474E">
        <w:rPr>
          <w:i/>
          <w:lang w:val="en-US"/>
        </w:rPr>
        <w:t>!</w:t>
      </w:r>
      <w:r>
        <w:rPr>
          <w:i/>
          <w:lang w:val="en-US"/>
        </w:rPr>
        <w:t xml:space="preserve">  </w:t>
      </w:r>
      <w:r w:rsidRPr="0008474E">
        <w:rPr>
          <w:i/>
          <w:lang w:val="en-US"/>
        </w:rPr>
        <w:t>ICC Nomination and Election Process</w:t>
      </w:r>
      <w:r w:rsidRPr="0008474E">
        <w:rPr>
          <w:lang w:val="en-US"/>
        </w:rPr>
        <w:t>, Women</w:t>
      </w:r>
      <w:r>
        <w:rPr>
          <w:lang w:val="en-US"/>
        </w:rPr>
        <w:t>’</w:t>
      </w:r>
      <w:r w:rsidRPr="0008474E">
        <w:rPr>
          <w:lang w:val="en-US"/>
        </w:rPr>
        <w:t>s Caucus for Gender Justice, http://iccwomen.org/wigjdraft1/Archives/oldWCGJ/Elections/electionprocess.html.</w:t>
      </w:r>
    </w:p>
  </w:footnote>
  <w:footnote w:id="45">
    <w:p w14:paraId="247A3EA9" w14:textId="6BE70C90"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Josephine Jarpa Dawuni, </w:t>
      </w:r>
      <w:r w:rsidRPr="0008474E">
        <w:rPr>
          <w:i/>
          <w:lang w:val="en-US"/>
        </w:rPr>
        <w:t>Achieving Gender balance in International Courts and Bodies: Does Diversity Matter?</w:t>
      </w:r>
      <w:r>
        <w:rPr>
          <w:lang w:val="en-US"/>
        </w:rPr>
        <w:t>, IntLawGrrls (Feb.</w:t>
      </w:r>
      <w:r w:rsidRPr="0008474E">
        <w:rPr>
          <w:lang w:val="en-US"/>
        </w:rPr>
        <w:t xml:space="preserve"> 3, 2018), https://ilg2.org/2018/02/03/achieving-gender-parity-in-international-courts-and-bodies-does-diversity-matter/; Krsticevic,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_Ref16193414 \h </w:instrText>
      </w:r>
      <w:r>
        <w:rPr>
          <w:lang w:val="en-US"/>
        </w:rPr>
        <w:instrText xml:space="preserve"> \* MERGEFORMAT </w:instrText>
      </w:r>
      <w:r w:rsidRPr="0008474E">
        <w:rPr>
          <w:lang w:val="en-US"/>
        </w:rPr>
      </w:r>
      <w:r w:rsidRPr="0008474E">
        <w:rPr>
          <w:lang w:val="en-US"/>
        </w:rPr>
        <w:fldChar w:fldCharType="separate"/>
      </w:r>
      <w:r w:rsidR="00AE4BA1">
        <w:rPr>
          <w:lang w:val="en-US"/>
        </w:rPr>
        <w:t>52</w:t>
      </w:r>
      <w:r w:rsidRPr="0008474E">
        <w:rPr>
          <w:lang w:val="en-US"/>
        </w:rPr>
        <w:fldChar w:fldCharType="end"/>
      </w:r>
      <w:r w:rsidRPr="0008474E">
        <w:rPr>
          <w:lang w:val="en-US"/>
        </w:rPr>
        <w:t>.</w:t>
      </w:r>
    </w:p>
  </w:footnote>
  <w:footnote w:id="46">
    <w:p w14:paraId="00C2AF31" w14:textId="19D9DAB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ICC: Judges by Judicial Divisions, https://www.icc-cpi.int/about/judicial-divisions/biographies/pages/divisions.aspx?k=appeals%20division; Chandrachud,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_Ref16193399 \h </w:instrText>
      </w:r>
      <w:r>
        <w:rPr>
          <w:lang w:val="en-US"/>
        </w:rPr>
        <w:instrText xml:space="preserve"> \* MERGEFORMAT </w:instrText>
      </w:r>
      <w:r w:rsidRPr="0008474E">
        <w:rPr>
          <w:lang w:val="en-US"/>
        </w:rPr>
      </w:r>
      <w:r w:rsidRPr="0008474E">
        <w:rPr>
          <w:lang w:val="en-US"/>
        </w:rPr>
        <w:fldChar w:fldCharType="separate"/>
      </w:r>
      <w:r w:rsidR="00AE4BA1">
        <w:rPr>
          <w:lang w:val="en-US"/>
        </w:rPr>
        <w:t>60</w:t>
      </w:r>
      <w:r w:rsidRPr="0008474E">
        <w:rPr>
          <w:lang w:val="en-US"/>
        </w:rPr>
        <w:fldChar w:fldCharType="end"/>
      </w:r>
      <w:r w:rsidRPr="0008474E">
        <w:rPr>
          <w:lang w:val="en-US"/>
        </w:rPr>
        <w:t>.</w:t>
      </w:r>
    </w:p>
  </w:footnote>
  <w:footnote w:id="47">
    <w:p w14:paraId="47C79D74"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Danya Chaikel, Does gender matter at the International Criminal Court (ICC)?</w:t>
      </w:r>
      <w:r>
        <w:rPr>
          <w:lang w:val="en-US"/>
        </w:rPr>
        <w:t xml:space="preserve">  </w:t>
      </w:r>
      <w:r w:rsidRPr="0008474E">
        <w:rPr>
          <w:lang w:val="en-US"/>
        </w:rPr>
        <w:t>Reflections on the 100</w:t>
      </w:r>
      <w:r w:rsidRPr="0008474E">
        <w:rPr>
          <w:vertAlign w:val="superscript"/>
          <w:lang w:val="en-US"/>
        </w:rPr>
        <w:t>th</w:t>
      </w:r>
      <w:r w:rsidRPr="0008474E">
        <w:rPr>
          <w:lang w:val="en-US"/>
        </w:rPr>
        <w:t xml:space="preserve"> anniversary of International Women</w:t>
      </w:r>
      <w:r>
        <w:rPr>
          <w:lang w:val="en-US"/>
        </w:rPr>
        <w:t>’s Day, Hague Just.  Portal (Mar.</w:t>
      </w:r>
      <w:r w:rsidRPr="0008474E">
        <w:rPr>
          <w:lang w:val="en-US"/>
        </w:rPr>
        <w:t xml:space="preserve"> 8, 2011), http://www.haguejusticeportal.net/index.php?id=12398.</w:t>
      </w:r>
    </w:p>
  </w:footnote>
  <w:footnote w:id="48">
    <w:p w14:paraId="4FF03CE3"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ICC Assembly of States Parties, Report of the Bureau on equitable geographical representation and gender balance in the recruitment of staff of the International Criminal Court, ICC-ASP/9/30, at 3 (2010).</w:t>
      </w:r>
    </w:p>
  </w:footnote>
  <w:footnote w:id="49">
    <w:p w14:paraId="0D44E945"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Eur.</w:t>
      </w:r>
      <w:r>
        <w:rPr>
          <w:lang w:val="en-US"/>
        </w:rPr>
        <w:t xml:space="preserve">  </w:t>
      </w:r>
      <w:r w:rsidRPr="0008474E">
        <w:rPr>
          <w:lang w:val="en-US"/>
        </w:rPr>
        <w:t>Parl.</w:t>
      </w:r>
      <w:r>
        <w:rPr>
          <w:lang w:val="en-US"/>
        </w:rPr>
        <w:t xml:space="preserve">  </w:t>
      </w:r>
      <w:r w:rsidRPr="0008474E">
        <w:rPr>
          <w:lang w:val="en-US"/>
        </w:rPr>
        <w:t>Ass., Nomination of candidates and election of judges to the European Court of Human Rights, 4</w:t>
      </w:r>
      <w:r w:rsidRPr="0008474E">
        <w:rPr>
          <w:vertAlign w:val="superscript"/>
          <w:lang w:val="en-US"/>
        </w:rPr>
        <w:t>th</w:t>
      </w:r>
      <w:r w:rsidRPr="0008474E">
        <w:rPr>
          <w:lang w:val="en-US"/>
        </w:rPr>
        <w:t xml:space="preserve"> Sitting, Resolution 1646 ¶ 4 (2009).</w:t>
      </w:r>
    </w:p>
  </w:footnote>
  <w:footnote w:id="50">
    <w:p w14:paraId="27B5AC2C"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This is the parity threshold that is considered necessary by the Council of Europe to exclude possible gender bias in decision-making processes.  Eur.</w:t>
      </w:r>
      <w:r>
        <w:rPr>
          <w:lang w:val="en-US"/>
        </w:rPr>
        <w:t xml:space="preserve">  </w:t>
      </w:r>
      <w:r w:rsidRPr="0008474E">
        <w:rPr>
          <w:lang w:val="en-US"/>
        </w:rPr>
        <w:t>Parl.</w:t>
      </w:r>
      <w:r>
        <w:rPr>
          <w:lang w:val="en-US"/>
        </w:rPr>
        <w:t xml:space="preserve">  </w:t>
      </w:r>
      <w:r w:rsidRPr="0008474E">
        <w:rPr>
          <w:lang w:val="en-US"/>
        </w:rPr>
        <w:t xml:space="preserve">Ass., </w:t>
      </w:r>
      <w:r w:rsidRPr="0008474E">
        <w:rPr>
          <w:i/>
          <w:lang w:val="en-US"/>
        </w:rPr>
        <w:t>Rules of Procedure of the Assembly</w:t>
      </w:r>
      <w:r w:rsidRPr="0008474E">
        <w:rPr>
          <w:lang w:val="en-US"/>
        </w:rPr>
        <w:t>, Complementary texts pt.</w:t>
      </w:r>
      <w:r>
        <w:rPr>
          <w:lang w:val="en-US"/>
        </w:rPr>
        <w:t xml:space="preserve">  </w:t>
      </w:r>
      <w:r w:rsidRPr="0008474E">
        <w:rPr>
          <w:lang w:val="en-US"/>
        </w:rPr>
        <w:t>VIII(v) (2018) (extracting Parliamentary Assembly Resolution 1366 (2004)) (as modified by Resolutions 1426 (2005), 1627 (2008), 1841 (2011) and 2002 (2014)).</w:t>
      </w:r>
    </w:p>
  </w:footnote>
  <w:footnote w:id="51">
    <w:p w14:paraId="7F9ADEFC" w14:textId="13BB7CD8"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at 4 (</w:t>
      </w:r>
      <w:r w:rsidRPr="00203E75">
        <w:rPr>
          <w:i/>
          <w:lang w:val="en-US"/>
        </w:rPr>
        <w:t>“</w:t>
      </w:r>
      <w:r w:rsidRPr="0008474E">
        <w:rPr>
          <w:lang w:val="en-US"/>
        </w:rPr>
        <w:t>The Assembly will only decide: to consider single-sex lists of candidates when the candidates belong to the sex which is under-represented in the Court (i.e.</w:t>
      </w:r>
      <w:r>
        <w:rPr>
          <w:lang w:val="en-US"/>
        </w:rPr>
        <w:t>,</w:t>
      </w:r>
      <w:r w:rsidRPr="0008474E">
        <w:rPr>
          <w:lang w:val="en-US"/>
        </w:rPr>
        <w:t xml:space="preserve"> the sex to which under 40% of the total number of judges belong), or in exceptional circumstances where a Contracting Party has taken all the necessary and appropriate steps to ensure that the list contains candidates of both sexes meeting the requirements of paragraph 1 of Article 21 of the European Convention on Human Rights.  Such exceptional circumstances must be duly so considered by a two-thirds majority of the votes cast by members of the Committee on the Election of Judges to the European Court of Human Rights</w:t>
      </w:r>
      <w:r>
        <w:rPr>
          <w:lang w:val="en-US"/>
        </w:rPr>
        <w:t>.</w:t>
      </w:r>
      <w:r w:rsidRPr="00203E75">
        <w:rPr>
          <w:i/>
          <w:lang w:val="en-US"/>
        </w:rPr>
        <w:t>”</w:t>
      </w:r>
      <w:r w:rsidRPr="0008474E">
        <w:rPr>
          <w:lang w:val="en-US"/>
        </w:rPr>
        <w:t>).</w:t>
      </w:r>
    </w:p>
  </w:footnote>
  <w:footnote w:id="52">
    <w:p w14:paraId="736962EE" w14:textId="0A81C509"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Parliamentary Assembly Resolution 1540 (2007).  These initiatives can be traced to Parliamentary Assembly Order 530 (1997), in which the Assembly decided </w:t>
      </w:r>
      <w:r w:rsidRPr="00203E75">
        <w:rPr>
          <w:i/>
          <w:lang w:val="en-US"/>
        </w:rPr>
        <w:t>“</w:t>
      </w:r>
      <w:r w:rsidRPr="0008474E">
        <w:rPr>
          <w:lang w:val="en-US"/>
        </w:rPr>
        <w:t>to pay particular attention to the criteria of professional background, gender and age, in order to ensure a more balanced composition of the committee and, in particular, a greater participation of prison specialists and forensic scientists, as well as an increased number of women among its members</w:t>
      </w:r>
      <w:r>
        <w:rPr>
          <w:lang w:val="en-US"/>
        </w:rPr>
        <w:t>.</w:t>
      </w:r>
      <w:r w:rsidRPr="00203E75">
        <w:rPr>
          <w:i/>
          <w:lang w:val="en-US"/>
        </w:rPr>
        <w:t>”</w:t>
      </w:r>
    </w:p>
  </w:footnote>
  <w:footnote w:id="53">
    <w:p w14:paraId="2D052831"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Viviana Krsticevic, </w:t>
      </w:r>
      <w:r w:rsidRPr="0008474E">
        <w:rPr>
          <w:i/>
          <w:lang w:val="en-US"/>
        </w:rPr>
        <w:t>Gender Equality in International Tribunals and Bodies: An Achievable Step with Global Impact</w:t>
      </w:r>
      <w:r w:rsidRPr="0008474E">
        <w:rPr>
          <w:lang w:val="en-US"/>
        </w:rPr>
        <w:t xml:space="preserve">, CEJIL/GQUAL, (September 2015) at 6, https://www.cejil.org/sites/default/files/gqual_english.pdf; Leigh Swigart &amp; Daniel Terris, </w:t>
      </w:r>
      <w:r w:rsidRPr="0008474E">
        <w:rPr>
          <w:i/>
          <w:lang w:val="en-US"/>
        </w:rPr>
        <w:t>Who are International Judges?</w:t>
      </w:r>
      <w:r w:rsidRPr="0008474E">
        <w:rPr>
          <w:lang w:val="en-US"/>
        </w:rPr>
        <w:t xml:space="preserve">, </w:t>
      </w:r>
      <w:r w:rsidRPr="0008474E">
        <w:rPr>
          <w:i/>
          <w:lang w:val="en-US"/>
        </w:rPr>
        <w:t>in</w:t>
      </w:r>
      <w:r w:rsidRPr="0008474E">
        <w:rPr>
          <w:lang w:val="en-US"/>
        </w:rPr>
        <w:t xml:space="preserve"> </w:t>
      </w:r>
      <w:r w:rsidRPr="0008474E">
        <w:rPr>
          <w:smallCaps/>
          <w:lang w:val="en-US"/>
        </w:rPr>
        <w:t>Oxford Handbook of International Adjudication</w:t>
      </w:r>
      <w:r w:rsidRPr="0008474E">
        <w:rPr>
          <w:lang w:val="en-US"/>
        </w:rPr>
        <w:t xml:space="preserve"> (2014), http://www.oxfordhandbooks.com/abstract/10.1093/law/9780199660681.001.0001/law-9780199660681-e-28?rskey=F2ESu2&amp;result=3.</w:t>
      </w:r>
    </w:p>
  </w:footnote>
  <w:footnote w:id="54">
    <w:p w14:paraId="39E3B0A6"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ICC Assembly of States Parties, Report of the Bureau on equitable geographical representation and gender balance in the recruitment of staff of the International Criminal Court, ICC-ASP/17/36, at 3 (2018).</w:t>
      </w:r>
    </w:p>
  </w:footnote>
  <w:footnote w:id="55">
    <w:p w14:paraId="6EFCA9C4"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Press Release, ICC, On International Women</w:t>
      </w:r>
      <w:r>
        <w:rPr>
          <w:lang w:val="en-US"/>
        </w:rPr>
        <w:t>’</w:t>
      </w:r>
      <w:r w:rsidRPr="0008474E">
        <w:rPr>
          <w:lang w:val="en-US"/>
        </w:rPr>
        <w:t>s Day, the ICC calls for a worl</w:t>
      </w:r>
      <w:r>
        <w:rPr>
          <w:lang w:val="en-US"/>
        </w:rPr>
        <w:t>d with no fear or violence (Mar.</w:t>
      </w:r>
      <w:r w:rsidRPr="0008474E">
        <w:rPr>
          <w:lang w:val="en-US"/>
        </w:rPr>
        <w:t xml:space="preserve"> 8, 2017), https://www.icc-cpi.int/Pages/item.aspx?name=PR1283.</w:t>
      </w:r>
    </w:p>
  </w:footnote>
  <w:footnote w:id="56">
    <w:p w14:paraId="6E09BFC2" w14:textId="77777777" w:rsidR="00953C0F" w:rsidRDefault="00953C0F" w:rsidP="006902A2">
      <w:pPr>
        <w:pStyle w:val="FootnoteText"/>
        <w:rPr>
          <w:lang w:val="en-US"/>
        </w:rPr>
      </w:pPr>
      <w:r>
        <w:rPr>
          <w:rStyle w:val="FootnoteReference"/>
        </w:rPr>
        <w:footnoteRef/>
      </w:r>
      <w:r>
        <w:t xml:space="preserve"> </w:t>
      </w:r>
      <w:r>
        <w:rPr>
          <w:lang w:val="en-US"/>
        </w:rPr>
        <w:tab/>
        <w:t xml:space="preserve">Press Release, ICC, </w:t>
      </w:r>
      <w:r>
        <w:t>On International Women’s Day, the ICC joins calls for greater equality (</w:t>
      </w:r>
      <w:r>
        <w:rPr>
          <w:lang w:val="en-US"/>
        </w:rPr>
        <w:t>Mar. 8, 2019), https://www.icc-cpi.int/Pages/item.aspx?name=pr1441.</w:t>
      </w:r>
    </w:p>
  </w:footnote>
  <w:footnote w:id="57">
    <w:p w14:paraId="070E638D" w14:textId="77777777" w:rsidR="00953C0F" w:rsidRDefault="00953C0F" w:rsidP="006902A2">
      <w:pPr>
        <w:pStyle w:val="FootnoteText"/>
        <w:rPr>
          <w:lang w:val="en-US"/>
        </w:rPr>
      </w:pPr>
      <w:r>
        <w:rPr>
          <w:rStyle w:val="FootnoteReference"/>
        </w:rPr>
        <w:footnoteRef/>
      </w:r>
      <w:r>
        <w:t xml:space="preserve"> </w:t>
      </w:r>
      <w:r>
        <w:rPr>
          <w:lang w:val="en-US"/>
        </w:rPr>
        <w:tab/>
      </w:r>
      <w:r>
        <w:rPr>
          <w:i/>
          <w:lang w:val="en-US"/>
        </w:rPr>
        <w:t>Id.</w:t>
      </w:r>
      <w:r>
        <w:rPr>
          <w:lang w:val="en-US"/>
        </w:rPr>
        <w:t xml:space="preserve"> </w:t>
      </w:r>
    </w:p>
  </w:footnote>
  <w:footnote w:id="58">
    <w:p w14:paraId="4E0DC541"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Rome Statute of the International Criminal Court art. 36, July 17, 1998, 2187 U.N.T.S. 90.</w:t>
      </w:r>
    </w:p>
  </w:footnote>
  <w:footnote w:id="59">
    <w:p w14:paraId="01552ED3"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w:t>
      </w:r>
    </w:p>
  </w:footnote>
  <w:footnote w:id="60">
    <w:p w14:paraId="3BF210D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Treaty Establishing the European E</w:t>
      </w:r>
      <w:r>
        <w:rPr>
          <w:lang w:val="en-US"/>
        </w:rPr>
        <w:t>conomic Community art. 119, Mar.</w:t>
      </w:r>
      <w:r w:rsidRPr="0008474E">
        <w:rPr>
          <w:lang w:val="en-US"/>
        </w:rPr>
        <w:t xml:space="preserve"> 25, 1957, 298 U.N.T.S. 11, 62 [hereinafter Treaty of Rome] (unofficial English text), https://treaties.un.org/doc/Publication/UNTS/Volume%20298/v298.pdf; </w:t>
      </w:r>
      <w:r w:rsidRPr="00907C35">
        <w:rPr>
          <w:i/>
          <w:lang w:val="en-US"/>
        </w:rPr>
        <w:t>Traité Instituant La Communauté Économique Européenne</w:t>
      </w:r>
      <w:r>
        <w:rPr>
          <w:lang w:val="en-US"/>
        </w:rPr>
        <w:t xml:space="preserve"> art. 119, Mar.</w:t>
      </w:r>
      <w:r w:rsidRPr="0008474E">
        <w:rPr>
          <w:lang w:val="en-US"/>
        </w:rPr>
        <w:t xml:space="preserve"> 25, 1957, 294 U.N.T.S. 17, 89, https://treaties.un.org/doc/Publication/UNTS/Volume%20294/v294.pdf (official French text).</w:t>
      </w:r>
    </w:p>
  </w:footnote>
  <w:footnote w:id="61">
    <w:p w14:paraId="507C1CA9"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Abhinav Chandrachud, </w:t>
      </w:r>
      <w:r w:rsidRPr="0008474E">
        <w:rPr>
          <w:i/>
          <w:lang w:val="en-US"/>
        </w:rPr>
        <w:t>Diversity and the International Criminal Court: Does Geographic Background Impact Decision Making?</w:t>
      </w:r>
      <w:r w:rsidRPr="0008474E">
        <w:rPr>
          <w:lang w:val="en-US"/>
        </w:rPr>
        <w:t>, 38 Brooklyn J. Int</w:t>
      </w:r>
      <w:r>
        <w:rPr>
          <w:lang w:val="en-US"/>
        </w:rPr>
        <w:t>’</w:t>
      </w:r>
      <w:r w:rsidRPr="0008474E">
        <w:rPr>
          <w:lang w:val="en-US"/>
        </w:rPr>
        <w:t>l L. 487, 508 (2013).</w:t>
      </w:r>
    </w:p>
  </w:footnote>
  <w:footnote w:id="62">
    <w:p w14:paraId="2DB9EAFE"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Nienke Grossman, Shattering the Glass Ceiling in International Adjudication, 56 Va. J. Int</w:t>
      </w:r>
      <w:r>
        <w:rPr>
          <w:lang w:val="en-US"/>
        </w:rPr>
        <w:t>’</w:t>
      </w:r>
      <w:r w:rsidRPr="0008474E">
        <w:rPr>
          <w:lang w:val="en-US"/>
        </w:rPr>
        <w:t xml:space="preserve">l L. 339 (2016); </w:t>
      </w:r>
      <w:r w:rsidRPr="0008474E">
        <w:rPr>
          <w:i/>
          <w:lang w:val="en-US"/>
        </w:rPr>
        <w:t>Why so few women on International Courts?</w:t>
      </w:r>
      <w:r>
        <w:rPr>
          <w:i/>
          <w:lang w:val="en-US"/>
        </w:rPr>
        <w:t xml:space="preserve">  </w:t>
      </w:r>
      <w:r w:rsidRPr="0008474E">
        <w:rPr>
          <w:i/>
          <w:lang w:val="en-US"/>
        </w:rPr>
        <w:t>Its</w:t>
      </w:r>
      <w:r>
        <w:rPr>
          <w:i/>
          <w:lang w:val="en-US"/>
        </w:rPr>
        <w:t>’</w:t>
      </w:r>
      <w:r w:rsidRPr="0008474E">
        <w:rPr>
          <w:i/>
          <w:lang w:val="en-US"/>
        </w:rPr>
        <w:t>s Time for a Change</w:t>
      </w:r>
      <w:r>
        <w:rPr>
          <w:lang w:val="en-US"/>
        </w:rPr>
        <w:t>, GQUAL (Sept.</w:t>
      </w:r>
      <w:r w:rsidRPr="0008474E">
        <w:rPr>
          <w:lang w:val="en-US"/>
        </w:rPr>
        <w:t xml:space="preserve"> 2015), http://www.gqualcampaign.org/why-so-few-women-on-international-courts-its-time-for-a-change/.</w:t>
      </w:r>
    </w:p>
  </w:footnote>
  <w:footnote w:id="63">
    <w:p w14:paraId="3E871FE0"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Pr>
          <w:lang w:val="en-US"/>
        </w:rPr>
        <w:t xml:space="preserve">Treaty of Rome, </w:t>
      </w:r>
      <w:r w:rsidRPr="00CA6416">
        <w:rPr>
          <w:i/>
          <w:lang w:val="en-US"/>
        </w:rPr>
        <w:t>supra</w:t>
      </w:r>
      <w:r>
        <w:rPr>
          <w:lang w:val="en-US"/>
        </w:rPr>
        <w:t xml:space="preserve"> note 32; </w:t>
      </w:r>
      <w:r w:rsidRPr="0008474E">
        <w:rPr>
          <w:lang w:val="en-US"/>
        </w:rPr>
        <w:t xml:space="preserve">Article 119 of the Treaty of Rome became Article 141 of the EC Treaty upon the entry into force of the Treaty of Amsterdam in 1999, </w:t>
      </w:r>
      <w:r w:rsidRPr="0008474E">
        <w:rPr>
          <w:i/>
          <w:lang w:val="en-US"/>
        </w:rPr>
        <w:t>see</w:t>
      </w:r>
      <w:r w:rsidRPr="0008474E">
        <w:rPr>
          <w:lang w:val="en-US"/>
        </w:rPr>
        <w:t xml:space="preserve"> Treaty of Amsterdam Amending the Treaty on European Union, the Treaties Establishing the European Communities and Certain Related Acts, Annex: Tables of Equivalences Referred to in Article 12 </w:t>
      </w:r>
      <w:r>
        <w:rPr>
          <w:lang w:val="en-US"/>
        </w:rPr>
        <w:t>of the Treaty of Amsterdam, Oct.</w:t>
      </w:r>
      <w:r w:rsidRPr="0008474E">
        <w:rPr>
          <w:lang w:val="en-US"/>
        </w:rPr>
        <w:t xml:space="preserve"> 2, 1997, 1997 O.J. (C 340) 1, 85, 89 [hereinafter Treaty of Amsterdam], https://eur-lex.europa.eu/legal-content/EN/TXT/PDF/?uri=OJ:C:1997:340:FULL&amp;from=EN, and presently appears as Article 157 of the Treaty on the Functioning of the European Union (TFEU).  </w:t>
      </w:r>
      <w:r w:rsidRPr="0008474E">
        <w:rPr>
          <w:i/>
          <w:lang w:val="en-US"/>
        </w:rPr>
        <w:t>See</w:t>
      </w:r>
      <w:r w:rsidRPr="0008474E">
        <w:rPr>
          <w:lang w:val="en-US"/>
        </w:rPr>
        <w:t xml:space="preserve"> Consolidated Version of the Treaty on the Functioning of t</w:t>
      </w:r>
      <w:r>
        <w:rPr>
          <w:lang w:val="en-US"/>
        </w:rPr>
        <w:t>he European Union art. 157, Oct.</w:t>
      </w:r>
      <w:r w:rsidRPr="0008474E">
        <w:rPr>
          <w:lang w:val="en-US"/>
        </w:rPr>
        <w:t xml:space="preserve"> 10, 2012, 2012 O.J. (C 326) 47, 117 [hereinafter TFEU], https://eur-lex.europa.eu/legal-content/EN/TXT/PDF/?uri=OJ:C:2012:326:FULL&amp;from=EN.</w:t>
      </w:r>
    </w:p>
  </w:footnote>
  <w:footnote w:id="64">
    <w:p w14:paraId="60DEAFC9"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Council Directive 75/117/EEC of February 10, 1975 on the Approximation of the Laws of the Member States relating to the Application of the Principle of Equal Pay for Men And Women, 1975 O.J. (L 45) 19, https://eur-lex.europa.eu/legal-content/EN/TXT/PDF/?uri=OJ:L:1975:045:FULL&amp;from=EN, </w:t>
      </w:r>
      <w:r w:rsidRPr="0008474E">
        <w:rPr>
          <w:i/>
          <w:lang w:val="en-US"/>
        </w:rPr>
        <w:t>repealed and superseded by</w:t>
      </w:r>
      <w:r w:rsidRPr="0008474E">
        <w:rPr>
          <w:lang w:val="en-US"/>
        </w:rPr>
        <w:t xml:space="preserve"> Directive 2006/54/EC of the European Parliament and of the Council of 5 July 2006 on the Implementation of the Principle of Equal Opportunities and Equal Treatment of Men and Women in Matters of Employment and Occupation (Recast), 2006 O.J. (L 204) 23, https://eur-lex.europa.eu/legal-content/EN/TXT/PDF/?uri=OJ:L:2006:204:FULL&amp;from=EN.</w:t>
      </w:r>
    </w:p>
  </w:footnote>
  <w:footnote w:id="65">
    <w:p w14:paraId="5A0AA2EF" w14:textId="55A84F42"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Treaty of Amsterdam,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_Ref16187645 \h </w:instrText>
      </w:r>
      <w:r>
        <w:rPr>
          <w:lang w:val="en-US"/>
        </w:rPr>
        <w:instrText xml:space="preserve"> \* MERGEFORMAT </w:instrText>
      </w:r>
      <w:r w:rsidRPr="0008474E">
        <w:rPr>
          <w:lang w:val="en-US"/>
        </w:rPr>
      </w:r>
      <w:r w:rsidRPr="0008474E">
        <w:rPr>
          <w:lang w:val="en-US"/>
        </w:rPr>
        <w:fldChar w:fldCharType="separate"/>
      </w:r>
      <w:r w:rsidR="00AE4BA1">
        <w:rPr>
          <w:lang w:val="en-US"/>
        </w:rPr>
        <w:t>62</w:t>
      </w:r>
      <w:r w:rsidRPr="0008474E">
        <w:rPr>
          <w:lang w:val="en-US"/>
        </w:rPr>
        <w:fldChar w:fldCharType="end"/>
      </w:r>
      <w:r w:rsidRPr="0008474E">
        <w:rPr>
          <w:lang w:val="en-US"/>
        </w:rPr>
        <w:t>; Treaty of Lisbon Amending the Treaty on European Union and the Treaty Establish</w:t>
      </w:r>
      <w:r>
        <w:rPr>
          <w:lang w:val="en-US"/>
        </w:rPr>
        <w:t>ing the European Community, Dec.</w:t>
      </w:r>
      <w:r w:rsidRPr="0008474E">
        <w:rPr>
          <w:lang w:val="en-US"/>
        </w:rPr>
        <w:t xml:space="preserve"> 13, 2007, 2007 O.J. (C 306) 1 [hereinafter Treaty of Lisbon], https://eur-lex.europa.eu/legal-content/EN/TXT/PDF/?uri=OJ:C:2007:306:FULL&amp;from=EN.</w:t>
      </w:r>
    </w:p>
    <w:p w14:paraId="6519A0C2" w14:textId="77777777" w:rsidR="00953C0F" w:rsidRPr="0008474E" w:rsidRDefault="00953C0F" w:rsidP="006902A2">
      <w:pPr>
        <w:pStyle w:val="FootnoteText"/>
        <w:rPr>
          <w:lang w:val="en-US"/>
        </w:rPr>
      </w:pPr>
      <w:r w:rsidRPr="0008474E">
        <w:rPr>
          <w:lang w:val="en-US"/>
        </w:rPr>
        <w:tab/>
        <w:t>The Treaty of Amsterdam was signed on October 2, 1997, and entered into force on May 1, 1999.  The Treaty of Lisbon was signed in Lisbon on December 13, 2007.</w:t>
      </w:r>
    </w:p>
  </w:footnote>
  <w:footnote w:id="66">
    <w:p w14:paraId="23392EEF" w14:textId="34F57A55"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TFEU,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_Ref16187645 \h </w:instrText>
      </w:r>
      <w:r>
        <w:rPr>
          <w:lang w:val="en-US"/>
        </w:rPr>
        <w:instrText xml:space="preserve"> \* MERGEFORMAT </w:instrText>
      </w:r>
      <w:r w:rsidRPr="0008474E">
        <w:rPr>
          <w:lang w:val="en-US"/>
        </w:rPr>
      </w:r>
      <w:r w:rsidRPr="0008474E">
        <w:rPr>
          <w:lang w:val="en-US"/>
        </w:rPr>
        <w:fldChar w:fldCharType="separate"/>
      </w:r>
      <w:r w:rsidR="00AE4BA1">
        <w:rPr>
          <w:lang w:val="en-US"/>
        </w:rPr>
        <w:t>62</w:t>
      </w:r>
      <w:r w:rsidRPr="0008474E">
        <w:rPr>
          <w:lang w:val="en-US"/>
        </w:rPr>
        <w:fldChar w:fldCharType="end"/>
      </w:r>
      <w:r w:rsidRPr="0008474E">
        <w:rPr>
          <w:lang w:val="en-US"/>
        </w:rPr>
        <w:t>, art. 10, 2012 O.J. (C 326) at 53.</w:t>
      </w:r>
    </w:p>
  </w:footnote>
  <w:footnote w:id="67">
    <w:p w14:paraId="63CA5559"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Consolidated Version of the Treaty of the</w:t>
      </w:r>
      <w:r>
        <w:rPr>
          <w:lang w:val="en-US"/>
        </w:rPr>
        <w:t xml:space="preserve"> European Union arts. 2, 3, Oct.</w:t>
      </w:r>
      <w:r w:rsidRPr="0008474E">
        <w:rPr>
          <w:lang w:val="en-US"/>
        </w:rPr>
        <w:t xml:space="preserve"> 26, 2012, 2012 O.J. (C 326) 13, 17, https://eur-lex.europa.eu/legal-content/EN/TXT/PDF/?uri=OJ:C:2012:326:FULL&amp;from=EN.</w:t>
      </w:r>
    </w:p>
  </w:footnote>
  <w:footnote w:id="68">
    <w:p w14:paraId="64391EF5"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Charter of Fundamental Rights of the Eur</w:t>
      </w:r>
      <w:r>
        <w:rPr>
          <w:lang w:val="en-US"/>
        </w:rPr>
        <w:t>opean Union arts. 21, 23, Oct.</w:t>
      </w:r>
      <w:r w:rsidRPr="0008474E">
        <w:rPr>
          <w:lang w:val="en-US"/>
        </w:rPr>
        <w:t xml:space="preserve"> 26, 2012, 2012 O.J. (C 326) 395, 400, https://eur-lex.europa.eu/legal-content/EN/TXT/PDF/?uri=OJ:C:2012:326:FULL&amp;from=EN.</w:t>
      </w:r>
    </w:p>
  </w:footnote>
  <w:footnote w:id="69">
    <w:p w14:paraId="7E657EDB"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Commission Proposal for a Directive of the European Parliament and of the Council on Improving the Gender Balance Among Non-Executive Directors of Companies Listed on Stock Exchanges and Related Measures</w:t>
      </w:r>
      <w:r w:rsidRPr="0008474E">
        <w:rPr>
          <w:lang w:val="en-US"/>
        </w:rPr>
        <w:t xml:space="preserve"> a</w:t>
      </w:r>
      <w:r>
        <w:rPr>
          <w:lang w:val="en-US"/>
        </w:rPr>
        <w:t>t 1-3, COM(2012) 614 final (Nov.</w:t>
      </w:r>
      <w:r w:rsidRPr="0008474E">
        <w:rPr>
          <w:lang w:val="en-US"/>
        </w:rPr>
        <w:t xml:space="preserve"> 14, 2012), https://eur-lex.europa.eu/legal-content/EN/TXT/PDF/?uri=CELEX:52012PC0614&amp;from=en.</w:t>
      </w:r>
    </w:p>
  </w:footnote>
  <w:footnote w:id="70">
    <w:p w14:paraId="16C0A04E"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Progress Report from Presidency to Permanent Representatives Committee re: Proposal for a Directive of the European Parliament and of the Council on Improving the Gender Balance among Directors of Companies Listed on Stock Exchanges and Related Measures</w:t>
      </w:r>
      <w:r w:rsidRPr="0008474E">
        <w:rPr>
          <w:lang w:val="en-US"/>
        </w:rPr>
        <w:t>, 2012/0299 (COD) (May 31, 2017), https://eur-lex.europa.eu/legal-content/EN/TXT/PDF/?uri=CONSIL:ST_9496_2017_INIT&amp;from=EN.</w:t>
      </w:r>
    </w:p>
  </w:footnote>
  <w:footnote w:id="71">
    <w:p w14:paraId="76D296D7"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F90097">
        <w:rPr>
          <w:i/>
          <w:lang w:val="en-US"/>
        </w:rPr>
        <w:t>Id.</w:t>
      </w:r>
    </w:p>
  </w:footnote>
  <w:footnote w:id="72">
    <w:p w14:paraId="07F1B364" w14:textId="4862E32C" w:rsidR="00953C0F" w:rsidRPr="0008474E" w:rsidRDefault="00953C0F" w:rsidP="006902A2">
      <w:pPr>
        <w:pStyle w:val="FootnoteText"/>
        <w:rPr>
          <w:lang w:val="en-US"/>
        </w:rPr>
      </w:pPr>
      <w:r w:rsidRPr="0008474E">
        <w:rPr>
          <w:rStyle w:val="FootnoteReference"/>
          <w:lang w:val="en-US"/>
        </w:rPr>
        <w:footnoteRef/>
      </w:r>
      <w:r w:rsidRPr="0008474E">
        <w:rPr>
          <w:lang w:val="en-US"/>
        </w:rPr>
        <w:tab/>
        <w:t>The worked examples set out in a new appendix to the amended draft directive seem to be based on a very pragmatic approach (i.e.</w:t>
      </w:r>
      <w:r>
        <w:rPr>
          <w:lang w:val="en-US"/>
        </w:rPr>
        <w:t>,</w:t>
      </w:r>
      <w:r w:rsidRPr="0008474E">
        <w:rPr>
          <w:lang w:val="en-US"/>
        </w:rPr>
        <w:t xml:space="preserve"> starting only with boards of three or more board seats and rounding</w:t>
      </w:r>
      <w:r>
        <w:rPr>
          <w:lang w:val="en-US"/>
        </w:rPr>
        <w:t xml:space="preserve"> </w:t>
      </w:r>
      <w:r w:rsidRPr="0008474E">
        <w:rPr>
          <w:lang w:val="en-US"/>
        </w:rPr>
        <w:t>down the minimum number of relevant directors to meet the target).  For example, where the board is comprised of only four board seats, the 33% target will be met if at least one director is of the under</w:t>
      </w:r>
      <w:r>
        <w:rPr>
          <w:lang w:val="en-US"/>
        </w:rPr>
        <w:t>-</w:t>
      </w:r>
      <w:r w:rsidRPr="0008474E">
        <w:rPr>
          <w:lang w:val="en-US"/>
        </w:rPr>
        <w:t>represented gender, i.e.</w:t>
      </w:r>
      <w:r>
        <w:rPr>
          <w:lang w:val="en-US"/>
        </w:rPr>
        <w:t>,</w:t>
      </w:r>
      <w:r w:rsidRPr="0008474E">
        <w:rPr>
          <w:lang w:val="en-US"/>
        </w:rPr>
        <w:t xml:space="preserve"> only 25% of all board seats; similarly, where there are seven board seats, the 33% target will be met if at least two directors are of the under</w:t>
      </w:r>
      <w:r>
        <w:rPr>
          <w:lang w:val="en-US"/>
        </w:rPr>
        <w:t>-</w:t>
      </w:r>
      <w:r w:rsidRPr="0008474E">
        <w:rPr>
          <w:lang w:val="en-US"/>
        </w:rPr>
        <w:t>represented gender, i.e.</w:t>
      </w:r>
      <w:r>
        <w:rPr>
          <w:lang w:val="en-US"/>
        </w:rPr>
        <w:t>,</w:t>
      </w:r>
      <w:r w:rsidRPr="0008474E">
        <w:rPr>
          <w:lang w:val="en-US"/>
        </w:rPr>
        <w:t xml:space="preserve"> only 28.6% of all board seats.  </w:t>
      </w:r>
      <w:r w:rsidRPr="0008474E">
        <w:rPr>
          <w:i/>
          <w:lang w:val="en-US"/>
        </w:rPr>
        <w:t>See id</w:t>
      </w:r>
      <w:r w:rsidRPr="0008474E">
        <w:rPr>
          <w:lang w:val="en-US"/>
        </w:rPr>
        <w:t>. at 33-34.</w:t>
      </w:r>
    </w:p>
  </w:footnote>
  <w:footnote w:id="73">
    <w:p w14:paraId="5E7BAB6A" w14:textId="78756A2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203E75">
        <w:rPr>
          <w:i/>
          <w:lang w:val="en-US"/>
        </w:rPr>
        <w:t>“</w:t>
      </w:r>
      <w:r w:rsidRPr="0008474E">
        <w:rPr>
          <w:lang w:val="en-US"/>
        </w:rPr>
        <w:t>Small and medium-sized enterprise</w:t>
      </w:r>
      <w:r w:rsidRPr="00203E75">
        <w:rPr>
          <w:i/>
          <w:lang w:val="en-US"/>
        </w:rPr>
        <w:t>”</w:t>
      </w:r>
      <w:r w:rsidRPr="0008474E">
        <w:rPr>
          <w:lang w:val="en-US"/>
        </w:rPr>
        <w:t xml:space="preserve"> is defined in the draft directive as </w:t>
      </w:r>
      <w:r w:rsidRPr="00203E75">
        <w:rPr>
          <w:i/>
          <w:lang w:val="en-US"/>
        </w:rPr>
        <w:t>“</w:t>
      </w:r>
      <w:r w:rsidRPr="0008474E">
        <w:rPr>
          <w:lang w:val="en-US"/>
        </w:rPr>
        <w:t>a company which employs less than 250 persons and has an annual turnover not exceeding EUR 50 million or an annual balance sheet total not exceeding EUR 43 million</w:t>
      </w:r>
      <w:r w:rsidRPr="00203E75">
        <w:rPr>
          <w:i/>
          <w:lang w:val="en-US"/>
        </w:rPr>
        <w:t>”</w:t>
      </w:r>
      <w:r w:rsidRPr="0008474E">
        <w:rPr>
          <w:lang w:val="en-US"/>
        </w:rPr>
        <w:t xml:space="preserve"> (or, if applicable, such equivalent amounts in another currency of a Member State).  </w:t>
      </w:r>
      <w:r w:rsidRPr="0008474E">
        <w:rPr>
          <w:i/>
          <w:lang w:val="en-US"/>
        </w:rPr>
        <w:t>Id</w:t>
      </w:r>
      <w:r w:rsidRPr="0008474E">
        <w:rPr>
          <w:lang w:val="en-US"/>
        </w:rPr>
        <w:t>. at 23.</w:t>
      </w:r>
    </w:p>
  </w:footnote>
  <w:footnote w:id="74">
    <w:p w14:paraId="496BE22A"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Id.</w:t>
      </w:r>
      <w:r w:rsidRPr="0008474E">
        <w:rPr>
          <w:lang w:val="en-US"/>
        </w:rPr>
        <w:t xml:space="preserve"> at 5.</w:t>
      </w:r>
    </w:p>
  </w:footnote>
  <w:footnote w:id="75">
    <w:p w14:paraId="4AD04B3C"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Any suspension beyond December 31, 2024 is subject to certain conditions.</w:t>
      </w:r>
      <w:r w:rsidRPr="0008474E">
        <w:rPr>
          <w:i/>
          <w:lang w:val="en-US"/>
        </w:rPr>
        <w:t xml:space="preserve">  See id</w:t>
      </w:r>
      <w:r w:rsidRPr="0008474E">
        <w:rPr>
          <w:lang w:val="en-US"/>
        </w:rPr>
        <w:t>. at 3, 27.</w:t>
      </w:r>
    </w:p>
  </w:footnote>
  <w:footnote w:id="76">
    <w:p w14:paraId="33E31ECE" w14:textId="77777777" w:rsidR="00953C0F" w:rsidRPr="00ED7A89" w:rsidRDefault="00953C0F" w:rsidP="006902A2">
      <w:pPr>
        <w:pStyle w:val="FootnoteText"/>
        <w:rPr>
          <w:lang w:val="de-CH"/>
        </w:rPr>
      </w:pPr>
      <w:r w:rsidRPr="0008474E">
        <w:rPr>
          <w:rStyle w:val="FootnoteReference"/>
          <w:lang w:val="en-US"/>
        </w:rPr>
        <w:footnoteRef/>
      </w:r>
      <w:r w:rsidRPr="0008474E">
        <w:rPr>
          <w:lang w:val="en-US"/>
        </w:rPr>
        <w:t xml:space="preserve"> </w:t>
      </w:r>
      <w:r w:rsidRPr="0008474E">
        <w:rPr>
          <w:lang w:val="en-US"/>
        </w:rPr>
        <w:tab/>
      </w:r>
      <w:r w:rsidRPr="0008474E">
        <w:rPr>
          <w:rStyle w:val="FootnoteTextChar"/>
          <w:lang w:val="en-US"/>
        </w:rPr>
        <w:t xml:space="preserve">European Commission news report of November 23, 2017 regarding the adoption by Austria of the new Act on Equality of Women and Men on Supervisory Boards.  </w:t>
      </w:r>
      <w:r w:rsidRPr="00ED7A89">
        <w:rPr>
          <w:rStyle w:val="FootnoteTextChar"/>
          <w:lang w:val="de-CH"/>
        </w:rPr>
        <w:t>https://www.equalitylaw.eu/downloads/4510-austria-austria-enacts-legislation-for-a-30-quota-of-women-on-supervisory-company-boards-pdf-168-kb Gleichstellungsgesetz von Frauen und Männern im Aufsichtsrat (BGBLA_2017_I_104/BGBLA_2017_I_104) [in German].</w:t>
      </w:r>
    </w:p>
  </w:footnote>
  <w:footnote w:id="77">
    <w:p w14:paraId="2B218ECB"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rStyle w:val="FootnoteTextChar"/>
          <w:lang w:val="en-US"/>
        </w:rPr>
        <w:t>European Commission news report of November 23, 2017 regarding the adoption by Portugal of a law imposing gender quotas (Law no. 62/2017, August 1, 2017).  https://www.equalitylaw.eu/downloads/4512-portugal-recent-developments-in-portuguese-employment-law-regarding-women-on-company-boards-pdf-120-kb</w:t>
      </w:r>
    </w:p>
  </w:footnote>
  <w:footnote w:id="78">
    <w:p w14:paraId="416FBFF0"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European Commission</w:t>
      </w:r>
      <w:r>
        <w:rPr>
          <w:lang w:val="en-US"/>
        </w:rPr>
        <w:t>’</w:t>
      </w:r>
      <w:r w:rsidRPr="0008474E">
        <w:rPr>
          <w:lang w:val="en-US"/>
        </w:rPr>
        <w:t xml:space="preserve">s Strategy for Equality between Women and Men 2010-2015 </w:t>
      </w:r>
      <w:r w:rsidRPr="0008474E">
        <w:rPr>
          <w:noProof/>
          <w:lang w:val="en-US"/>
        </w:rPr>
        <w:t>https://eur-lex.europa.eu/LexUriServ/LexUriServ.do?uri=COM:2010:0491:FIN:EN:PDF</w:t>
      </w:r>
    </w:p>
  </w:footnote>
  <w:footnote w:id="79">
    <w:p w14:paraId="77232AE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European Commission, </w:t>
      </w:r>
      <w:r w:rsidRPr="0008474E">
        <w:rPr>
          <w:i/>
          <w:lang w:val="en-US"/>
        </w:rPr>
        <w:t>Strategic Engagement for Gender Equality 2016-2019</w:t>
      </w:r>
      <w:r w:rsidRPr="0008474E">
        <w:rPr>
          <w:lang w:val="en-US"/>
        </w:rPr>
        <w:t>, https://ec.europa.eu/anti-trafficking/sites/antitrafficking/files/strategic_engagement_for_gender_equality_en.pdf.</w:t>
      </w:r>
    </w:p>
  </w:footnote>
  <w:footnote w:id="80">
    <w:p w14:paraId="1B3111FF"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Council of Europe, </w:t>
      </w:r>
      <w:r w:rsidRPr="0008474E">
        <w:rPr>
          <w:i/>
          <w:lang w:val="en-US"/>
        </w:rPr>
        <w:t>Gender Equality Strategy 2018-2023</w:t>
      </w:r>
      <w:r w:rsidRPr="0008474E">
        <w:rPr>
          <w:lang w:val="en-US"/>
        </w:rPr>
        <w:t xml:space="preserve"> (2018), https://rm.coe.int/strategy-en-2018-2023/16807b58eb.</w:t>
      </w:r>
    </w:p>
  </w:footnote>
  <w:footnote w:id="81">
    <w:p w14:paraId="448C1AB6"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European Commission, </w:t>
      </w:r>
      <w:r w:rsidRPr="0008474E">
        <w:rPr>
          <w:i/>
          <w:lang w:val="en-US"/>
        </w:rPr>
        <w:t>2019 Report on Equality Between Women and Men in the EU</w:t>
      </w:r>
      <w:r w:rsidRPr="0008474E">
        <w:rPr>
          <w:lang w:val="en-US"/>
        </w:rPr>
        <w:t xml:space="preserve"> 27-33 (2019), https://ec.europa.eu/info/sites/info/files/aid_development_cooperation_fundamental_rights/annual_report_ge_2019_en.pdf.</w:t>
      </w:r>
    </w:p>
  </w:footnote>
  <w:footnote w:id="82">
    <w:p w14:paraId="4DE97F00"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See id</w:t>
      </w:r>
      <w:r w:rsidRPr="0008474E">
        <w:rPr>
          <w:lang w:val="en-US"/>
        </w:rPr>
        <w:t>. at 41.</w:t>
      </w:r>
    </w:p>
  </w:footnote>
  <w:footnote w:id="83">
    <w:p w14:paraId="11B9F666"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Trond Randøy et al.,</w:t>
      </w:r>
      <w:r w:rsidRPr="0008474E">
        <w:rPr>
          <w:i/>
          <w:lang w:val="en-US"/>
        </w:rPr>
        <w:t xml:space="preserve"> A Nordic Perspective on Corporate Board Diversity</w:t>
      </w:r>
      <w:r w:rsidRPr="0008474E">
        <w:rPr>
          <w:lang w:val="en-US"/>
        </w:rPr>
        <w:t xml:space="preserve"> (Nordic Innovation Centre project no. 05030, Nov. 2006), www.nordicinnovation.org/Global/_Publications/Reports/2006/The%20performance%20effects%20of%20board%20diversity%20in%20Nordic%20Firms.pdf; Steen Thomsen, </w:t>
      </w:r>
      <w:r w:rsidRPr="0008474E">
        <w:rPr>
          <w:i/>
          <w:lang w:val="en-US"/>
        </w:rPr>
        <w:t>Nordic Corporate Governance Revisited</w:t>
      </w:r>
      <w:r w:rsidRPr="0008474E">
        <w:rPr>
          <w:lang w:val="en-US"/>
        </w:rPr>
        <w:t xml:space="preserve">, 65 Nordic J. Bus. 1, 4, 4-12 (2016). </w:t>
      </w:r>
    </w:p>
  </w:footnote>
  <w:footnote w:id="84">
    <w:p w14:paraId="262E60E7" w14:textId="14B1F61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Aktiebolagslag [Companies Act] (SFS 2005:551) (Swed.) [hereinafter Swedish Companies Act]; </w:t>
      </w:r>
      <w:r w:rsidRPr="0008474E">
        <w:rPr>
          <w:i/>
          <w:lang w:val="en-US"/>
        </w:rPr>
        <w:t>Lov om allmennaksjeselskaper</w:t>
      </w:r>
      <w:r w:rsidRPr="0008474E">
        <w:rPr>
          <w:lang w:val="en-US"/>
        </w:rPr>
        <w:t xml:space="preserve"> (</w:t>
      </w:r>
      <w:r w:rsidRPr="0008474E">
        <w:rPr>
          <w:i/>
          <w:lang w:val="en-US"/>
        </w:rPr>
        <w:t>Allmennaksjeloven</w:t>
      </w:r>
      <w:r w:rsidRPr="0008474E">
        <w:rPr>
          <w:lang w:val="en-US"/>
        </w:rPr>
        <w:t>) [Public Limited Liability Companies Act] (No. 45/June 13, 1997) (Nor.) [hereinafter Norwegian Companies Act]; Lov om aktie- og anpartsselskaber (selskabsloven) [Act on Public and Private Limited Companies] (Companies Act) (M</w:t>
      </w:r>
      <w:r>
        <w:rPr>
          <w:lang w:val="en-US"/>
        </w:rPr>
        <w:t>ar.</w:t>
      </w:r>
      <w:r w:rsidRPr="0008474E">
        <w:rPr>
          <w:lang w:val="en-US"/>
        </w:rPr>
        <w:t xml:space="preserve"> 1, 2010) (Den.) [hereinafter Danish Companies Act]; </w:t>
      </w:r>
      <w:r w:rsidRPr="0008474E">
        <w:rPr>
          <w:i/>
          <w:lang w:val="en-US"/>
        </w:rPr>
        <w:t>Lög um hlutafélög</w:t>
      </w:r>
      <w:r w:rsidRPr="0008474E">
        <w:rPr>
          <w:lang w:val="en-US"/>
        </w:rPr>
        <w:t xml:space="preserve"> (No. 2/1995) (Ice.)</w:t>
      </w:r>
      <w:r>
        <w:rPr>
          <w:lang w:val="en-US"/>
        </w:rPr>
        <w:t xml:space="preserve"> </w:t>
      </w:r>
      <w:r w:rsidRPr="0008474E">
        <w:rPr>
          <w:lang w:val="en-US"/>
        </w:rPr>
        <w:t xml:space="preserve">[Act on Public Limited Companies] [hereinafter Icelandic Public Limited Liability Companies Act]; </w:t>
      </w:r>
      <w:r w:rsidRPr="0008474E">
        <w:rPr>
          <w:i/>
          <w:lang w:val="en-US"/>
        </w:rPr>
        <w:t>Lög um einkahlutafélög</w:t>
      </w:r>
      <w:r w:rsidRPr="0008474E">
        <w:rPr>
          <w:lang w:val="en-US"/>
        </w:rPr>
        <w:t xml:space="preserve"> (No. 138/1994) (Ice.) [hereinafter Icelandic Private Limited Liability Companies Act]; </w:t>
      </w:r>
      <w:r w:rsidRPr="0008474E">
        <w:rPr>
          <w:i/>
          <w:lang w:val="en-US"/>
        </w:rPr>
        <w:t>Osakeyhtiölaki</w:t>
      </w:r>
      <w:r w:rsidRPr="0008474E">
        <w:rPr>
          <w:lang w:val="en-US"/>
        </w:rPr>
        <w:t xml:space="preserve"> [Limited Liability Companies Act] (624/2006) (Fin.) [hereinafter Finnish Companies Act]. </w:t>
      </w:r>
    </w:p>
  </w:footnote>
  <w:footnote w:id="85">
    <w:p w14:paraId="5C483A16"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Kollegiet för Svensk Bolagsstyrning</w:t>
      </w:r>
      <w:r w:rsidRPr="0008474E">
        <w:rPr>
          <w:lang w:val="en-US"/>
        </w:rPr>
        <w:t xml:space="preserve"> [Swedish Corporate Governance Board], </w:t>
      </w:r>
      <w:r w:rsidRPr="0008474E">
        <w:rPr>
          <w:i/>
          <w:lang w:val="en-US"/>
        </w:rPr>
        <w:t>Svensk Kod för Bolagsstyrning</w:t>
      </w:r>
      <w:r w:rsidRPr="0008474E">
        <w:rPr>
          <w:lang w:val="en-US"/>
        </w:rPr>
        <w:t xml:space="preserve"> [Swedish Corporate Governance Code] (2016), http://www.corporategovernanceboard.se/UserFiles/Archive/486/The_Swedish_‌Corporate_Governance_Code_1_December_2016.pdf; </w:t>
      </w:r>
      <w:r w:rsidRPr="0008474E">
        <w:rPr>
          <w:i/>
          <w:lang w:val="en-US"/>
        </w:rPr>
        <w:t>Norsk Utvalg for Eierstyring og Selskapsledelse</w:t>
      </w:r>
      <w:r w:rsidRPr="0008474E">
        <w:rPr>
          <w:lang w:val="en-US"/>
        </w:rPr>
        <w:t xml:space="preserve"> (NUES) [Norwegian Committee for Corporate Governance (NCGB)], </w:t>
      </w:r>
      <w:r w:rsidRPr="0008474E">
        <w:rPr>
          <w:i/>
          <w:lang w:val="en-US"/>
        </w:rPr>
        <w:t>Norsk Anbefaling – Eierstyring og Selskapsledelse</w:t>
      </w:r>
      <w:r w:rsidRPr="0008474E">
        <w:rPr>
          <w:lang w:val="en-US"/>
        </w:rPr>
        <w:t xml:space="preserve"> [The Norwegian Code of Practice for Corporate Governance] (2014), http://wpstatic.idium.no/nues.no/2017/06/2014-10-30Code2014ENGweb.pdf; </w:t>
      </w:r>
      <w:r w:rsidRPr="0008474E">
        <w:rPr>
          <w:i/>
          <w:lang w:val="en-US"/>
        </w:rPr>
        <w:t>Komitéen for God Selskabsledelse</w:t>
      </w:r>
      <w:r w:rsidRPr="0008474E">
        <w:rPr>
          <w:lang w:val="en-US"/>
        </w:rPr>
        <w:t xml:space="preserve"> [Committee on Corporate Governance], Anbefalinger for God Selskabsledelse [Recommendations on Corporate Governance] (2017) (Den.) [hereinafter The Danish Corporate Governance Code], https://corporategovernance.dk/sites/default/files/</w:t>
      </w:r>
      <w:r w:rsidRPr="0008474E">
        <w:rPr>
          <w:lang w:val="en-US"/>
        </w:rPr>
        <w:br/>
        <w:t xml:space="preserve">180927_clean_recommendations_version260918_002.pdf; </w:t>
      </w:r>
      <w:r w:rsidRPr="0008474E">
        <w:rPr>
          <w:i/>
          <w:lang w:val="en-US"/>
        </w:rPr>
        <w:t>Viðskiptaráð Íslands, Samtök atvinnulífsins og Kauphöll Íslands, Stjórnarhættir Fyrirtækja</w:t>
      </w:r>
      <w:r w:rsidRPr="0008474E">
        <w:rPr>
          <w:lang w:val="en-US"/>
        </w:rPr>
        <w:t xml:space="preserve">, [Icelandic Chamber of Commerce, Confederation of Icelandic Employers and the Iceland Stock Exchange, Corporate Governance Guidelines] (2015), http://corporategovernance.is/guidelines/foreword; </w:t>
      </w:r>
      <w:r w:rsidRPr="0008474E">
        <w:rPr>
          <w:i/>
          <w:lang w:val="en-US"/>
        </w:rPr>
        <w:t>Arvopaperimarkkinayhdistys ry</w:t>
      </w:r>
      <w:r w:rsidRPr="0008474E">
        <w:rPr>
          <w:lang w:val="en-US"/>
        </w:rPr>
        <w:t xml:space="preserve"> [Sec. Mkt. Ass</w:t>
      </w:r>
      <w:r>
        <w:rPr>
          <w:lang w:val="en-US"/>
        </w:rPr>
        <w:t>’</w:t>
      </w:r>
      <w:r w:rsidRPr="0008474E">
        <w:rPr>
          <w:lang w:val="en-US"/>
        </w:rPr>
        <w:t>n], Hallinnointikoodi Corporate Governance 2015 [The Finnish Corporate Governance Code] (2015), https://cgfinland.fi/wp-content/uploads/sites/6/2015/10/hallinnointikoodi-2015eng.pdf.</w:t>
      </w:r>
    </w:p>
  </w:footnote>
  <w:footnote w:id="86">
    <w:p w14:paraId="59E9325C" w14:textId="730DDC66"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Norwegian Companies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xml:space="preserve">, at § 6.1(1); Swedish Companies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xml:space="preserve">, at ch. 8, § 46. </w:t>
      </w:r>
    </w:p>
  </w:footnote>
  <w:footnote w:id="87">
    <w:p w14:paraId="623DE17D" w14:textId="02CF8E2A"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Icelandic Public Limited Liability Companies Act,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xml:space="preserve">, at art. 63; and Icelandic Private Limited Liability Companies Act,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xml:space="preserve">, at art. 39. </w:t>
      </w:r>
    </w:p>
  </w:footnote>
  <w:footnote w:id="88">
    <w:p w14:paraId="7B007217" w14:textId="6F8D878B"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Finnish Companies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at ch. 6, § 8(1).</w:t>
      </w:r>
    </w:p>
  </w:footnote>
  <w:footnote w:id="89">
    <w:p w14:paraId="5B25DBF5" w14:textId="2BB5018C"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Norwegian Companies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xml:space="preserve">, at § 6.11; Icelandic Public Limited Liability Companies Act,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xml:space="preserve">, art. 66; Icelandic Private Limited Liability Companies Act,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art. 42.</w:t>
      </w:r>
    </w:p>
  </w:footnote>
  <w:footnote w:id="90">
    <w:p w14:paraId="56742CBB" w14:textId="5A0921D0"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Swedish Companies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at ch. 8, § 9.</w:t>
      </w:r>
    </w:p>
  </w:footnote>
  <w:footnote w:id="91">
    <w:p w14:paraId="41E4DCE6" w14:textId="2B630D1E"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Finnish Companies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at ch. 6, § 10(2).</w:t>
      </w:r>
    </w:p>
  </w:footnote>
  <w:footnote w:id="92">
    <w:p w14:paraId="03FB2AAA" w14:textId="11FB0899"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Swedish Companies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at ch. 8, § 13</w:t>
      </w:r>
      <w:r>
        <w:rPr>
          <w:lang w:val="en-US"/>
        </w:rPr>
        <w:t>.</w:t>
      </w:r>
    </w:p>
  </w:footnote>
  <w:footnote w:id="93">
    <w:p w14:paraId="55A07DB2" w14:textId="170EC0DD"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Norwegian Companies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at § 6.6; The Norwegian Code of Practice for Corporate Governance,</w:t>
      </w:r>
      <w:r w:rsidRPr="0008474E">
        <w:rPr>
          <w:i/>
          <w:lang w:val="en-US"/>
        </w:rPr>
        <w:t xml:space="preserve"> supra </w:t>
      </w:r>
      <w:r w:rsidRPr="0008474E">
        <w:rPr>
          <w:lang w:val="en-US"/>
        </w:rPr>
        <w:t xml:space="preserve">note </w:t>
      </w:r>
      <w:r w:rsidRPr="0008474E">
        <w:rPr>
          <w:lang w:val="en-US"/>
        </w:rPr>
        <w:fldChar w:fldCharType="begin"/>
      </w:r>
      <w:r w:rsidRPr="0008474E">
        <w:rPr>
          <w:lang w:val="en-US"/>
        </w:rPr>
        <w:instrText xml:space="preserve"> NOTEREF _Ref16195127 \h </w:instrText>
      </w:r>
      <w:r>
        <w:rPr>
          <w:lang w:val="en-US"/>
        </w:rPr>
        <w:instrText xml:space="preserve"> \* MERGEFORMAT </w:instrText>
      </w:r>
      <w:r w:rsidRPr="0008474E">
        <w:rPr>
          <w:lang w:val="en-US"/>
        </w:rPr>
      </w:r>
      <w:r w:rsidRPr="0008474E">
        <w:rPr>
          <w:lang w:val="en-US"/>
        </w:rPr>
        <w:fldChar w:fldCharType="separate"/>
      </w:r>
      <w:r w:rsidR="00AE4BA1">
        <w:rPr>
          <w:lang w:val="en-US"/>
        </w:rPr>
        <w:t>84</w:t>
      </w:r>
      <w:r w:rsidRPr="0008474E">
        <w:rPr>
          <w:lang w:val="en-US"/>
        </w:rPr>
        <w:fldChar w:fldCharType="end"/>
      </w:r>
      <w:r w:rsidRPr="0008474E">
        <w:rPr>
          <w:lang w:val="en-US"/>
        </w:rPr>
        <w:t>, at ch. 8</w:t>
      </w:r>
      <w:r>
        <w:rPr>
          <w:lang w:val="en-US"/>
        </w:rPr>
        <w:t>.</w:t>
      </w:r>
    </w:p>
  </w:footnote>
  <w:footnote w:id="94">
    <w:p w14:paraId="0902E983" w14:textId="620A4944"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Icelandic Public Limited Liability Companies Act,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xml:space="preserve">, art. 63; Icelandic Private Limited Liability Companies Act,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xml:space="preserve">, art. 39. </w:t>
      </w:r>
    </w:p>
  </w:footnote>
  <w:footnote w:id="95">
    <w:p w14:paraId="4FC503E1" w14:textId="65ED1E43"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Danish Companies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xml:space="preserve">, at § 120(4); The Danish Corporate Governance Code,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_Ref16195127 \h </w:instrText>
      </w:r>
      <w:r>
        <w:rPr>
          <w:lang w:val="en-US"/>
        </w:rPr>
        <w:instrText xml:space="preserve"> \* MERGEFORMAT </w:instrText>
      </w:r>
      <w:r w:rsidRPr="0008474E">
        <w:rPr>
          <w:lang w:val="en-US"/>
        </w:rPr>
      </w:r>
      <w:r w:rsidRPr="0008474E">
        <w:rPr>
          <w:lang w:val="en-US"/>
        </w:rPr>
        <w:fldChar w:fldCharType="separate"/>
      </w:r>
      <w:r w:rsidR="00AE4BA1">
        <w:rPr>
          <w:lang w:val="en-US"/>
        </w:rPr>
        <w:t>84</w:t>
      </w:r>
      <w:r w:rsidRPr="0008474E">
        <w:rPr>
          <w:lang w:val="en-US"/>
        </w:rPr>
        <w:fldChar w:fldCharType="end"/>
      </w:r>
      <w:r w:rsidRPr="0008474E">
        <w:rPr>
          <w:lang w:val="en-US"/>
        </w:rPr>
        <w:t>, § 3.1.6</w:t>
      </w:r>
      <w:r>
        <w:rPr>
          <w:lang w:val="en-US"/>
        </w:rPr>
        <w:t>.</w:t>
      </w:r>
    </w:p>
  </w:footnote>
  <w:footnote w:id="96">
    <w:p w14:paraId="5432BEE8" w14:textId="54AEEC0C"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Finnish Companies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at ch. 6, § 11</w:t>
      </w:r>
      <w:r>
        <w:rPr>
          <w:lang w:val="en-US"/>
        </w:rPr>
        <w:t>.</w:t>
      </w:r>
    </w:p>
  </w:footnote>
  <w:footnote w:id="97">
    <w:p w14:paraId="39D2A0E6" w14:textId="77777777" w:rsidR="00953C0F" w:rsidRPr="00ED7A89" w:rsidRDefault="00953C0F" w:rsidP="006902A2">
      <w:pPr>
        <w:pStyle w:val="FootnoteText"/>
        <w:rPr>
          <w:lang w:val="en-US"/>
        </w:rPr>
      </w:pPr>
      <w:r w:rsidRPr="0008474E">
        <w:rPr>
          <w:rStyle w:val="FootnoteReference"/>
          <w:lang w:val="en-US"/>
        </w:rPr>
        <w:footnoteRef/>
      </w:r>
      <w:r w:rsidRPr="0008474E">
        <w:rPr>
          <w:lang w:val="en-US"/>
        </w:rPr>
        <w:tab/>
        <w:t xml:space="preserve">Alexander Gidlund &amp; Tommy Lund, </w:t>
      </w:r>
      <w:r w:rsidRPr="0008474E">
        <w:rPr>
          <w:i/>
          <w:lang w:val="en-US"/>
        </w:rPr>
        <w:t>The Norwegian Gender Quota Law and its Effects on Corporate Boards</w:t>
      </w:r>
      <w:r w:rsidRPr="0008474E">
        <w:rPr>
          <w:lang w:val="en-US"/>
        </w:rPr>
        <w:t xml:space="preserve"> 5 (Spring 2017) (Master thesis, Umeå Sch. of Bus., Econ. </w:t>
      </w:r>
      <w:r w:rsidRPr="00ED7A89">
        <w:rPr>
          <w:lang w:val="en-US"/>
        </w:rPr>
        <w:t>&amp; Stats.), http://www.diva-portal.org/smash/get/diva2:1119270/FULLTEXT01.pdf.</w:t>
      </w:r>
    </w:p>
  </w:footnote>
  <w:footnote w:id="98">
    <w:p w14:paraId="6073707E" w14:textId="55A25DED"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Icelandic Public Limited Liability Companies Act,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xml:space="preserve">, art. 63; Icelandic Private Limited Liability Companies Act, </w:t>
      </w:r>
      <w:r w:rsidRPr="0008474E">
        <w:rPr>
          <w:i/>
          <w:lang w:val="en-US"/>
        </w:rPr>
        <w:t>supra</w:t>
      </w:r>
      <w:r w:rsidRPr="0008474E">
        <w:rPr>
          <w:lang w:val="en-US"/>
        </w:rPr>
        <w:t xml:space="preserve"> note 279, art. 39. </w:t>
      </w:r>
    </w:p>
  </w:footnote>
  <w:footnote w:id="99">
    <w:p w14:paraId="47AF82EA" w14:textId="50FA3792"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The Swedish Corporate Governance Code,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_Ref16195127 \h </w:instrText>
      </w:r>
      <w:r>
        <w:rPr>
          <w:lang w:val="en-US"/>
        </w:rPr>
        <w:instrText xml:space="preserve"> \* MERGEFORMAT </w:instrText>
      </w:r>
      <w:r w:rsidRPr="0008474E">
        <w:rPr>
          <w:lang w:val="en-US"/>
        </w:rPr>
      </w:r>
      <w:r w:rsidRPr="0008474E">
        <w:rPr>
          <w:lang w:val="en-US"/>
        </w:rPr>
        <w:fldChar w:fldCharType="separate"/>
      </w:r>
      <w:r w:rsidR="00AE4BA1">
        <w:rPr>
          <w:lang w:val="en-US"/>
        </w:rPr>
        <w:t>84</w:t>
      </w:r>
      <w:r w:rsidRPr="0008474E">
        <w:rPr>
          <w:lang w:val="en-US"/>
        </w:rPr>
        <w:fldChar w:fldCharType="end"/>
      </w:r>
      <w:r w:rsidRPr="0008474E">
        <w:rPr>
          <w:lang w:val="en-US"/>
        </w:rPr>
        <w:t>, at ch. 3, § 4.1.</w:t>
      </w:r>
    </w:p>
  </w:footnote>
  <w:footnote w:id="100">
    <w:p w14:paraId="333E2F7D" w14:textId="2A32BA2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The Danish Corporate Governance Code,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_Ref16195127 \h </w:instrText>
      </w:r>
      <w:r>
        <w:rPr>
          <w:lang w:val="en-US"/>
        </w:rPr>
        <w:instrText xml:space="preserve"> \* MERGEFORMAT </w:instrText>
      </w:r>
      <w:r w:rsidRPr="0008474E">
        <w:rPr>
          <w:lang w:val="en-US"/>
        </w:rPr>
      </w:r>
      <w:r w:rsidRPr="0008474E">
        <w:rPr>
          <w:lang w:val="en-US"/>
        </w:rPr>
        <w:fldChar w:fldCharType="separate"/>
      </w:r>
      <w:r w:rsidR="00AE4BA1">
        <w:rPr>
          <w:lang w:val="en-US"/>
        </w:rPr>
        <w:t>84</w:t>
      </w:r>
      <w:r w:rsidRPr="0008474E">
        <w:rPr>
          <w:lang w:val="en-US"/>
        </w:rPr>
        <w:fldChar w:fldCharType="end"/>
      </w:r>
      <w:r w:rsidRPr="0008474E">
        <w:rPr>
          <w:lang w:val="en-US"/>
        </w:rPr>
        <w:t>, at 3.1</w:t>
      </w:r>
      <w:r>
        <w:rPr>
          <w:lang w:val="en-US"/>
        </w:rPr>
        <w:t>.</w:t>
      </w:r>
    </w:p>
  </w:footnote>
  <w:footnote w:id="101">
    <w:p w14:paraId="73B09823" w14:textId="771C2309"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The Finnish Corporate Governance Code,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_Ref16195127 \h </w:instrText>
      </w:r>
      <w:r>
        <w:rPr>
          <w:lang w:val="en-US"/>
        </w:rPr>
        <w:instrText xml:space="preserve"> \* MERGEFORMAT </w:instrText>
      </w:r>
      <w:r w:rsidRPr="0008474E">
        <w:rPr>
          <w:lang w:val="en-US"/>
        </w:rPr>
      </w:r>
      <w:r w:rsidRPr="0008474E">
        <w:rPr>
          <w:lang w:val="en-US"/>
        </w:rPr>
        <w:fldChar w:fldCharType="separate"/>
      </w:r>
      <w:r w:rsidR="00AE4BA1">
        <w:rPr>
          <w:lang w:val="en-US"/>
        </w:rPr>
        <w:t>84</w:t>
      </w:r>
      <w:r w:rsidRPr="0008474E">
        <w:rPr>
          <w:lang w:val="en-US"/>
        </w:rPr>
        <w:fldChar w:fldCharType="end"/>
      </w:r>
      <w:r w:rsidRPr="0008474E">
        <w:rPr>
          <w:lang w:val="en-US"/>
        </w:rPr>
        <w:t>, at 24-25</w:t>
      </w:r>
      <w:r>
        <w:rPr>
          <w:lang w:val="en-US"/>
        </w:rPr>
        <w:t>.</w:t>
      </w:r>
    </w:p>
  </w:footnote>
  <w:footnote w:id="102">
    <w:p w14:paraId="58C96CBA" w14:textId="77B36CB3"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Norwegian Companies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xml:space="preserve">, at § 6.11a.  Norway imposes tough sanctions for breaching the gender quota law.  The Norwegian Companies Act of 1976 applies identical sanctions for breaching all of its rules, with forced dissolution as the final step if the company does not correct matters despite several warnings.  </w:t>
      </w:r>
      <w:r w:rsidRPr="0008474E">
        <w:rPr>
          <w:i/>
          <w:lang w:val="en-US"/>
        </w:rPr>
        <w:t>See</w:t>
      </w:r>
      <w:r w:rsidRPr="0008474E">
        <w:rPr>
          <w:lang w:val="en-US"/>
        </w:rPr>
        <w:t xml:space="preserve"> Ruth Mateos de Cabo, Siri Terjesen, Lorenzo Escot &amp; Ricardo Gimeno, </w:t>
      </w:r>
      <w:r w:rsidRPr="0008474E">
        <w:rPr>
          <w:i/>
          <w:lang w:val="en-US"/>
        </w:rPr>
        <w:t xml:space="preserve">Do </w:t>
      </w:r>
      <w:r>
        <w:rPr>
          <w:i/>
          <w:lang w:val="en-US"/>
        </w:rPr>
        <w:t>‘</w:t>
      </w:r>
      <w:r w:rsidRPr="0008474E">
        <w:rPr>
          <w:i/>
          <w:lang w:val="en-US"/>
        </w:rPr>
        <w:t>soft law</w:t>
      </w:r>
      <w:r>
        <w:rPr>
          <w:i/>
          <w:lang w:val="en-US"/>
        </w:rPr>
        <w:t>’</w:t>
      </w:r>
      <w:r w:rsidRPr="0008474E">
        <w:rPr>
          <w:i/>
          <w:lang w:val="en-US"/>
        </w:rPr>
        <w:t xml:space="preserve"> board gender quotas work?</w:t>
      </w:r>
      <w:r>
        <w:rPr>
          <w:i/>
          <w:lang w:val="en-US"/>
        </w:rPr>
        <w:t xml:space="preserve">  </w:t>
      </w:r>
      <w:r w:rsidRPr="0008474E">
        <w:rPr>
          <w:i/>
          <w:lang w:val="en-US"/>
        </w:rPr>
        <w:t>Evidence from a natural experiment</w:t>
      </w:r>
      <w:r w:rsidRPr="0008474E">
        <w:rPr>
          <w:lang w:val="en-US"/>
        </w:rPr>
        <w:t xml:space="preserve">, European Management Journal (Jan. 2019). </w:t>
      </w:r>
    </w:p>
  </w:footnote>
  <w:footnote w:id="103">
    <w:p w14:paraId="425CF8B5" w14:textId="395E062A"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Icelandic Public Limited Liability Companies Act,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_Ref16195002 \h </w:instrText>
      </w:r>
      <w:r>
        <w:rPr>
          <w:lang w:val="en-US"/>
        </w:rPr>
        <w:instrText xml:space="preserve"> \* MERGEFORMAT </w:instrText>
      </w:r>
      <w:r w:rsidRPr="0008474E">
        <w:rPr>
          <w:lang w:val="en-US"/>
        </w:rPr>
      </w:r>
      <w:r w:rsidRPr="0008474E">
        <w:rPr>
          <w:lang w:val="en-US"/>
        </w:rPr>
        <w:fldChar w:fldCharType="separate"/>
      </w:r>
      <w:r w:rsidR="00AE4BA1">
        <w:rPr>
          <w:lang w:val="en-US"/>
        </w:rPr>
        <w:t>83</w:t>
      </w:r>
      <w:r w:rsidRPr="0008474E">
        <w:rPr>
          <w:lang w:val="en-US"/>
        </w:rPr>
        <w:fldChar w:fldCharType="end"/>
      </w:r>
      <w:r w:rsidRPr="0008474E">
        <w:rPr>
          <w:lang w:val="en-US"/>
        </w:rPr>
        <w:t xml:space="preserve">, art. 63; Icelandic Private Limited Liability Companies Act, </w:t>
      </w:r>
      <w:r w:rsidRPr="0008474E">
        <w:rPr>
          <w:i/>
          <w:lang w:val="en-US"/>
        </w:rPr>
        <w:t>supra</w:t>
      </w:r>
      <w:r w:rsidRPr="0008474E">
        <w:rPr>
          <w:lang w:val="en-US"/>
        </w:rPr>
        <w:t xml:space="preserve"> note 279, art. 39. </w:t>
      </w:r>
    </w:p>
  </w:footnote>
  <w:footnote w:id="104">
    <w:p w14:paraId="03BE0921" w14:textId="671F4BE7" w:rsidR="00953C0F" w:rsidRPr="00203E75" w:rsidRDefault="00953C0F" w:rsidP="006902A2">
      <w:pPr>
        <w:pStyle w:val="FootnoteText"/>
        <w:rPr>
          <w:lang w:val="pt-BR"/>
        </w:rPr>
      </w:pPr>
      <w:r w:rsidRPr="0008474E">
        <w:rPr>
          <w:rStyle w:val="FootnoteReference"/>
          <w:lang w:val="en-US"/>
        </w:rPr>
        <w:footnoteRef/>
      </w:r>
      <w:r w:rsidRPr="0008474E">
        <w:rPr>
          <w:lang w:val="en-US"/>
        </w:rPr>
        <w:tab/>
      </w:r>
      <w:r w:rsidRPr="0008474E">
        <w:rPr>
          <w:i/>
          <w:lang w:val="en-US"/>
        </w:rPr>
        <w:t>Id</w:t>
      </w:r>
      <w:r w:rsidRPr="0008474E">
        <w:rPr>
          <w:lang w:val="en-US"/>
        </w:rPr>
        <w:t xml:space="preserve">. </w:t>
      </w:r>
      <w:r>
        <w:rPr>
          <w:lang w:val="en-US"/>
        </w:rPr>
        <w:t xml:space="preserve"> </w:t>
      </w:r>
      <w:r w:rsidRPr="0008474E">
        <w:rPr>
          <w:lang w:val="en-US"/>
        </w:rPr>
        <w:t xml:space="preserve">Icelandic law does not include sanctions for noncompliance, but new companies must follow the 40% gender balance regulation. </w:t>
      </w:r>
      <w:r>
        <w:rPr>
          <w:lang w:val="en-US"/>
        </w:rPr>
        <w:t xml:space="preserve"> </w:t>
      </w:r>
      <w:r w:rsidRPr="00203E75">
        <w:rPr>
          <w:i/>
          <w:lang w:val="pt-BR"/>
        </w:rPr>
        <w:t>See</w:t>
      </w:r>
      <w:r w:rsidRPr="00203E75">
        <w:rPr>
          <w:lang w:val="pt-BR"/>
        </w:rPr>
        <w:t xml:space="preserve"> Ruth Mateos de Cabo, Siri Terjesen, Lorenzo Escot &amp; Ricardo Gimeno, </w:t>
      </w:r>
      <w:r w:rsidRPr="00203E75">
        <w:rPr>
          <w:i/>
          <w:lang w:val="pt-BR"/>
        </w:rPr>
        <w:t xml:space="preserve">supra </w:t>
      </w:r>
      <w:r w:rsidRPr="00203E75">
        <w:rPr>
          <w:lang w:val="pt-BR"/>
        </w:rPr>
        <w:t xml:space="preserve">note </w:t>
      </w:r>
      <w:r w:rsidRPr="0008474E">
        <w:rPr>
          <w:lang w:val="en-US"/>
        </w:rPr>
        <w:fldChar w:fldCharType="begin"/>
      </w:r>
      <w:r w:rsidRPr="00203E75">
        <w:rPr>
          <w:lang w:val="pt-BR"/>
        </w:rPr>
        <w:instrText xml:space="preserve"> NOTEREF _Ref16195190 \h  \* MERGEFORMAT </w:instrText>
      </w:r>
      <w:r w:rsidRPr="0008474E">
        <w:rPr>
          <w:lang w:val="en-US"/>
        </w:rPr>
      </w:r>
      <w:r w:rsidRPr="0008474E">
        <w:rPr>
          <w:lang w:val="en-US"/>
        </w:rPr>
        <w:fldChar w:fldCharType="separate"/>
      </w:r>
      <w:r w:rsidR="00AE4BA1">
        <w:rPr>
          <w:lang w:val="pt-BR"/>
        </w:rPr>
        <w:t>101</w:t>
      </w:r>
      <w:r w:rsidRPr="0008474E">
        <w:rPr>
          <w:lang w:val="en-US"/>
        </w:rPr>
        <w:fldChar w:fldCharType="end"/>
      </w:r>
      <w:r w:rsidRPr="00203E75">
        <w:rPr>
          <w:lang w:val="pt-BR"/>
        </w:rPr>
        <w:t xml:space="preserve">. </w:t>
      </w:r>
    </w:p>
  </w:footnote>
  <w:footnote w:id="105">
    <w:p w14:paraId="2C70F48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w:t>
      </w:r>
      <w:r>
        <w:rPr>
          <w:lang w:val="en-US"/>
        </w:rPr>
        <w:t>a</w:t>
      </w:r>
      <w:r w:rsidRPr="0008474E">
        <w:rPr>
          <w:lang w:val="en-US"/>
        </w:rPr>
        <w:t>t 82, 100, 122, 212.</w:t>
      </w:r>
    </w:p>
  </w:footnote>
  <w:footnote w:id="106">
    <w:p w14:paraId="0460D794" w14:textId="36AFC42C"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World Econ. Forum, </w:t>
      </w:r>
      <w:r w:rsidRPr="0008474E">
        <w:rPr>
          <w:i/>
          <w:lang w:val="en-US"/>
        </w:rPr>
        <w:t>The Global Gender Gap Report</w:t>
      </w:r>
      <w:r w:rsidRPr="0008474E">
        <w:rPr>
          <w:lang w:val="en-US"/>
        </w:rPr>
        <w:t xml:space="preserve">,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_Ref17105537 \h </w:instrText>
      </w:r>
      <w:r>
        <w:rPr>
          <w:lang w:val="en-US"/>
        </w:rPr>
        <w:instrText xml:space="preserve"> \* MERGEFORMAT </w:instrText>
      </w:r>
      <w:r w:rsidRPr="0008474E">
        <w:rPr>
          <w:lang w:val="en-US"/>
        </w:rPr>
      </w:r>
      <w:r w:rsidRPr="0008474E">
        <w:rPr>
          <w:lang w:val="en-US"/>
        </w:rPr>
        <w:fldChar w:fldCharType="separate"/>
      </w:r>
      <w:r w:rsidR="00AE4BA1">
        <w:rPr>
          <w:lang w:val="en-US"/>
        </w:rPr>
        <w:t>104</w:t>
      </w:r>
      <w:r w:rsidRPr="0008474E">
        <w:rPr>
          <w:lang w:val="en-US"/>
        </w:rPr>
        <w:fldChar w:fldCharType="end"/>
      </w:r>
      <w:r w:rsidRPr="0008474E">
        <w:rPr>
          <w:lang w:val="en-US"/>
        </w:rPr>
        <w:t xml:space="preserve"> (2018), http://www3.weforum.org/docs/WEF_GGGR_2018.pdf.</w:t>
      </w:r>
    </w:p>
  </w:footnote>
  <w:footnote w:id="107">
    <w:p w14:paraId="123AECA9"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See</w:t>
      </w:r>
      <w:r w:rsidRPr="0008474E">
        <w:rPr>
          <w:lang w:val="en-US"/>
        </w:rPr>
        <w:t xml:space="preserve"> Katarina Pettersson &amp; Sigrid Hedin, </w:t>
      </w:r>
      <w:r w:rsidRPr="0008474E">
        <w:rPr>
          <w:i/>
          <w:lang w:val="en-US"/>
        </w:rPr>
        <w:t>Supporting Women</w:t>
      </w:r>
      <w:r>
        <w:rPr>
          <w:i/>
          <w:lang w:val="en-US"/>
        </w:rPr>
        <w:t>’</w:t>
      </w:r>
      <w:r w:rsidRPr="0008474E">
        <w:rPr>
          <w:i/>
          <w:lang w:val="en-US"/>
        </w:rPr>
        <w:t>s Entrepreneurship in the Nordic Countries – A Critical Analysis of National polices in a Gender perspective</w:t>
      </w:r>
      <w:r w:rsidRPr="0008474E">
        <w:rPr>
          <w:lang w:val="en-US"/>
        </w:rPr>
        <w:t>, Nordregio (June 21-23, 2010), http://archive.nordregio.se/Global/Research/1437_Paper_Gender%20Work%20and%20Organization_Keele.pdf (analyzing national state support programs for women</w:t>
      </w:r>
      <w:r>
        <w:rPr>
          <w:lang w:val="en-US"/>
        </w:rPr>
        <w:t>’</w:t>
      </w:r>
      <w:r w:rsidRPr="0008474E">
        <w:rPr>
          <w:lang w:val="en-US"/>
        </w:rPr>
        <w:t>s entrepreneurship in the Nordic countries).</w:t>
      </w:r>
    </w:p>
  </w:footnote>
  <w:footnote w:id="108">
    <w:p w14:paraId="7995C318"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Lord Davies of Abersoch et al., </w:t>
      </w:r>
      <w:r w:rsidRPr="0008474E">
        <w:rPr>
          <w:i/>
          <w:lang w:val="en-US"/>
        </w:rPr>
        <w:t>Women on Boards</w:t>
      </w:r>
      <w:r w:rsidRPr="0008474E">
        <w:rPr>
          <w:lang w:val="en-US"/>
        </w:rPr>
        <w:t xml:space="preserve"> 18-21 (2011), https://assets.publishing.service.gov.uk/government/uploads/system/uploads/attachment_data/file/31480/11-745-women-on-boards.pdf</w:t>
      </w:r>
      <w:r>
        <w:rPr>
          <w:lang w:val="en-US"/>
        </w:rPr>
        <w:t>.</w:t>
      </w:r>
    </w:p>
  </w:footnote>
  <w:footnote w:id="109">
    <w:p w14:paraId="016A564D"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Companies Act 2006, c. 46 (UK) [hereinafter, the UK Companies Act 2006], http://www.legislation.gov.uk/ukpga/2006/46/pdfs/ukpga_20060046_en.pdf; Fin. Reporting Council, </w:t>
      </w:r>
      <w:r w:rsidRPr="0008474E">
        <w:rPr>
          <w:i/>
          <w:lang w:val="en-US"/>
        </w:rPr>
        <w:t>UK Corporate Governance Code</w:t>
      </w:r>
      <w:r w:rsidRPr="0008474E">
        <w:rPr>
          <w:lang w:val="en-US"/>
        </w:rPr>
        <w:t xml:space="preserve"> (2018) [hereinafter the </w:t>
      </w:r>
      <w:r w:rsidRPr="0008474E">
        <w:rPr>
          <w:i/>
          <w:lang w:val="en-US"/>
        </w:rPr>
        <w:t>UK Corporate Governance Code</w:t>
      </w:r>
      <w:r w:rsidRPr="0008474E">
        <w:rPr>
          <w:lang w:val="en-US"/>
        </w:rPr>
        <w:t>]; Fin. Reporting Council</w:t>
      </w:r>
      <w:r w:rsidRPr="0008474E">
        <w:rPr>
          <w:smallCaps/>
          <w:lang w:val="en-US"/>
        </w:rPr>
        <w:t xml:space="preserve">, </w:t>
      </w:r>
      <w:r w:rsidRPr="0008474E">
        <w:rPr>
          <w:i/>
          <w:lang w:val="en-US"/>
        </w:rPr>
        <w:t>Guidance on Board Effectiveness</w:t>
      </w:r>
      <w:r w:rsidRPr="0008474E">
        <w:rPr>
          <w:smallCaps/>
          <w:lang w:val="en-US"/>
        </w:rPr>
        <w:t xml:space="preserve"> (</w:t>
      </w:r>
      <w:r w:rsidRPr="0008474E">
        <w:rPr>
          <w:lang w:val="en-US"/>
        </w:rPr>
        <w:t xml:space="preserve">2018) (UK) [hereinafter </w:t>
      </w:r>
      <w:r w:rsidRPr="0008474E">
        <w:rPr>
          <w:i/>
          <w:lang w:val="en-US"/>
        </w:rPr>
        <w:t>Guide on Board Effectiveness</w:t>
      </w:r>
      <w:r w:rsidRPr="0008474E">
        <w:rPr>
          <w:lang w:val="en-US"/>
        </w:rPr>
        <w:t>].</w:t>
      </w:r>
    </w:p>
  </w:footnote>
  <w:footnote w:id="110">
    <w:p w14:paraId="677D6EB5" w14:textId="10058B01"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UK Companies Act 2006,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_Ref16193939 \h </w:instrText>
      </w:r>
      <w:r>
        <w:rPr>
          <w:lang w:val="en-US"/>
        </w:rPr>
        <w:instrText xml:space="preserve"> \* MERGEFORMAT </w:instrText>
      </w:r>
      <w:r w:rsidRPr="0008474E">
        <w:rPr>
          <w:lang w:val="en-US"/>
        </w:rPr>
      </w:r>
      <w:r w:rsidRPr="0008474E">
        <w:rPr>
          <w:lang w:val="en-US"/>
        </w:rPr>
        <w:fldChar w:fldCharType="separate"/>
      </w:r>
      <w:r w:rsidR="00AE4BA1">
        <w:rPr>
          <w:lang w:val="en-US"/>
        </w:rPr>
        <w:t>108</w:t>
      </w:r>
      <w:r w:rsidRPr="0008474E">
        <w:rPr>
          <w:lang w:val="en-US"/>
        </w:rPr>
        <w:fldChar w:fldCharType="end"/>
      </w:r>
      <w:r>
        <w:rPr>
          <w:lang w:val="en-US"/>
        </w:rPr>
        <w:t>.</w:t>
      </w:r>
    </w:p>
  </w:footnote>
  <w:footnote w:id="111">
    <w:p w14:paraId="520D126F" w14:textId="3FB24FA0" w:rsidR="00953C0F" w:rsidRPr="00203E75" w:rsidRDefault="00953C0F" w:rsidP="006902A2">
      <w:pPr>
        <w:pStyle w:val="FootnoteText"/>
        <w:rPr>
          <w:lang w:val="pt-BR"/>
        </w:rPr>
      </w:pPr>
      <w:r w:rsidRPr="0008474E">
        <w:rPr>
          <w:rStyle w:val="FootnoteReference"/>
          <w:lang w:val="en-US"/>
        </w:rPr>
        <w:footnoteRef/>
      </w:r>
      <w:r w:rsidRPr="00203E75">
        <w:rPr>
          <w:lang w:val="pt-BR"/>
        </w:rPr>
        <w:tab/>
      </w:r>
      <w:r w:rsidRPr="00203E75">
        <w:rPr>
          <w:i/>
          <w:lang w:val="pt-BR"/>
        </w:rPr>
        <w:t>UK Corporate Governance Code</w:t>
      </w:r>
      <w:r w:rsidRPr="00203E75">
        <w:rPr>
          <w:lang w:val="pt-BR"/>
        </w:rPr>
        <w:t xml:space="preserve">, </w:t>
      </w:r>
      <w:r w:rsidRPr="00203E75">
        <w:rPr>
          <w:i/>
          <w:lang w:val="pt-BR"/>
        </w:rPr>
        <w:t>supra</w:t>
      </w:r>
      <w:r w:rsidRPr="00203E75">
        <w:rPr>
          <w:lang w:val="pt-BR"/>
        </w:rPr>
        <w:t xml:space="preserve"> note </w:t>
      </w:r>
      <w:r w:rsidRPr="0008474E">
        <w:rPr>
          <w:lang w:val="en-US"/>
        </w:rPr>
        <w:fldChar w:fldCharType="begin"/>
      </w:r>
      <w:r w:rsidRPr="00203E75">
        <w:rPr>
          <w:lang w:val="pt-BR"/>
        </w:rPr>
        <w:instrText xml:space="preserve"> NOTEREF _Ref16193939 \h  \* MERGEFORMAT </w:instrText>
      </w:r>
      <w:r w:rsidRPr="0008474E">
        <w:rPr>
          <w:lang w:val="en-US"/>
        </w:rPr>
      </w:r>
      <w:r w:rsidRPr="0008474E">
        <w:rPr>
          <w:lang w:val="en-US"/>
        </w:rPr>
        <w:fldChar w:fldCharType="separate"/>
      </w:r>
      <w:r w:rsidR="00AE4BA1">
        <w:rPr>
          <w:lang w:val="pt-BR"/>
        </w:rPr>
        <w:t>108</w:t>
      </w:r>
      <w:r w:rsidRPr="0008474E">
        <w:rPr>
          <w:lang w:val="en-US"/>
        </w:rPr>
        <w:fldChar w:fldCharType="end"/>
      </w:r>
      <w:r w:rsidRPr="00203E75">
        <w:rPr>
          <w:lang w:val="pt-BR"/>
        </w:rPr>
        <w:t>, ¶ 17.</w:t>
      </w:r>
    </w:p>
  </w:footnote>
  <w:footnote w:id="112">
    <w:p w14:paraId="5A891B37" w14:textId="36A571AF"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UK Companies Act 2006,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_Ref16193939 \h </w:instrText>
      </w:r>
      <w:r>
        <w:rPr>
          <w:lang w:val="en-US"/>
        </w:rPr>
        <w:instrText xml:space="preserve"> \* MERGEFORMAT </w:instrText>
      </w:r>
      <w:r w:rsidRPr="0008474E">
        <w:rPr>
          <w:lang w:val="en-US"/>
        </w:rPr>
      </w:r>
      <w:r w:rsidRPr="0008474E">
        <w:rPr>
          <w:lang w:val="en-US"/>
        </w:rPr>
        <w:fldChar w:fldCharType="separate"/>
      </w:r>
      <w:r w:rsidR="00AE4BA1">
        <w:rPr>
          <w:lang w:val="en-US"/>
        </w:rPr>
        <w:t>108</w:t>
      </w:r>
      <w:r w:rsidRPr="0008474E">
        <w:rPr>
          <w:lang w:val="en-US"/>
        </w:rPr>
        <w:fldChar w:fldCharType="end"/>
      </w:r>
      <w:r>
        <w:rPr>
          <w:lang w:val="en-US"/>
        </w:rPr>
        <w:t>.</w:t>
      </w:r>
    </w:p>
  </w:footnote>
  <w:footnote w:id="113">
    <w:p w14:paraId="58E60696" w14:textId="04072823" w:rsidR="00953C0F" w:rsidRPr="00203E75" w:rsidRDefault="00953C0F" w:rsidP="006902A2">
      <w:pPr>
        <w:pStyle w:val="FootnoteText"/>
        <w:rPr>
          <w:lang w:val="pt-BR"/>
        </w:rPr>
      </w:pPr>
      <w:r w:rsidRPr="0008474E">
        <w:rPr>
          <w:rStyle w:val="FootnoteReference"/>
          <w:lang w:val="en-US"/>
        </w:rPr>
        <w:footnoteRef/>
      </w:r>
      <w:r w:rsidRPr="00203E75">
        <w:rPr>
          <w:lang w:val="pt-BR"/>
        </w:rPr>
        <w:tab/>
      </w:r>
      <w:r w:rsidRPr="00203E75">
        <w:rPr>
          <w:i/>
          <w:lang w:val="pt-BR"/>
        </w:rPr>
        <w:t>UK Corporate Governance Code</w:t>
      </w:r>
      <w:r w:rsidRPr="00203E75">
        <w:rPr>
          <w:lang w:val="pt-BR"/>
        </w:rPr>
        <w:t xml:space="preserve">, </w:t>
      </w:r>
      <w:r w:rsidRPr="00203E75">
        <w:rPr>
          <w:i/>
          <w:lang w:val="pt-BR"/>
        </w:rPr>
        <w:t>supra</w:t>
      </w:r>
      <w:r w:rsidRPr="00203E75">
        <w:rPr>
          <w:lang w:val="pt-BR"/>
        </w:rPr>
        <w:t xml:space="preserve"> note </w:t>
      </w:r>
      <w:r w:rsidRPr="0008474E">
        <w:rPr>
          <w:lang w:val="en-US"/>
        </w:rPr>
        <w:fldChar w:fldCharType="begin"/>
      </w:r>
      <w:r w:rsidRPr="00203E75">
        <w:rPr>
          <w:lang w:val="pt-BR"/>
        </w:rPr>
        <w:instrText xml:space="preserve"> NOTEREF _Ref16193939 \h  \* MERGEFORMAT </w:instrText>
      </w:r>
      <w:r w:rsidRPr="0008474E">
        <w:rPr>
          <w:lang w:val="en-US"/>
        </w:rPr>
      </w:r>
      <w:r w:rsidRPr="0008474E">
        <w:rPr>
          <w:lang w:val="en-US"/>
        </w:rPr>
        <w:fldChar w:fldCharType="separate"/>
      </w:r>
      <w:r w:rsidR="00AE4BA1">
        <w:rPr>
          <w:lang w:val="pt-BR"/>
        </w:rPr>
        <w:t>108</w:t>
      </w:r>
      <w:r w:rsidRPr="0008474E">
        <w:rPr>
          <w:lang w:val="en-US"/>
        </w:rPr>
        <w:fldChar w:fldCharType="end"/>
      </w:r>
      <w:r w:rsidRPr="00203E75">
        <w:rPr>
          <w:lang w:val="pt-BR"/>
        </w:rPr>
        <w:t>, ¶ 18.</w:t>
      </w:r>
    </w:p>
  </w:footnote>
  <w:footnote w:id="114">
    <w:p w14:paraId="0B97A121" w14:textId="219B66DC"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UK Companies Act 2006,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_Ref16193939 \h </w:instrText>
      </w:r>
      <w:r>
        <w:rPr>
          <w:lang w:val="en-US"/>
        </w:rPr>
        <w:instrText xml:space="preserve"> \* MERGEFORMAT </w:instrText>
      </w:r>
      <w:r w:rsidRPr="0008474E">
        <w:rPr>
          <w:lang w:val="en-US"/>
        </w:rPr>
      </w:r>
      <w:r w:rsidRPr="0008474E">
        <w:rPr>
          <w:lang w:val="en-US"/>
        </w:rPr>
        <w:fldChar w:fldCharType="separate"/>
      </w:r>
      <w:r w:rsidR="00AE4BA1">
        <w:rPr>
          <w:lang w:val="en-US"/>
        </w:rPr>
        <w:t>108</w:t>
      </w:r>
      <w:r w:rsidRPr="0008474E">
        <w:rPr>
          <w:lang w:val="en-US"/>
        </w:rPr>
        <w:fldChar w:fldCharType="end"/>
      </w:r>
      <w:r w:rsidRPr="0008474E">
        <w:rPr>
          <w:lang w:val="en-US"/>
        </w:rPr>
        <w:t>, ¶ 168</w:t>
      </w:r>
      <w:r>
        <w:rPr>
          <w:lang w:val="en-US"/>
        </w:rPr>
        <w:t>.</w:t>
      </w:r>
    </w:p>
  </w:footnote>
  <w:footnote w:id="115">
    <w:p w14:paraId="530D3366" w14:textId="61C5DCD6"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UK Companies Act 2006,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_Ref16193939 \h </w:instrText>
      </w:r>
      <w:r>
        <w:rPr>
          <w:lang w:val="en-US"/>
        </w:rPr>
        <w:instrText xml:space="preserve"> \* MERGEFORMAT </w:instrText>
      </w:r>
      <w:r w:rsidRPr="0008474E">
        <w:rPr>
          <w:lang w:val="en-US"/>
        </w:rPr>
      </w:r>
      <w:r w:rsidRPr="0008474E">
        <w:rPr>
          <w:lang w:val="en-US"/>
        </w:rPr>
        <w:fldChar w:fldCharType="separate"/>
      </w:r>
      <w:r w:rsidR="00AE4BA1">
        <w:rPr>
          <w:lang w:val="en-US"/>
        </w:rPr>
        <w:t>108</w:t>
      </w:r>
      <w:r w:rsidRPr="0008474E">
        <w:rPr>
          <w:lang w:val="en-US"/>
        </w:rPr>
        <w:fldChar w:fldCharType="end"/>
      </w:r>
      <w:r>
        <w:rPr>
          <w:lang w:val="en-US"/>
        </w:rPr>
        <w:t>.</w:t>
      </w:r>
    </w:p>
  </w:footnote>
  <w:footnote w:id="116">
    <w:p w14:paraId="3C79A3AD" w14:textId="7EB5F28D"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Lord Davies of Abersoch et al.,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_Ref16193971 \h </w:instrText>
      </w:r>
      <w:r>
        <w:rPr>
          <w:lang w:val="en-US"/>
        </w:rPr>
        <w:instrText xml:space="preserve"> \* MERGEFORMAT </w:instrText>
      </w:r>
      <w:r w:rsidRPr="0008474E">
        <w:rPr>
          <w:lang w:val="en-US"/>
        </w:rPr>
      </w:r>
      <w:r w:rsidRPr="0008474E">
        <w:rPr>
          <w:lang w:val="en-US"/>
        </w:rPr>
        <w:fldChar w:fldCharType="separate"/>
      </w:r>
      <w:r w:rsidR="00AE4BA1">
        <w:rPr>
          <w:lang w:val="en-US"/>
        </w:rPr>
        <w:t>107</w:t>
      </w:r>
      <w:r w:rsidRPr="0008474E">
        <w:rPr>
          <w:lang w:val="en-US"/>
        </w:rPr>
        <w:fldChar w:fldCharType="end"/>
      </w:r>
      <w:r w:rsidRPr="0008474E">
        <w:rPr>
          <w:lang w:val="en-US"/>
        </w:rPr>
        <w:t xml:space="preserve">; Susan Vinnicombe et al., </w:t>
      </w:r>
      <w:r w:rsidRPr="0008474E">
        <w:rPr>
          <w:i/>
          <w:lang w:val="en-US"/>
        </w:rPr>
        <w:t>Women On Boards: Back On Track?: The Female FTSE Board Report 2017</w:t>
      </w:r>
      <w:r w:rsidRPr="0008474E">
        <w:rPr>
          <w:lang w:val="en-US"/>
        </w:rPr>
        <w:t>, at</w:t>
      </w:r>
      <w:r w:rsidRPr="0008474E">
        <w:rPr>
          <w:i/>
          <w:lang w:val="en-US"/>
        </w:rPr>
        <w:t xml:space="preserve"> </w:t>
      </w:r>
      <w:r w:rsidRPr="0008474E">
        <w:rPr>
          <w:lang w:val="en-US"/>
        </w:rPr>
        <w:t>1-4 (2017), https://www.cranfield.ac.uk/som/expertise/changing-world-of-work/gender-and-leadership/female-ftse-index (access link at The Female FTSE Board Report 2017).</w:t>
      </w:r>
    </w:p>
  </w:footnote>
  <w:footnote w:id="117">
    <w:p w14:paraId="2188F299" w14:textId="2527123F"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OECD statistics (2017),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_Ref16194137 \h </w:instrText>
      </w:r>
      <w:r>
        <w:rPr>
          <w:lang w:val="en-US"/>
        </w:rPr>
        <w:instrText xml:space="preserve"> \* MERGEFORMAT </w:instrText>
      </w:r>
      <w:r w:rsidRPr="0008474E">
        <w:rPr>
          <w:lang w:val="en-US"/>
        </w:rPr>
      </w:r>
      <w:r w:rsidRPr="0008474E">
        <w:rPr>
          <w:lang w:val="en-US"/>
        </w:rPr>
        <w:fldChar w:fldCharType="separate"/>
      </w:r>
      <w:r w:rsidR="00AE4BA1">
        <w:rPr>
          <w:lang w:val="en-US"/>
        </w:rPr>
        <w:t>315</w:t>
      </w:r>
      <w:r w:rsidRPr="0008474E">
        <w:rPr>
          <w:lang w:val="en-US"/>
        </w:rPr>
        <w:fldChar w:fldCharType="end"/>
      </w:r>
      <w:r w:rsidRPr="0008474E">
        <w:rPr>
          <w:lang w:val="en-US"/>
        </w:rPr>
        <w:t>.</w:t>
      </w:r>
      <w:r>
        <w:rPr>
          <w:lang w:val="en-US"/>
        </w:rPr>
        <w:t xml:space="preserve"> </w:t>
      </w:r>
      <w:r w:rsidRPr="0008474E">
        <w:rPr>
          <w:lang w:val="en-US"/>
        </w:rPr>
        <w:t xml:space="preserve"> The proportion of women on boards of publicly listed companies in the UK has increased from 13.3% to 27.2% between 2010 and 2016.</w:t>
      </w:r>
    </w:p>
  </w:footnote>
  <w:footnote w:id="118">
    <w:p w14:paraId="1DCFADC1" w14:textId="66F3BAA6"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Lord Davies of Abersoch et al.,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_Ref16193971 \h </w:instrText>
      </w:r>
      <w:r>
        <w:rPr>
          <w:lang w:val="en-US"/>
        </w:rPr>
        <w:instrText xml:space="preserve"> \* MERGEFORMAT </w:instrText>
      </w:r>
      <w:r w:rsidRPr="0008474E">
        <w:rPr>
          <w:lang w:val="en-US"/>
        </w:rPr>
      </w:r>
      <w:r w:rsidRPr="0008474E">
        <w:rPr>
          <w:lang w:val="en-US"/>
        </w:rPr>
        <w:fldChar w:fldCharType="separate"/>
      </w:r>
      <w:r w:rsidR="00AE4BA1">
        <w:rPr>
          <w:lang w:val="en-US"/>
        </w:rPr>
        <w:t>107</w:t>
      </w:r>
      <w:r w:rsidRPr="0008474E">
        <w:rPr>
          <w:lang w:val="en-US"/>
        </w:rPr>
        <w:fldChar w:fldCharType="end"/>
      </w:r>
      <w:r w:rsidRPr="0008474E">
        <w:rPr>
          <w:lang w:val="en-US"/>
        </w:rPr>
        <w:t>, at 18-21.</w:t>
      </w:r>
    </w:p>
  </w:footnote>
  <w:footnote w:id="119">
    <w:p w14:paraId="4349743E" w14:textId="2F4C6240" w:rsidR="00953C0F" w:rsidRPr="00203E75" w:rsidRDefault="00953C0F" w:rsidP="006902A2">
      <w:pPr>
        <w:pStyle w:val="FootnoteText"/>
        <w:rPr>
          <w:lang w:val="pt-BR"/>
        </w:rPr>
      </w:pPr>
      <w:r w:rsidRPr="0008474E">
        <w:rPr>
          <w:rStyle w:val="FootnoteReference"/>
          <w:lang w:val="en-US"/>
        </w:rPr>
        <w:footnoteRef/>
      </w:r>
      <w:r w:rsidRPr="00203E75">
        <w:rPr>
          <w:lang w:val="pt-BR"/>
        </w:rPr>
        <w:tab/>
      </w:r>
      <w:r w:rsidRPr="00203E75">
        <w:rPr>
          <w:i/>
          <w:lang w:val="pt-BR"/>
        </w:rPr>
        <w:t>UK Corporate Governance Code</w:t>
      </w:r>
      <w:r w:rsidRPr="00203E75">
        <w:rPr>
          <w:lang w:val="pt-BR"/>
        </w:rPr>
        <w:t xml:space="preserve">, </w:t>
      </w:r>
      <w:r w:rsidRPr="00203E75">
        <w:rPr>
          <w:i/>
          <w:lang w:val="pt-BR"/>
        </w:rPr>
        <w:t>supra</w:t>
      </w:r>
      <w:r w:rsidRPr="00203E75">
        <w:rPr>
          <w:lang w:val="pt-BR"/>
        </w:rPr>
        <w:t xml:space="preserve"> note </w:t>
      </w:r>
      <w:r w:rsidRPr="0008474E">
        <w:rPr>
          <w:lang w:val="en-US"/>
        </w:rPr>
        <w:fldChar w:fldCharType="begin"/>
      </w:r>
      <w:r w:rsidRPr="00203E75">
        <w:rPr>
          <w:lang w:val="pt-BR"/>
        </w:rPr>
        <w:instrText xml:space="preserve"> NOTEREF _Ref16193939 \h  \* MERGEFORMAT </w:instrText>
      </w:r>
      <w:r w:rsidRPr="0008474E">
        <w:rPr>
          <w:lang w:val="en-US"/>
        </w:rPr>
      </w:r>
      <w:r w:rsidRPr="0008474E">
        <w:rPr>
          <w:lang w:val="en-US"/>
        </w:rPr>
        <w:fldChar w:fldCharType="separate"/>
      </w:r>
      <w:r w:rsidR="00AE4BA1">
        <w:rPr>
          <w:lang w:val="pt-BR"/>
        </w:rPr>
        <w:t>108</w:t>
      </w:r>
      <w:r w:rsidRPr="0008474E">
        <w:rPr>
          <w:lang w:val="en-US"/>
        </w:rPr>
        <w:fldChar w:fldCharType="end"/>
      </w:r>
      <w:r w:rsidRPr="00203E75">
        <w:rPr>
          <w:lang w:val="pt-BR"/>
        </w:rPr>
        <w:t>, ¶ 23.</w:t>
      </w:r>
    </w:p>
  </w:footnote>
  <w:footnote w:id="120">
    <w:p w14:paraId="73FD5206"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Sir Philip Hampton et al., Hampton-Alexander Review, </w:t>
      </w:r>
      <w:r w:rsidRPr="0008474E">
        <w:rPr>
          <w:i/>
          <w:lang w:val="en-US"/>
        </w:rPr>
        <w:t>FTSE Women Leaders: Improving Gender Balance in FTSE Leadership</w:t>
      </w:r>
      <w:r w:rsidRPr="0008474E">
        <w:rPr>
          <w:lang w:val="en-US"/>
        </w:rPr>
        <w:t xml:space="preserve"> </w:t>
      </w:r>
      <w:r w:rsidRPr="0008474E">
        <w:rPr>
          <w:smallCaps/>
          <w:lang w:val="en-US"/>
        </w:rPr>
        <w:t>8-9</w:t>
      </w:r>
      <w:r w:rsidRPr="0008474E">
        <w:rPr>
          <w:lang w:val="en-US"/>
        </w:rPr>
        <w:t xml:space="preserve"> (2017), https://ftsewomenleaders.com/wp-content/uploads/2017/11/Hampton_Alexander_Review_Report_FINAL_8.11.17.pdf.</w:t>
      </w:r>
    </w:p>
  </w:footnote>
  <w:footnote w:id="121">
    <w:p w14:paraId="5840B8C6"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Sir John Parker, The Parker Review Comm., </w:t>
      </w:r>
      <w:r w:rsidRPr="0008474E">
        <w:rPr>
          <w:i/>
          <w:lang w:val="en-US"/>
        </w:rPr>
        <w:t>A Report into the Ethnic Diversity of UK Boards</w:t>
      </w:r>
      <w:r w:rsidRPr="0008474E">
        <w:rPr>
          <w:lang w:val="en-US"/>
        </w:rPr>
        <w:t xml:space="preserve"> 7 (2017), http://www.ey.com/Publication/vwLUAssets/The_Parker_Review/$FILE/EY-Parker-Review-2017-FINAL%20REPORT.pdf.</w:t>
      </w:r>
    </w:p>
  </w:footnote>
  <w:footnote w:id="122">
    <w:p w14:paraId="45FD62DD"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Press Release, Inv. Ass</w:t>
      </w:r>
      <w:r>
        <w:rPr>
          <w:lang w:val="en-US"/>
        </w:rPr>
        <w:t>’</w:t>
      </w:r>
      <w:r w:rsidRPr="0008474E">
        <w:rPr>
          <w:lang w:val="en-US"/>
        </w:rPr>
        <w:t>n, One in Five FTSE Companies Are F</w:t>
      </w:r>
      <w:r>
        <w:rPr>
          <w:lang w:val="en-US"/>
        </w:rPr>
        <w:t>ailing on Gender Diversity (Mar.</w:t>
      </w:r>
      <w:r w:rsidRPr="0008474E">
        <w:rPr>
          <w:lang w:val="en-US"/>
        </w:rPr>
        <w:t xml:space="preserve"> 15, 2019), https://www.theia.org/media/press-releases/one-five-ftse-companies-are-failing-gender-diversity.</w:t>
      </w:r>
    </w:p>
  </w:footnote>
  <w:footnote w:id="123">
    <w:p w14:paraId="24C69772" w14:textId="026AA4C9" w:rsidR="00953C0F" w:rsidRPr="0008474E" w:rsidRDefault="00953C0F" w:rsidP="006902A2">
      <w:pPr>
        <w:pStyle w:val="FootnoteText"/>
        <w:rPr>
          <w:lang w:val="en-US"/>
        </w:rPr>
      </w:pPr>
      <w:r w:rsidRPr="0008474E">
        <w:rPr>
          <w:rStyle w:val="FootnoteReference"/>
          <w:lang w:val="en-US"/>
        </w:rPr>
        <w:footnoteRef/>
      </w:r>
      <w:r w:rsidRPr="0008474E">
        <w:rPr>
          <w:lang w:val="en-US"/>
        </w:rPr>
        <w:tab/>
        <w:t>It is worth mentioning that the naming and shaming is not always effective.  As reported in the Fina</w:t>
      </w:r>
      <w:r>
        <w:rPr>
          <w:lang w:val="en-US"/>
        </w:rPr>
        <w:t>ncial Times on Apr.</w:t>
      </w:r>
      <w:r w:rsidRPr="0008474E">
        <w:rPr>
          <w:lang w:val="en-US"/>
        </w:rPr>
        <w:t xml:space="preserve"> 23, 2019, </w:t>
      </w:r>
      <w:r w:rsidRPr="00203E75">
        <w:rPr>
          <w:i/>
          <w:lang w:val="en-US"/>
        </w:rPr>
        <w:t>“</w:t>
      </w:r>
      <w:r w:rsidRPr="0008474E">
        <w:rPr>
          <w:lang w:val="en-US"/>
        </w:rPr>
        <w:t>[t]he UK</w:t>
      </w:r>
      <w:r>
        <w:rPr>
          <w:lang w:val="en-US"/>
        </w:rPr>
        <w:t>’</w:t>
      </w:r>
      <w:r w:rsidRPr="0008474E">
        <w:rPr>
          <w:lang w:val="en-US"/>
        </w:rPr>
        <w:t xml:space="preserve">s gender pay gap has barely budged in the year since the government imposed new disclosure rules, raising questions over </w:t>
      </w:r>
      <w:r>
        <w:rPr>
          <w:lang w:val="en-US"/>
        </w:rPr>
        <w:t>whether its strategy of naming and shaming employers makes them improve their gender pay balance.</w:t>
      </w:r>
      <w:r w:rsidRPr="00203E75">
        <w:rPr>
          <w:i/>
          <w:lang w:val="en-US"/>
        </w:rPr>
        <w:t>”</w:t>
      </w:r>
      <w:r>
        <w:rPr>
          <w:lang w:val="en-US"/>
        </w:rPr>
        <w:t xml:space="preserve">  </w:t>
      </w:r>
      <w:r w:rsidRPr="0008474E">
        <w:rPr>
          <w:i/>
          <w:lang w:val="en-US"/>
        </w:rPr>
        <w:t>Gender Pay Gap: Women Still Short-Changed in the UK</w:t>
      </w:r>
      <w:r>
        <w:rPr>
          <w:lang w:val="en-US"/>
        </w:rPr>
        <w:t>, Fin. Times (April</w:t>
      </w:r>
      <w:r w:rsidRPr="0008474E">
        <w:rPr>
          <w:lang w:val="en-US"/>
        </w:rPr>
        <w:t xml:space="preserve"> 21, 2019), https://ig.ft.com/gender-pay-gap-UK-2019/.</w:t>
      </w:r>
    </w:p>
  </w:footnote>
  <w:footnote w:id="124">
    <w:p w14:paraId="71ACBE1D"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Pr>
          <w:lang w:val="en-US"/>
        </w:rPr>
        <w:tab/>
      </w:r>
      <w:r w:rsidRPr="0008474E">
        <w:rPr>
          <w:lang w:val="en-US"/>
        </w:rPr>
        <w:t>Press Release, Inv. Ass</w:t>
      </w:r>
      <w:r>
        <w:rPr>
          <w:lang w:val="en-US"/>
        </w:rPr>
        <w:t>’</w:t>
      </w:r>
      <w:r w:rsidRPr="0008474E">
        <w:rPr>
          <w:lang w:val="en-US"/>
        </w:rPr>
        <w:t>n, One in Five FTSE Companies Are F</w:t>
      </w:r>
      <w:r>
        <w:rPr>
          <w:lang w:val="en-US"/>
        </w:rPr>
        <w:t>ailing on Gender Diversity (Mar.</w:t>
      </w:r>
      <w:r w:rsidRPr="0008474E">
        <w:rPr>
          <w:lang w:val="en-US"/>
        </w:rPr>
        <w:t xml:space="preserve"> 15, 2019), https://www.theia.org/media/press-releases/one-five-ftse-companies-are-failing-gender-diversity.</w:t>
      </w:r>
    </w:p>
  </w:footnote>
  <w:footnote w:id="125">
    <w:p w14:paraId="0B06463D"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Fin. Reporting Council, </w:t>
      </w:r>
      <w:r w:rsidRPr="0008474E">
        <w:rPr>
          <w:i/>
          <w:lang w:val="en-US"/>
        </w:rPr>
        <w:t>Board Diversity Reporting</w:t>
      </w:r>
      <w:r w:rsidRPr="0008474E">
        <w:rPr>
          <w:lang w:val="en-US"/>
        </w:rPr>
        <w:t xml:space="preserve"> 1 (2018) (UK), https://www.frc.org.uk/getattachment/62202e7d-064c-4026-bd19-f9ac9591fe19/Board-Diversity-Reporting-September-2018.pdf.</w:t>
      </w:r>
    </w:p>
  </w:footnote>
  <w:footnote w:id="126">
    <w:p w14:paraId="0AC154A0" w14:textId="2061F2F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Citing Lord Davies of Abersoch et al.,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_Ref16193971 \h </w:instrText>
      </w:r>
      <w:r>
        <w:rPr>
          <w:lang w:val="en-US"/>
        </w:rPr>
        <w:instrText xml:space="preserve"> \* MERGEFORMAT </w:instrText>
      </w:r>
      <w:r w:rsidRPr="0008474E">
        <w:rPr>
          <w:lang w:val="en-US"/>
        </w:rPr>
      </w:r>
      <w:r w:rsidRPr="0008474E">
        <w:rPr>
          <w:lang w:val="en-US"/>
        </w:rPr>
        <w:fldChar w:fldCharType="separate"/>
      </w:r>
      <w:r w:rsidR="00AE4BA1">
        <w:rPr>
          <w:lang w:val="en-US"/>
        </w:rPr>
        <w:t>107</w:t>
      </w:r>
      <w:r w:rsidRPr="0008474E">
        <w:rPr>
          <w:lang w:val="en-US"/>
        </w:rPr>
        <w:fldChar w:fldCharType="end"/>
      </w:r>
      <w:r w:rsidRPr="0008474E">
        <w:rPr>
          <w:lang w:val="en-US"/>
        </w:rPr>
        <w:t>.</w:t>
      </w:r>
    </w:p>
  </w:footnote>
  <w:footnote w:id="127">
    <w:p w14:paraId="35D83606"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Citing Sir Philip Hampton et al., Hampton-Alexander Review, </w:t>
      </w:r>
      <w:r w:rsidRPr="0008474E">
        <w:rPr>
          <w:i/>
          <w:lang w:val="en-US"/>
        </w:rPr>
        <w:t>FTSE Women Leaders: Improving Gender Balance in FTSE Leadership</w:t>
      </w:r>
      <w:r w:rsidRPr="0008474E">
        <w:rPr>
          <w:lang w:val="en-US"/>
        </w:rPr>
        <w:t xml:space="preserve"> (2016), https://assets.publishing.service.gov.uk/government/uploads/system/uploads/attachment_data/file/613085/ftse-women-leaders-hampton-alexander-review.pdf.</w:t>
      </w:r>
    </w:p>
  </w:footnote>
  <w:footnote w:id="128">
    <w:p w14:paraId="429D4AFD"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Citing Susan Vinnicombe et al., </w:t>
      </w:r>
      <w:r w:rsidRPr="0008474E">
        <w:rPr>
          <w:i/>
          <w:lang w:val="en-US"/>
        </w:rPr>
        <w:t>The Female FTSE Report 2018: Busy Going Nowhere with the Female Executive Pipeline</w:t>
      </w:r>
      <w:r w:rsidRPr="0008474E">
        <w:rPr>
          <w:lang w:val="en-US"/>
        </w:rPr>
        <w:t xml:space="preserve"> (2018), http://business-school.exeter.ac.uk/media/universityofexeter/businessschool/documents/research/Female_FTSE_Report_2018.pdf.</w:t>
      </w:r>
    </w:p>
  </w:footnote>
  <w:footnote w:id="129">
    <w:p w14:paraId="27529857" w14:textId="77777777" w:rsidR="00953C0F" w:rsidRPr="002E5273" w:rsidRDefault="00953C0F" w:rsidP="006902A2">
      <w:pPr>
        <w:pStyle w:val="FootnoteText"/>
        <w:rPr>
          <w:lang w:val="en-US"/>
        </w:rPr>
      </w:pPr>
      <w:r>
        <w:rPr>
          <w:rStyle w:val="FootnoteReference"/>
        </w:rPr>
        <w:footnoteRef/>
      </w:r>
      <w:r>
        <w:t xml:space="preserve"> </w:t>
      </w:r>
      <w:r>
        <w:rPr>
          <w:lang w:val="en-US"/>
        </w:rPr>
        <w:tab/>
      </w:r>
      <w:r w:rsidRPr="00660D98">
        <w:rPr>
          <w:lang w:val="en-US"/>
        </w:rPr>
        <w:t>https://30percentclub.org/</w:t>
      </w:r>
      <w:r>
        <w:rPr>
          <w:lang w:val="en-US"/>
        </w:rPr>
        <w:t xml:space="preserve"> (viewed in October 2019).</w:t>
      </w:r>
    </w:p>
  </w:footnote>
  <w:footnote w:id="130">
    <w:p w14:paraId="26AAFF93" w14:textId="68B2ACAB"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Citing Susan Vinnicombe et al.,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_Ref16194203 \h </w:instrText>
      </w:r>
      <w:r>
        <w:rPr>
          <w:lang w:val="en-US"/>
        </w:rPr>
        <w:instrText xml:space="preserve"> \* MERGEFORMAT </w:instrText>
      </w:r>
      <w:r w:rsidRPr="0008474E">
        <w:rPr>
          <w:lang w:val="en-US"/>
        </w:rPr>
      </w:r>
      <w:r w:rsidRPr="0008474E">
        <w:rPr>
          <w:lang w:val="en-US"/>
        </w:rPr>
        <w:fldChar w:fldCharType="separate"/>
      </w:r>
      <w:r w:rsidR="00AE4BA1">
        <w:rPr>
          <w:lang w:val="en-US"/>
        </w:rPr>
        <w:t>115</w:t>
      </w:r>
      <w:r w:rsidRPr="0008474E">
        <w:rPr>
          <w:lang w:val="en-US"/>
        </w:rPr>
        <w:fldChar w:fldCharType="end"/>
      </w:r>
      <w:r w:rsidRPr="0008474E">
        <w:rPr>
          <w:lang w:val="en-US"/>
        </w:rPr>
        <w:t>.</w:t>
      </w:r>
    </w:p>
  </w:footnote>
  <w:footnote w:id="131">
    <w:p w14:paraId="091B6633" w14:textId="77777777" w:rsidR="00953C0F" w:rsidRPr="00907C35" w:rsidRDefault="00953C0F" w:rsidP="006902A2">
      <w:pPr>
        <w:pStyle w:val="FootnoteText"/>
        <w:rPr>
          <w:lang w:val="fr-FR"/>
        </w:rPr>
      </w:pPr>
      <w:r w:rsidRPr="0008474E">
        <w:rPr>
          <w:rStyle w:val="FootnoteReference"/>
          <w:lang w:val="en-US"/>
        </w:rPr>
        <w:footnoteRef/>
      </w:r>
      <w:r w:rsidRPr="00907C35">
        <w:rPr>
          <w:lang w:val="fr-FR"/>
        </w:rPr>
        <w:tab/>
      </w:r>
      <w:r w:rsidRPr="00907C35">
        <w:rPr>
          <w:i/>
          <w:lang w:val="fr-FR"/>
        </w:rPr>
        <w:t>Code des</w:t>
      </w:r>
      <w:r w:rsidRPr="0008474E">
        <w:rPr>
          <w:i/>
          <w:lang w:val="fr-FR"/>
        </w:rPr>
        <w:t xml:space="preserve"> Sociétés</w:t>
      </w:r>
      <w:r w:rsidRPr="00907C35">
        <w:rPr>
          <w:lang w:val="fr-FR"/>
        </w:rPr>
        <w:t xml:space="preserve">, </w:t>
      </w:r>
      <w:r w:rsidRPr="00907C35">
        <w:rPr>
          <w:i/>
          <w:lang w:val="fr-FR"/>
        </w:rPr>
        <w:t>Royaume de Belgique</w:t>
      </w:r>
      <w:r w:rsidRPr="00907C35">
        <w:rPr>
          <w:lang w:val="fr-FR"/>
        </w:rPr>
        <w:t xml:space="preserve"> [Belgian Companies Code], http://www.ejustice.just.fgov.be/cgi_loi/loi_a1.pl?DETAIL=1999050769%2FF&amp;caller=list&amp;row_id=1&amp;numero=1&amp;rech=2&amp;cn=1999050769&amp;table_name=LOI&amp;nm=1999A09646&amp;la=F&amp;dt=CODE+DES+SOCIETES&amp;language=fr&amp;fr=f&amp;choix1=ET&amp;choix2=ET&amp;fromtab=loi_all&amp;trier=promulgation&amp;chercher=t&amp;sql=dt+contains++%27CODE%27%26+%27DES%27%26+%27SOCIETES%27and+actif+%3D+%27Y%27&amp;tri=dd+AS+RANK+&amp;imgcn.x=34&amp;imgcn.y=8 [in French].</w:t>
      </w:r>
    </w:p>
  </w:footnote>
  <w:footnote w:id="132">
    <w:p w14:paraId="7B2C640D"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The CCA has been adopted by a law of March 23, 2019, published on April 4, 2019.  </w:t>
      </w:r>
      <w:r w:rsidRPr="00907C35">
        <w:rPr>
          <w:i/>
          <w:lang w:val="fr-FR"/>
        </w:rPr>
        <w:t>23 Mars 2019: Loi introduisant le Code des sociétés et des associations et portant des dispositions diverses</w:t>
      </w:r>
      <w:r w:rsidRPr="00907C35">
        <w:rPr>
          <w:lang w:val="fr-FR"/>
        </w:rPr>
        <w:t xml:space="preserve"> (Apr. 4, 2019), http://www.ejustice.just.fgov.be/cgi_loi/change_lg.pl?language=fr&amp;la=F&amp;table_name=loi&amp;cn=2019032306 [in French].  </w:t>
      </w:r>
      <w:r w:rsidRPr="0008474E">
        <w:rPr>
          <w:lang w:val="en-US"/>
        </w:rPr>
        <w:t>The CCA can be found at: http://www.ejustice.just.fgov.be/cgi_loi/change_lg.pl?language=fr&amp;la=F&amp;table_name=loi&amp;cn=2019032309 [in French].</w:t>
      </w:r>
      <w:r w:rsidRPr="0008474E">
        <w:rPr>
          <w:lang w:val="en-US"/>
        </w:rPr>
        <w:br/>
      </w:r>
      <w:r w:rsidRPr="0008474E">
        <w:rPr>
          <w:lang w:val="en-US"/>
        </w:rPr>
        <w:br/>
        <w:t xml:space="preserve">Companies and associations in existence as at May 1, 2019 have until January 1, 2024 to update their bylaws to comply with the new Code.  EY, </w:t>
      </w:r>
      <w:r w:rsidRPr="0008474E">
        <w:rPr>
          <w:i/>
          <w:lang w:val="en-US"/>
        </w:rPr>
        <w:t>Global Tax Alert: Belgium Parliament Approves New Code on Companies and Associations</w:t>
      </w:r>
      <w:r w:rsidRPr="0008474E">
        <w:rPr>
          <w:lang w:val="en-US"/>
        </w:rPr>
        <w:t xml:space="preserve"> 1 (2019), https://www.ey.com/Publication/vwLUAssets/Belgium_Parliament_approves_new_Code_on_Companies_and_Associations/$FILE/2019G_000886-19Gbl_Belgium%20-%20New%20Code%20on%20Companies%20and%20Associations.pdf.  For a broad overview of the CCA, </w:t>
      </w:r>
      <w:r w:rsidRPr="0008474E">
        <w:rPr>
          <w:i/>
          <w:lang w:val="en-US"/>
        </w:rPr>
        <w:t>see</w:t>
      </w:r>
      <w:r w:rsidRPr="0008474E">
        <w:rPr>
          <w:lang w:val="en-US"/>
        </w:rPr>
        <w:t xml:space="preserve"> EY, </w:t>
      </w:r>
      <w:r w:rsidRPr="0008474E">
        <w:rPr>
          <w:i/>
          <w:lang w:val="en-US"/>
        </w:rPr>
        <w:t>id.</w:t>
      </w:r>
    </w:p>
  </w:footnote>
  <w:footnote w:id="133">
    <w:p w14:paraId="71074965" w14:textId="77777777" w:rsidR="00953C0F" w:rsidRPr="0008474E" w:rsidRDefault="00953C0F" w:rsidP="006902A2">
      <w:pPr>
        <w:pStyle w:val="FootnoteText"/>
        <w:rPr>
          <w:szCs w:val="16"/>
          <w:lang w:val="en-US"/>
        </w:rPr>
      </w:pPr>
      <w:r w:rsidRPr="0008474E">
        <w:rPr>
          <w:rStyle w:val="FootnoteReference"/>
          <w:szCs w:val="16"/>
          <w:lang w:val="en-US"/>
        </w:rPr>
        <w:footnoteRef/>
      </w:r>
      <w:r w:rsidRPr="0008474E">
        <w:rPr>
          <w:szCs w:val="16"/>
          <w:lang w:val="en-US"/>
        </w:rPr>
        <w:tab/>
      </w:r>
      <w:r w:rsidRPr="0008474E">
        <w:rPr>
          <w:i/>
          <w:szCs w:val="16"/>
          <w:lang w:val="en-US"/>
        </w:rPr>
        <w:t>The 2009 Belgian Code on Corporate Governance</w:t>
      </w:r>
      <w:r w:rsidRPr="0008474E">
        <w:rPr>
          <w:szCs w:val="16"/>
          <w:lang w:val="en-US"/>
        </w:rPr>
        <w:t xml:space="preserve">, </w:t>
      </w:r>
      <w:r>
        <w:rPr>
          <w:szCs w:val="16"/>
          <w:lang w:val="en-US"/>
        </w:rPr>
        <w:t>Corp. Governance Committee (Mar.</w:t>
      </w:r>
      <w:r w:rsidRPr="0008474E">
        <w:rPr>
          <w:szCs w:val="16"/>
          <w:lang w:val="en-US"/>
        </w:rPr>
        <w:t xml:space="preserve"> 12, 2009), https://www.corporategovernancecommittee.be/sites/default/files/generated/files/page/corporategovukcode2009.pdf.</w:t>
      </w:r>
    </w:p>
  </w:footnote>
  <w:footnote w:id="134">
    <w:p w14:paraId="3F979F81" w14:textId="77777777" w:rsidR="00953C0F" w:rsidRPr="0075396B" w:rsidRDefault="00953C0F" w:rsidP="006902A2">
      <w:pPr>
        <w:pStyle w:val="FootnoteText"/>
        <w:rPr>
          <w:sz w:val="20"/>
          <w:lang w:val="en-US"/>
        </w:rPr>
      </w:pPr>
      <w:r w:rsidRPr="0008474E">
        <w:rPr>
          <w:rStyle w:val="FootnoteReference"/>
          <w:szCs w:val="16"/>
          <w:lang w:val="en-US"/>
        </w:rPr>
        <w:footnoteRef/>
      </w:r>
      <w:r w:rsidRPr="0008474E">
        <w:rPr>
          <w:lang w:val="en-US"/>
        </w:rPr>
        <w:tab/>
      </w:r>
      <w:r w:rsidRPr="0008474E">
        <w:rPr>
          <w:i/>
          <w:lang w:val="en-US"/>
        </w:rPr>
        <w:t>The 2020 Belgian Code on Corporate Governance</w:t>
      </w:r>
      <w:r w:rsidRPr="0008474E">
        <w:rPr>
          <w:lang w:val="en-US"/>
        </w:rPr>
        <w:t>, Corp. Governance Committee (May 9, 2019), https://www.corporategovernancecommittee.be/sites/default/files/generated/files/page/2020_belgian_code_on_corporate_governance.pdf.</w:t>
      </w:r>
    </w:p>
  </w:footnote>
  <w:footnote w:id="135">
    <w:p w14:paraId="36CEDC6C"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ACC art. 7:85.</w:t>
      </w:r>
    </w:p>
  </w:footnote>
  <w:footnote w:id="136">
    <w:p w14:paraId="38EAFCCB"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ACC art. 7:104.</w:t>
      </w:r>
    </w:p>
  </w:footnote>
  <w:footnote w:id="137">
    <w:p w14:paraId="29F0BE41"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BCC art. 518, § 1; ACC art. 7:85, § 1; ACC art. 7:10.</w:t>
      </w:r>
    </w:p>
  </w:footnote>
  <w:footnote w:id="138">
    <w:p w14:paraId="13BF9A88"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ACC arts. 7:105, 7:107.</w:t>
      </w:r>
      <w:r>
        <w:rPr>
          <w:lang w:val="en-US"/>
        </w:rPr>
        <w:t xml:space="preserve"> </w:t>
      </w:r>
      <w:r w:rsidRPr="0008474E">
        <w:rPr>
          <w:lang w:val="en-US"/>
        </w:rPr>
        <w:t xml:space="preserve"> The same persons cannot be both members of the management board and the supervisory board.</w:t>
      </w:r>
    </w:p>
  </w:footnote>
  <w:footnote w:id="139">
    <w:p w14:paraId="389821DB"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ACC art. 7:101, § 1.</w:t>
      </w:r>
    </w:p>
  </w:footnote>
  <w:footnote w:id="140">
    <w:p w14:paraId="3F57AF37"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BCC art. 518, §§ 2, 3; ACC art. 7:85, §§ 2, 3; ACC art. 7:105, § 3.</w:t>
      </w:r>
    </w:p>
  </w:footnote>
  <w:footnote w:id="141">
    <w:p w14:paraId="21E9B6F6" w14:textId="77777777" w:rsidR="00953C0F" w:rsidRPr="0008474E" w:rsidRDefault="00953C0F" w:rsidP="006902A2">
      <w:pPr>
        <w:pStyle w:val="FootnoteText"/>
        <w:rPr>
          <w:lang w:val="en-US"/>
        </w:rPr>
      </w:pPr>
      <w:r w:rsidRPr="0008474E">
        <w:rPr>
          <w:rStyle w:val="FootnoteReference"/>
          <w:lang w:val="en-US"/>
        </w:rPr>
        <w:footnoteRef/>
      </w:r>
      <w:r w:rsidRPr="00907C35">
        <w:rPr>
          <w:lang w:val="fr-FR"/>
        </w:rPr>
        <w:tab/>
        <w:t xml:space="preserve">2009 BCG Code princ. 4.2; 2020 BCG Code princs. </w:t>
      </w:r>
      <w:r w:rsidRPr="0008474E">
        <w:rPr>
          <w:lang w:val="en-US"/>
        </w:rPr>
        <w:t xml:space="preserve">4.19, 5.1-5.4. </w:t>
      </w:r>
    </w:p>
  </w:footnote>
  <w:footnote w:id="142">
    <w:p w14:paraId="1E1CB703"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BCC art. 518, § 3; </w:t>
      </w:r>
      <w:r w:rsidRPr="0008474E">
        <w:rPr>
          <w:i/>
          <w:lang w:val="en-US"/>
        </w:rPr>
        <w:t>id.</w:t>
      </w:r>
      <w:r w:rsidRPr="0008474E">
        <w:rPr>
          <w:lang w:val="en-US"/>
        </w:rPr>
        <w:t xml:space="preserve"> art. 520; ACC art. 7:85, § 2; ACC art. 7:105, § 3.</w:t>
      </w:r>
    </w:p>
  </w:footnote>
  <w:footnote w:id="143">
    <w:p w14:paraId="4EA5B80B" w14:textId="77777777" w:rsidR="00953C0F" w:rsidRPr="00907C35" w:rsidRDefault="00953C0F" w:rsidP="006902A2">
      <w:pPr>
        <w:pStyle w:val="FootnoteText"/>
        <w:rPr>
          <w:lang w:val="fr-FR"/>
        </w:rPr>
      </w:pPr>
      <w:r w:rsidRPr="0008474E">
        <w:rPr>
          <w:rStyle w:val="FootnoteReference"/>
          <w:lang w:val="en-US"/>
        </w:rPr>
        <w:footnoteRef/>
      </w:r>
      <w:r w:rsidRPr="00907C35">
        <w:rPr>
          <w:lang w:val="fr-FR"/>
        </w:rPr>
        <w:tab/>
        <w:t>2009 BCG Code princ. 4.6; 2020 BCG Code princ. 5.6.</w:t>
      </w:r>
    </w:p>
  </w:footnote>
  <w:footnote w:id="144">
    <w:p w14:paraId="4692628D" w14:textId="77777777" w:rsidR="00953C0F" w:rsidRPr="00907C35" w:rsidRDefault="00953C0F" w:rsidP="006902A2">
      <w:pPr>
        <w:pStyle w:val="FootnoteText"/>
        <w:rPr>
          <w:lang w:val="fr-FR"/>
        </w:rPr>
      </w:pPr>
      <w:r w:rsidRPr="0008474E">
        <w:rPr>
          <w:rStyle w:val="FootnoteReference"/>
          <w:lang w:val="en-US"/>
        </w:rPr>
        <w:footnoteRef/>
      </w:r>
      <w:r w:rsidRPr="00907C35">
        <w:rPr>
          <w:lang w:val="fr-FR"/>
        </w:rPr>
        <w:tab/>
        <w:t>ACC art. 7:107.</w:t>
      </w:r>
    </w:p>
  </w:footnote>
  <w:footnote w:id="145">
    <w:p w14:paraId="78DB8BEB" w14:textId="77777777" w:rsidR="00953C0F" w:rsidRPr="00907C35" w:rsidRDefault="00953C0F" w:rsidP="006902A2">
      <w:pPr>
        <w:pStyle w:val="FootnoteText"/>
        <w:rPr>
          <w:lang w:val="fr-FR"/>
        </w:rPr>
      </w:pPr>
      <w:r w:rsidRPr="0008474E">
        <w:rPr>
          <w:rStyle w:val="FootnoteReference"/>
          <w:lang w:val="en-US"/>
        </w:rPr>
        <w:footnoteRef/>
      </w:r>
      <w:r w:rsidRPr="00907C35">
        <w:rPr>
          <w:lang w:val="fr-FR"/>
        </w:rPr>
        <w:tab/>
        <w:t>2020 BCG Code princ. 10.</w:t>
      </w:r>
    </w:p>
  </w:footnote>
  <w:footnote w:id="146">
    <w:p w14:paraId="1993A844" w14:textId="77777777" w:rsidR="00953C0F" w:rsidRPr="00907C35" w:rsidRDefault="00953C0F" w:rsidP="006902A2">
      <w:pPr>
        <w:pStyle w:val="FootnoteText"/>
        <w:rPr>
          <w:lang w:val="fr-FR"/>
        </w:rPr>
      </w:pPr>
      <w:r w:rsidRPr="0008474E">
        <w:rPr>
          <w:rStyle w:val="FootnoteReference"/>
          <w:lang w:val="en-US"/>
        </w:rPr>
        <w:footnoteRef/>
      </w:r>
      <w:r w:rsidRPr="00907C35">
        <w:rPr>
          <w:lang w:val="fr-FR"/>
        </w:rPr>
        <w:tab/>
        <w:t>2009 BCG Code princ. 2.3; 2020 BCG Code princ. 3.4.</w:t>
      </w:r>
    </w:p>
  </w:footnote>
  <w:footnote w:id="147">
    <w:p w14:paraId="50AAEFC6" w14:textId="77777777" w:rsidR="00953C0F" w:rsidRPr="00907C35" w:rsidRDefault="00953C0F" w:rsidP="006902A2">
      <w:pPr>
        <w:pStyle w:val="FootnoteText"/>
        <w:rPr>
          <w:lang w:val="fr-FR"/>
        </w:rPr>
      </w:pPr>
      <w:r w:rsidRPr="0008474E">
        <w:rPr>
          <w:rStyle w:val="FootnoteReference"/>
          <w:lang w:val="en-US"/>
        </w:rPr>
        <w:footnoteRef/>
      </w:r>
      <w:r w:rsidRPr="00907C35">
        <w:rPr>
          <w:lang w:val="fr-FR"/>
        </w:rPr>
        <w:tab/>
        <w:t>2009 BCG Code princ. 1.5; 2020 BCG Code princ. 3.12.</w:t>
      </w:r>
    </w:p>
  </w:footnote>
  <w:footnote w:id="148">
    <w:p w14:paraId="48BD6C2D" w14:textId="526314BF" w:rsidR="00953C0F" w:rsidRPr="0008474E" w:rsidRDefault="00953C0F" w:rsidP="006902A2">
      <w:pPr>
        <w:pStyle w:val="FootnoteText"/>
        <w:rPr>
          <w:lang w:val="en-US"/>
        </w:rPr>
      </w:pPr>
      <w:r w:rsidRPr="0008474E">
        <w:rPr>
          <w:rStyle w:val="FootnoteReference"/>
          <w:lang w:val="en-US"/>
        </w:rPr>
        <w:footnoteRef/>
      </w:r>
      <w:r w:rsidRPr="00907C35">
        <w:rPr>
          <w:lang w:val="fr-FR"/>
        </w:rPr>
        <w:tab/>
        <w:t xml:space="preserve">2009 BCG Code princ. </w:t>
      </w:r>
      <w:r w:rsidRPr="0008474E">
        <w:rPr>
          <w:lang w:val="en-US"/>
        </w:rPr>
        <w:t xml:space="preserve">1.2; 2020 BCG Code princ. 1. </w:t>
      </w:r>
      <w:r>
        <w:rPr>
          <w:lang w:val="en-US"/>
        </w:rPr>
        <w:t xml:space="preserve"> </w:t>
      </w:r>
      <w:r w:rsidRPr="0008474E">
        <w:rPr>
          <w:lang w:val="en-US"/>
        </w:rPr>
        <w:t>Under the 2020 BCG Code, such governance structure is to be disclosed in a Corporate Governance Charter published on the company</w:t>
      </w:r>
      <w:r>
        <w:rPr>
          <w:lang w:val="en-US"/>
        </w:rPr>
        <w:t>’</w:t>
      </w:r>
      <w:r w:rsidRPr="0008474E">
        <w:rPr>
          <w:lang w:val="en-US"/>
        </w:rPr>
        <w:t>s website, to be updated regularly.</w:t>
      </w:r>
    </w:p>
  </w:footnote>
  <w:footnote w:id="149">
    <w:p w14:paraId="25EBCDBF" w14:textId="77777777" w:rsidR="00953C0F" w:rsidRPr="00907C35" w:rsidRDefault="00953C0F" w:rsidP="006902A2">
      <w:pPr>
        <w:pStyle w:val="FootnoteText"/>
        <w:rPr>
          <w:lang w:val="fr-FR"/>
        </w:rPr>
      </w:pPr>
      <w:r w:rsidRPr="0008474E">
        <w:rPr>
          <w:rStyle w:val="FootnoteReference"/>
          <w:lang w:val="en-US"/>
        </w:rPr>
        <w:footnoteRef/>
      </w:r>
      <w:r w:rsidRPr="0008474E">
        <w:rPr>
          <w:lang w:val="en-US"/>
        </w:rPr>
        <w:tab/>
        <w:t xml:space="preserve">2009 BCG Code para 2 of preamble and princ. </w:t>
      </w:r>
      <w:r w:rsidRPr="00907C35">
        <w:rPr>
          <w:lang w:val="fr-FR"/>
        </w:rPr>
        <w:t xml:space="preserve">1.2, 2.1; 2020 BCG Code princs. 2.1, 2.7, 3.3, 4.23, 5.12. </w:t>
      </w:r>
    </w:p>
  </w:footnote>
  <w:footnote w:id="150">
    <w:p w14:paraId="6240D23B" w14:textId="77777777" w:rsidR="00953C0F" w:rsidRPr="004D30E4" w:rsidRDefault="00953C0F" w:rsidP="006902A2">
      <w:pPr>
        <w:pStyle w:val="FootnoteText"/>
        <w:rPr>
          <w:lang w:val="fr-CH"/>
        </w:rPr>
      </w:pPr>
      <w:r w:rsidRPr="0008474E">
        <w:rPr>
          <w:rStyle w:val="FootnoteReference"/>
          <w:lang w:val="en-US"/>
        </w:rPr>
        <w:footnoteRef/>
      </w:r>
      <w:r w:rsidRPr="00907C35">
        <w:rPr>
          <w:lang w:val="fr-FR"/>
        </w:rPr>
        <w:tab/>
        <w:t xml:space="preserve">2009 BCG Code princ. </w:t>
      </w:r>
      <w:r w:rsidRPr="004D30E4">
        <w:rPr>
          <w:lang w:val="fr-CH"/>
        </w:rPr>
        <w:t>4.5; 2020 BCG Code princ. 5.5.</w:t>
      </w:r>
    </w:p>
  </w:footnote>
  <w:footnote w:id="151">
    <w:p w14:paraId="6BCE03F6" w14:textId="77777777" w:rsidR="00953C0F" w:rsidRPr="0008474E" w:rsidRDefault="00953C0F" w:rsidP="006902A2">
      <w:pPr>
        <w:pStyle w:val="FootnoteText"/>
        <w:rPr>
          <w:lang w:val="en-US"/>
        </w:rPr>
      </w:pPr>
      <w:r w:rsidRPr="0008474E">
        <w:rPr>
          <w:rStyle w:val="FootnoteReference"/>
          <w:lang w:val="en-US"/>
        </w:rPr>
        <w:footnoteRef/>
      </w:r>
      <w:r w:rsidRPr="004D30E4">
        <w:rPr>
          <w:lang w:val="fr-CH"/>
        </w:rPr>
        <w:tab/>
        <w:t xml:space="preserve">2020 BCG Code princs. </w:t>
      </w:r>
      <w:r w:rsidRPr="0008474E">
        <w:rPr>
          <w:lang w:val="en-US"/>
        </w:rPr>
        <w:t>9.1, 9.3.</w:t>
      </w:r>
    </w:p>
  </w:footnote>
  <w:footnote w:id="152">
    <w:p w14:paraId="597AEF19"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A third, rounded up to the next whole number.</w:t>
      </w:r>
    </w:p>
  </w:footnote>
  <w:footnote w:id="153">
    <w:p w14:paraId="5C33804D" w14:textId="5CF2F38B" w:rsidR="00953C0F" w:rsidRPr="0008474E" w:rsidRDefault="00953C0F" w:rsidP="006902A2">
      <w:pPr>
        <w:pStyle w:val="FootnoteText"/>
        <w:rPr>
          <w:lang w:val="en-US"/>
        </w:rPr>
      </w:pPr>
      <w:r w:rsidRPr="0008474E">
        <w:rPr>
          <w:rStyle w:val="FootnoteReference"/>
          <w:lang w:val="en-US"/>
        </w:rPr>
        <w:footnoteRef/>
      </w:r>
      <w:r w:rsidRPr="00907C35">
        <w:rPr>
          <w:lang w:val="fr-FR"/>
        </w:rPr>
        <w:tab/>
        <w:t xml:space="preserve">Law of 28 July 2011, </w:t>
      </w:r>
      <w:r w:rsidRPr="0008474E">
        <w:rPr>
          <w:i/>
          <w:lang w:val="fr-FR"/>
        </w:rPr>
        <w:t>Loi modifiant la loi du 21 mars 1991 portant réforme de certaines entreprises publiques économiques, le Code des sociétés et la loi du 19 avril 2002 relative à la rationalisation du fonctionnement et la gestion de la Loterie Nationale afin de garantir la présence des femmes dans le conseil d</w:t>
      </w:r>
      <w:r>
        <w:rPr>
          <w:i/>
          <w:lang w:val="fr-FR"/>
        </w:rPr>
        <w:t>’</w:t>
      </w:r>
      <w:r w:rsidRPr="0008474E">
        <w:rPr>
          <w:i/>
          <w:lang w:val="fr-FR"/>
        </w:rPr>
        <w:t>administration des entreprises publiques autonomes, des sociétés cotées et de la Loterie Nationale, Moniteur Belge</w:t>
      </w:r>
      <w:r>
        <w:rPr>
          <w:lang w:val="fr-FR"/>
        </w:rPr>
        <w:t xml:space="preserve">, </w:t>
      </w:r>
      <w:r w:rsidRPr="00907C35">
        <w:rPr>
          <w:lang w:val="fr-FR"/>
        </w:rPr>
        <w:t xml:space="preserve">reference 2011/003317 [in French].  </w:t>
      </w:r>
      <w:r w:rsidRPr="0008474E">
        <w:rPr>
          <w:szCs w:val="16"/>
          <w:lang w:val="en-US"/>
        </w:rPr>
        <w:t>(Law amending the March 21, 1991 law that reformed certain state-owned enterprises, the Companies Code and the April 19, 2002 law relating to the nationalization of the operation and management of the National Lottery in order to ensure the presence of women on the corporate boards of autonomous state-owned enterprises, listed companies and the National Lottery).  It was reflected in Article 518 et seq. of the BCC and Article 7:86 of the ACC.</w:t>
      </w:r>
      <w:r w:rsidRPr="0008474E">
        <w:rPr>
          <w:lang w:val="en-US"/>
        </w:rPr>
        <w:br/>
        <w:t>http://www.ejustice.just.fgov.be/cgi_loi/change_lg.pl?language=fr&amp;la=F&amp;table_name=loi&amp;cn=2011072814.</w:t>
      </w:r>
    </w:p>
  </w:footnote>
  <w:footnote w:id="154">
    <w:p w14:paraId="3ECDEB3B" w14:textId="7B1847AB" w:rsidR="00953C0F" w:rsidRPr="0008474E" w:rsidRDefault="00953C0F" w:rsidP="006902A2">
      <w:pPr>
        <w:pStyle w:val="FootnoteText"/>
        <w:rPr>
          <w:lang w:val="en-US"/>
        </w:rPr>
      </w:pPr>
      <w:r w:rsidRPr="0008474E">
        <w:rPr>
          <w:rStyle w:val="FootnoteReference"/>
          <w:lang w:val="en-US"/>
        </w:rPr>
        <w:footnoteRef/>
      </w:r>
      <w:r w:rsidRPr="0008474E">
        <w:rPr>
          <w:lang w:val="en-US"/>
        </w:rPr>
        <w:tab/>
        <w:t>Until the beginning of their eighth fiscal year after September 14, 2011 (i.e.</w:t>
      </w:r>
      <w:r>
        <w:rPr>
          <w:lang w:val="en-US"/>
        </w:rPr>
        <w:t>,</w:t>
      </w:r>
      <w:r w:rsidRPr="0008474E">
        <w:rPr>
          <w:lang w:val="en-US"/>
        </w:rPr>
        <w:t xml:space="preserve"> for most companies January 1, 2019 or July 1, 2019).</w:t>
      </w:r>
    </w:p>
  </w:footnote>
  <w:footnote w:id="155">
    <w:p w14:paraId="7CC6076D" w14:textId="5702DEA5"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For these purposes, such </w:t>
      </w:r>
      <w:r w:rsidRPr="00203E75">
        <w:rPr>
          <w:i/>
          <w:lang w:val="en-US"/>
        </w:rPr>
        <w:t>“</w:t>
      </w:r>
      <w:r w:rsidRPr="0008474E">
        <w:rPr>
          <w:lang w:val="en-US"/>
        </w:rPr>
        <w:t>smaller listed companies</w:t>
      </w:r>
      <w:r w:rsidRPr="00203E75">
        <w:rPr>
          <w:i/>
          <w:lang w:val="en-US"/>
        </w:rPr>
        <w:t>”</w:t>
      </w:r>
      <w:r w:rsidRPr="0008474E">
        <w:rPr>
          <w:lang w:val="en-US"/>
        </w:rPr>
        <w:t xml:space="preserve"> are those that meet, on a consolidated basis, at least two of the following criteria: (i) less than 250 employees in the current fiscal year; (ii) total balance sheet not exceeding EUR43 million; and (iii) annual net turnover not exceeding EUR50 million.</w:t>
      </w:r>
    </w:p>
  </w:footnote>
  <w:footnote w:id="156">
    <w:p w14:paraId="5417EE5C" w14:textId="7889CC88" w:rsidR="00953C0F" w:rsidRPr="0008474E" w:rsidRDefault="00953C0F" w:rsidP="006902A2">
      <w:pPr>
        <w:pStyle w:val="FootnoteText"/>
        <w:rPr>
          <w:lang w:val="en-US"/>
        </w:rPr>
      </w:pPr>
      <w:r w:rsidRPr="0008474E">
        <w:rPr>
          <w:rStyle w:val="FootnoteReference"/>
          <w:lang w:val="en-US"/>
        </w:rPr>
        <w:footnoteRef/>
      </w:r>
      <w:r w:rsidRPr="0008474E">
        <w:rPr>
          <w:lang w:val="en-US"/>
        </w:rPr>
        <w:tab/>
        <w:t>From the beginning of their seventh fiscal year after September 14, 2011 (i.e.</w:t>
      </w:r>
      <w:r>
        <w:rPr>
          <w:lang w:val="en-US"/>
        </w:rPr>
        <w:t>,</w:t>
      </w:r>
      <w:r w:rsidRPr="0008474E">
        <w:rPr>
          <w:lang w:val="en-US"/>
        </w:rPr>
        <w:t xml:space="preserve"> for most companies January 1, 2018 or July 1, 2018).</w:t>
      </w:r>
    </w:p>
  </w:footnote>
  <w:footnote w:id="157">
    <w:p w14:paraId="352032BD" w14:textId="59786EC6" w:rsidR="00953C0F" w:rsidRPr="0008474E" w:rsidRDefault="00953C0F" w:rsidP="006902A2">
      <w:pPr>
        <w:pStyle w:val="FootnoteText"/>
        <w:rPr>
          <w:lang w:val="en-US"/>
        </w:rPr>
      </w:pPr>
      <w:r w:rsidRPr="0008474E">
        <w:rPr>
          <w:rStyle w:val="FootnoteReference"/>
          <w:lang w:val="en-US"/>
        </w:rPr>
        <w:footnoteRef/>
      </w:r>
      <w:r w:rsidRPr="0008474E">
        <w:rPr>
          <w:lang w:val="en-US"/>
        </w:rPr>
        <w:tab/>
        <w:t>From their ninth fiscal year (i.e.</w:t>
      </w:r>
      <w:r>
        <w:rPr>
          <w:lang w:val="en-US"/>
        </w:rPr>
        <w:t>,</w:t>
      </w:r>
      <w:r w:rsidRPr="0008474E">
        <w:rPr>
          <w:lang w:val="en-US"/>
        </w:rPr>
        <w:t xml:space="preserve"> for most companies January 1, 2020 or July 1, 2020).</w:t>
      </w:r>
    </w:p>
  </w:footnote>
  <w:footnote w:id="158">
    <w:p w14:paraId="2F47450B"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Being the 12th year from September 14, 2011.</w:t>
      </w:r>
    </w:p>
  </w:footnote>
  <w:footnote w:id="159">
    <w:p w14:paraId="5C307C4E"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Third assessment of the Law of 28 July 2011 relating to gender quotas on corporate boards (</w:t>
      </w:r>
      <w:r w:rsidRPr="00907C35">
        <w:rPr>
          <w:i/>
          <w:lang w:val="en-US"/>
        </w:rPr>
        <w:t>Troisième bilan de la loi du 28 juillet 2011 relative aux quotas de genre dans les conseils d</w:t>
      </w:r>
      <w:r>
        <w:rPr>
          <w:i/>
          <w:lang w:val="en-US"/>
        </w:rPr>
        <w:t>’</w:t>
      </w:r>
      <w:r w:rsidRPr="00907C35">
        <w:rPr>
          <w:i/>
          <w:lang w:val="en-US"/>
        </w:rPr>
        <w:t>administration</w:t>
      </w:r>
      <w:r w:rsidRPr="0008474E">
        <w:rPr>
          <w:lang w:val="en-US"/>
        </w:rPr>
        <w:t>), issued by the Institute for Equality between Women and Men (</w:t>
      </w:r>
      <w:r w:rsidRPr="00907C35">
        <w:rPr>
          <w:i/>
          <w:lang w:val="en-US"/>
        </w:rPr>
        <w:t>Institut pour l</w:t>
      </w:r>
      <w:r>
        <w:rPr>
          <w:i/>
          <w:lang w:val="en-US"/>
        </w:rPr>
        <w:t>’</w:t>
      </w:r>
      <w:r w:rsidRPr="00907C35">
        <w:rPr>
          <w:i/>
          <w:lang w:val="en-US"/>
        </w:rPr>
        <w:t>Egalité des Femmes et des Hommes</w:t>
      </w:r>
      <w:r w:rsidRPr="0008474E">
        <w:rPr>
          <w:lang w:val="en-US"/>
        </w:rPr>
        <w:t>) in 2017 [in French].  This is the third assessment overall but only the first assessment since the quota law fully came into effect for publicly listed companies.</w:t>
      </w:r>
      <w:r w:rsidRPr="0008474E">
        <w:rPr>
          <w:lang w:val="en-US"/>
        </w:rPr>
        <w:br/>
        <w:t>https://igvm-iefh.belgium.be/sites/default/files/troisieme_bilan_26.11.2018.pdf.</w:t>
      </w:r>
    </w:p>
  </w:footnote>
  <w:footnote w:id="160">
    <w:p w14:paraId="4B1D96D9" w14:textId="29970C24"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C112B">
        <w:rPr>
          <w:lang w:val="en-US"/>
        </w:rPr>
        <w:t>See</w:t>
      </w:r>
      <w:r w:rsidRPr="0008474E">
        <w:rPr>
          <w:lang w:val="en-US"/>
        </w:rPr>
        <w:t xml:space="preserve"> the Third assessment of the Law of 28 July 2011 relating to gender quotas on corporate boards,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_Ref16194242 \h </w:instrText>
      </w:r>
      <w:r>
        <w:rPr>
          <w:lang w:val="en-US"/>
        </w:rPr>
        <w:instrText xml:space="preserve"> \* MERGEFORMAT </w:instrText>
      </w:r>
      <w:r w:rsidRPr="0008474E">
        <w:rPr>
          <w:lang w:val="en-US"/>
        </w:rPr>
      </w:r>
      <w:r w:rsidRPr="0008474E">
        <w:rPr>
          <w:lang w:val="en-US"/>
        </w:rPr>
        <w:fldChar w:fldCharType="separate"/>
      </w:r>
      <w:r w:rsidR="00AE4BA1">
        <w:rPr>
          <w:lang w:val="en-US"/>
        </w:rPr>
        <w:t>158</w:t>
      </w:r>
      <w:r w:rsidRPr="0008474E">
        <w:rPr>
          <w:lang w:val="en-US"/>
        </w:rPr>
        <w:fldChar w:fldCharType="end"/>
      </w:r>
      <w:r w:rsidRPr="0008474E">
        <w:rPr>
          <w:lang w:val="en-US"/>
        </w:rPr>
        <w:t>.</w:t>
      </w:r>
    </w:p>
  </w:footnote>
  <w:footnote w:id="161">
    <w:p w14:paraId="4930ECDB"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In 2017, corporate boards of 11 members or more were comprised on average of 28.4% of women, compared to 27.1% and 18.3%, respect</w:t>
      </w:r>
      <w:r>
        <w:rPr>
          <w:lang w:val="en-US"/>
        </w:rPr>
        <w:t>ively, for corporate boards of six to ten or one to five</w:t>
      </w:r>
      <w:r w:rsidRPr="0008474E">
        <w:rPr>
          <w:lang w:val="en-US"/>
        </w:rPr>
        <w:t xml:space="preserve"> members.</w:t>
      </w:r>
    </w:p>
  </w:footnote>
  <w:footnote w:id="162">
    <w:p w14:paraId="74FB6838" w14:textId="22B989C3"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European Commission, </w:t>
      </w:r>
      <w:r w:rsidRPr="0008474E">
        <w:rPr>
          <w:i/>
          <w:lang w:val="en-US"/>
        </w:rPr>
        <w:t>2019 Report on Equality Between Women and Men in the EU</w:t>
      </w:r>
      <w:r w:rsidRPr="0008474E">
        <w:rPr>
          <w:lang w:val="en-US"/>
        </w:rPr>
        <w:t xml:space="preserve"> 25,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_Ref16194272 \h </w:instrText>
      </w:r>
      <w:r>
        <w:rPr>
          <w:lang w:val="en-US"/>
        </w:rPr>
        <w:instrText xml:space="preserve"> \* MERGEFORMAT </w:instrText>
      </w:r>
      <w:r w:rsidRPr="0008474E">
        <w:rPr>
          <w:lang w:val="en-US"/>
        </w:rPr>
      </w:r>
      <w:r w:rsidRPr="0008474E">
        <w:rPr>
          <w:lang w:val="en-US"/>
        </w:rPr>
        <w:fldChar w:fldCharType="separate"/>
      </w:r>
      <w:r w:rsidR="00AE4BA1">
        <w:rPr>
          <w:lang w:val="en-US"/>
        </w:rPr>
        <w:t>80</w:t>
      </w:r>
      <w:r w:rsidRPr="0008474E">
        <w:rPr>
          <w:lang w:val="en-US"/>
        </w:rPr>
        <w:fldChar w:fldCharType="end"/>
      </w:r>
      <w:r w:rsidRPr="0008474E">
        <w:rPr>
          <w:lang w:val="en-US"/>
        </w:rPr>
        <w:t>.</w:t>
      </w:r>
    </w:p>
  </w:footnote>
  <w:footnote w:id="163">
    <w:p w14:paraId="6BDA244D"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Int</w:t>
      </w:r>
      <w:r>
        <w:rPr>
          <w:lang w:val="en-US"/>
        </w:rPr>
        <w:t>’</w:t>
      </w:r>
      <w:r w:rsidRPr="0008474E">
        <w:rPr>
          <w:lang w:val="en-US"/>
        </w:rPr>
        <w:t xml:space="preserve">l Bank for Reconstruction and Dev., The World Bank, </w:t>
      </w:r>
      <w:r w:rsidRPr="0008474E">
        <w:rPr>
          <w:i/>
          <w:lang w:val="en-US"/>
        </w:rPr>
        <w:t>Women, Business and the Law 2019: A Decade of Reform</w:t>
      </w:r>
      <w:r w:rsidRPr="0008474E">
        <w:rPr>
          <w:lang w:val="en-US"/>
        </w:rPr>
        <w:t xml:space="preserve"> 9 tbl. 2 (2019) [hereinafter </w:t>
      </w:r>
      <w:r w:rsidRPr="0008474E">
        <w:rPr>
          <w:i/>
          <w:lang w:val="en-US"/>
        </w:rPr>
        <w:t>Women, Business and the Law</w:t>
      </w:r>
      <w:r w:rsidRPr="0008474E">
        <w:rPr>
          <w:lang w:val="en-US"/>
        </w:rPr>
        <w:t>],</w:t>
      </w:r>
      <w:r>
        <w:rPr>
          <w:lang w:val="en-US"/>
        </w:rPr>
        <w:t xml:space="preserve"> The eight indicators are: (i) going places, (ii) starting a job, (iii) getting paid, (iv) getting married, (v) having children, (vi) running a business, (vii) managing assets, and (viii) getting a pension.</w:t>
      </w:r>
      <w:r w:rsidRPr="0008474E">
        <w:rPr>
          <w:lang w:val="en-US"/>
        </w:rPr>
        <w:t xml:space="preserve"> http://documents.worldbank.org/curated/en/101301551208346052/pdf/Women-Business-and-the-Law-2019-A-Decade-of-Reform.pdf.</w:t>
      </w:r>
    </w:p>
  </w:footnote>
  <w:footnote w:id="164">
    <w:p w14:paraId="2AAF96D5" w14:textId="072C0505" w:rsidR="00953C0F" w:rsidRPr="00907C35" w:rsidRDefault="00953C0F" w:rsidP="006902A2">
      <w:pPr>
        <w:pStyle w:val="FootnoteText"/>
        <w:rPr>
          <w:lang w:val="fr-FR"/>
        </w:rPr>
      </w:pPr>
      <w:r w:rsidRPr="0008474E">
        <w:rPr>
          <w:rStyle w:val="FootnoteReference"/>
          <w:lang w:val="en-US"/>
        </w:rPr>
        <w:footnoteRef/>
      </w:r>
      <w:r w:rsidRPr="00907C35">
        <w:rPr>
          <w:lang w:val="fr-FR"/>
        </w:rPr>
        <w:tab/>
      </w:r>
      <w:r w:rsidRPr="00907C35">
        <w:rPr>
          <w:i/>
          <w:lang w:val="fr-FR"/>
        </w:rPr>
        <w:t>Code de Commerce</w:t>
      </w:r>
      <w:r w:rsidRPr="00907C35">
        <w:rPr>
          <w:lang w:val="fr-FR"/>
        </w:rPr>
        <w:t xml:space="preserve"> [C.</w:t>
      </w:r>
      <w:r>
        <w:rPr>
          <w:lang w:val="fr-FR"/>
        </w:rPr>
        <w:t xml:space="preserve">  </w:t>
      </w:r>
      <w:r w:rsidRPr="00907C35">
        <w:rPr>
          <w:lang w:val="fr-FR"/>
        </w:rPr>
        <w:t>Com.] [Commercial Code] (Fr.);</w:t>
      </w:r>
      <w:r w:rsidRPr="00907C35">
        <w:rPr>
          <w:b/>
          <w:i/>
          <w:lang w:val="fr-FR"/>
        </w:rPr>
        <w:t xml:space="preserve"> </w:t>
      </w:r>
      <w:r w:rsidRPr="0008474E">
        <w:rPr>
          <w:i/>
          <w:lang w:val="fr-FR"/>
        </w:rPr>
        <w:t>Association Française des Entreprises Privées</w:t>
      </w:r>
      <w:r w:rsidRPr="0008474E">
        <w:rPr>
          <w:lang w:val="fr-FR"/>
        </w:rPr>
        <w:t xml:space="preserve"> (</w:t>
      </w:r>
      <w:r w:rsidRPr="00203E75">
        <w:rPr>
          <w:i/>
          <w:lang w:val="fr-FR"/>
        </w:rPr>
        <w:t>“</w:t>
      </w:r>
      <w:r w:rsidRPr="0008474E">
        <w:rPr>
          <w:b/>
          <w:lang w:val="fr-FR"/>
        </w:rPr>
        <w:t>Afep</w:t>
      </w:r>
      <w:r w:rsidRPr="00203E75">
        <w:rPr>
          <w:i/>
          <w:lang w:val="fr-FR"/>
        </w:rPr>
        <w:t>”</w:t>
      </w:r>
      <w:r w:rsidRPr="0008474E">
        <w:rPr>
          <w:lang w:val="fr-FR"/>
        </w:rPr>
        <w:t xml:space="preserve">) </w:t>
      </w:r>
      <w:r w:rsidRPr="0008474E">
        <w:rPr>
          <w:i/>
          <w:lang w:val="fr-FR"/>
        </w:rPr>
        <w:t>&amp; Mouvement des Entreprises de France</w:t>
      </w:r>
      <w:r w:rsidRPr="0008474E">
        <w:rPr>
          <w:lang w:val="fr-FR"/>
        </w:rPr>
        <w:t xml:space="preserve"> </w:t>
      </w:r>
      <w:r w:rsidRPr="00907C35">
        <w:rPr>
          <w:lang w:val="fr-FR"/>
        </w:rPr>
        <w:t>(</w:t>
      </w:r>
      <w:r w:rsidRPr="00203E75">
        <w:rPr>
          <w:i/>
          <w:lang w:val="fr-FR"/>
        </w:rPr>
        <w:t>“</w:t>
      </w:r>
      <w:r w:rsidRPr="00907C35">
        <w:rPr>
          <w:b/>
          <w:lang w:val="fr-FR"/>
        </w:rPr>
        <w:t>Medef</w:t>
      </w:r>
      <w:r w:rsidRPr="00203E75">
        <w:rPr>
          <w:i/>
          <w:lang w:val="fr-FR"/>
        </w:rPr>
        <w:t>”</w:t>
      </w:r>
      <w:r w:rsidRPr="00907C35">
        <w:rPr>
          <w:lang w:val="fr-FR"/>
        </w:rPr>
        <w:t>), Corporate Governance Code of Listed Corporations (2018) [hereinafter the Afep-Medef Code],</w:t>
      </w:r>
      <w:r w:rsidRPr="00907C35">
        <w:rPr>
          <w:b/>
          <w:i/>
          <w:lang w:val="fr-FR"/>
        </w:rPr>
        <w:t xml:space="preserve"> </w:t>
      </w:r>
      <w:r w:rsidRPr="00907C35">
        <w:rPr>
          <w:lang w:val="fr-FR"/>
        </w:rPr>
        <w:t>https://afep.labo83.com/wp-content/uploads/2018/06/Afep-Medef-Code-revision-June-2018-ENG.pdf.</w:t>
      </w:r>
    </w:p>
  </w:footnote>
  <w:footnote w:id="165">
    <w:p w14:paraId="2D3A42C5"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Republic of France, Code de Commerce, art. L 225-17 (modified Jan. 27, 2011), https://www.legifrance.gouv.fr/affichCodeArticle.do?idArticle=LEGIARTI000023519840&amp;cidTexte=LEGITEXT000005634379&amp;dateTexte=20110129; </w:t>
      </w:r>
      <w:r w:rsidRPr="0008474E">
        <w:rPr>
          <w:i/>
          <w:lang w:val="en-US"/>
        </w:rPr>
        <w:t>id.</w:t>
      </w:r>
      <w:r w:rsidRPr="0008474E">
        <w:rPr>
          <w:lang w:val="en-US"/>
        </w:rPr>
        <w:t>, art. L. 225-69</w:t>
      </w:r>
      <w:r>
        <w:rPr>
          <w:lang w:val="en-US"/>
        </w:rPr>
        <w:t>.</w:t>
      </w:r>
    </w:p>
  </w:footnote>
  <w:footnote w:id="166">
    <w:p w14:paraId="2F204DCB" w14:textId="42E6B8A9"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Afep-Medef Code,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_Ref16194329 \h </w:instrText>
      </w:r>
      <w:r>
        <w:rPr>
          <w:lang w:val="en-US"/>
        </w:rPr>
        <w:instrText xml:space="preserve"> \* MERGEFORMAT </w:instrText>
      </w:r>
      <w:r w:rsidRPr="0008474E">
        <w:rPr>
          <w:lang w:val="en-US"/>
        </w:rPr>
      </w:r>
      <w:r w:rsidRPr="0008474E">
        <w:rPr>
          <w:lang w:val="en-US"/>
        </w:rPr>
        <w:fldChar w:fldCharType="separate"/>
      </w:r>
      <w:r w:rsidR="00AE4BA1">
        <w:rPr>
          <w:lang w:val="en-US"/>
        </w:rPr>
        <w:t>163</w:t>
      </w:r>
      <w:r w:rsidRPr="0008474E">
        <w:rPr>
          <w:lang w:val="en-US"/>
        </w:rPr>
        <w:fldChar w:fldCharType="end"/>
      </w:r>
      <w:r w:rsidRPr="0008474E">
        <w:rPr>
          <w:lang w:val="en-US"/>
        </w:rPr>
        <w:t>, at 6, 16.</w:t>
      </w:r>
    </w:p>
  </w:footnote>
  <w:footnote w:id="167">
    <w:p w14:paraId="05553081" w14:textId="2846F56D" w:rsidR="00953C0F" w:rsidRPr="0008474E" w:rsidRDefault="00953C0F" w:rsidP="006902A2">
      <w:pPr>
        <w:pStyle w:val="FootnoteText"/>
        <w:rPr>
          <w:lang w:val="en-US"/>
        </w:rPr>
      </w:pPr>
      <w:r w:rsidRPr="0008474E">
        <w:rPr>
          <w:rStyle w:val="FootnoteReference"/>
          <w:lang w:val="en-US"/>
        </w:rPr>
        <w:footnoteRef/>
      </w:r>
      <w:r w:rsidRPr="0008474E">
        <w:rPr>
          <w:lang w:val="en-US"/>
        </w:rPr>
        <w:tab/>
        <w:t>Afep-Medef Code, s</w:t>
      </w:r>
      <w:r w:rsidRPr="0008474E">
        <w:rPr>
          <w:i/>
          <w:lang w:val="en-US"/>
        </w:rPr>
        <w:t xml:space="preserve">upra </w:t>
      </w:r>
      <w:r w:rsidRPr="0008474E">
        <w:rPr>
          <w:lang w:val="en-US"/>
        </w:rPr>
        <w:t xml:space="preserve">note </w:t>
      </w:r>
      <w:r w:rsidRPr="0008474E">
        <w:rPr>
          <w:lang w:val="en-US"/>
        </w:rPr>
        <w:fldChar w:fldCharType="begin"/>
      </w:r>
      <w:r w:rsidRPr="0008474E">
        <w:rPr>
          <w:lang w:val="en-US"/>
        </w:rPr>
        <w:instrText xml:space="preserve"> NOTEREF _Ref16194329 \h </w:instrText>
      </w:r>
      <w:r>
        <w:rPr>
          <w:lang w:val="en-US"/>
        </w:rPr>
        <w:instrText xml:space="preserve"> \* MERGEFORMAT </w:instrText>
      </w:r>
      <w:r w:rsidRPr="0008474E">
        <w:rPr>
          <w:lang w:val="en-US"/>
        </w:rPr>
      </w:r>
      <w:r w:rsidRPr="0008474E">
        <w:rPr>
          <w:lang w:val="en-US"/>
        </w:rPr>
        <w:fldChar w:fldCharType="separate"/>
      </w:r>
      <w:r w:rsidR="00AE4BA1">
        <w:rPr>
          <w:lang w:val="en-US"/>
        </w:rPr>
        <w:t>163</w:t>
      </w:r>
      <w:r w:rsidRPr="0008474E">
        <w:rPr>
          <w:lang w:val="en-US"/>
        </w:rPr>
        <w:fldChar w:fldCharType="end"/>
      </w:r>
      <w:r w:rsidRPr="0008474E">
        <w:rPr>
          <w:lang w:val="en-US"/>
        </w:rPr>
        <w:t>, at 13</w:t>
      </w:r>
      <w:r>
        <w:rPr>
          <w:lang w:val="en-US"/>
        </w:rPr>
        <w:t>.</w:t>
      </w:r>
    </w:p>
  </w:footnote>
  <w:footnote w:id="168">
    <w:p w14:paraId="30326A7B" w14:textId="6514EA83"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Code de Commerce,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_Ref16194318 \h </w:instrText>
      </w:r>
      <w:r>
        <w:rPr>
          <w:lang w:val="en-US"/>
        </w:rPr>
        <w:instrText xml:space="preserve"> \* MERGEFORMAT </w:instrText>
      </w:r>
      <w:r w:rsidRPr="0008474E">
        <w:rPr>
          <w:lang w:val="en-US"/>
        </w:rPr>
      </w:r>
      <w:r w:rsidRPr="0008474E">
        <w:rPr>
          <w:lang w:val="en-US"/>
        </w:rPr>
        <w:fldChar w:fldCharType="separate"/>
      </w:r>
      <w:r w:rsidR="00AE4BA1">
        <w:rPr>
          <w:lang w:val="en-US"/>
        </w:rPr>
        <w:t>164</w:t>
      </w:r>
      <w:r w:rsidRPr="0008474E">
        <w:rPr>
          <w:lang w:val="en-US"/>
        </w:rPr>
        <w:fldChar w:fldCharType="end"/>
      </w:r>
      <w:r w:rsidRPr="0008474E">
        <w:rPr>
          <w:lang w:val="en-US"/>
        </w:rPr>
        <w:t xml:space="preserve">, art. 225-18; </w:t>
      </w:r>
      <w:r w:rsidRPr="0008474E">
        <w:rPr>
          <w:i/>
          <w:lang w:val="en-US"/>
        </w:rPr>
        <w:t>id.</w:t>
      </w:r>
      <w:r w:rsidRPr="0008474E">
        <w:rPr>
          <w:lang w:val="en-US"/>
        </w:rPr>
        <w:t xml:space="preserve"> art. 225-75; Afep-Medef Code,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_Ref16194329 \h </w:instrText>
      </w:r>
      <w:r>
        <w:rPr>
          <w:lang w:val="en-US"/>
        </w:rPr>
        <w:instrText xml:space="preserve"> \* MERGEFORMAT </w:instrText>
      </w:r>
      <w:r w:rsidRPr="0008474E">
        <w:rPr>
          <w:lang w:val="en-US"/>
        </w:rPr>
      </w:r>
      <w:r w:rsidRPr="0008474E">
        <w:rPr>
          <w:lang w:val="en-US"/>
        </w:rPr>
        <w:fldChar w:fldCharType="separate"/>
      </w:r>
      <w:r w:rsidR="00AE4BA1">
        <w:rPr>
          <w:lang w:val="en-US"/>
        </w:rPr>
        <w:t>163</w:t>
      </w:r>
      <w:r w:rsidRPr="0008474E">
        <w:rPr>
          <w:lang w:val="en-US"/>
        </w:rPr>
        <w:fldChar w:fldCharType="end"/>
      </w:r>
      <w:r w:rsidRPr="0008474E">
        <w:rPr>
          <w:lang w:val="en-US"/>
        </w:rPr>
        <w:t>, at 13.</w:t>
      </w:r>
    </w:p>
  </w:footnote>
  <w:footnote w:id="169">
    <w:p w14:paraId="192BAB35"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907C35">
        <w:rPr>
          <w:i/>
          <w:lang w:val="en-US"/>
        </w:rPr>
        <w:t>LOI n</w:t>
      </w:r>
      <w:r w:rsidRPr="00907C35">
        <w:rPr>
          <w:i/>
          <w:vertAlign w:val="superscript"/>
          <w:lang w:val="en-US"/>
        </w:rPr>
        <w:t>o</w:t>
      </w:r>
      <w:r w:rsidRPr="00907C35">
        <w:rPr>
          <w:i/>
          <w:lang w:val="en-US"/>
        </w:rPr>
        <w:t xml:space="preserve"> 2011-103 du 27 janvier 2011 relative à la représentation équilibrée des femmes et des hommes au sein des conseils d</w:t>
      </w:r>
      <w:r>
        <w:rPr>
          <w:i/>
          <w:lang w:val="en-US"/>
        </w:rPr>
        <w:t>’</w:t>
      </w:r>
      <w:r w:rsidRPr="00907C35">
        <w:rPr>
          <w:i/>
          <w:lang w:val="en-US"/>
        </w:rPr>
        <w:t>administration et de surveillance et à l</w:t>
      </w:r>
      <w:r>
        <w:rPr>
          <w:i/>
          <w:lang w:val="en-US"/>
        </w:rPr>
        <w:t>’</w:t>
      </w:r>
      <w:r w:rsidRPr="00907C35">
        <w:rPr>
          <w:i/>
          <w:lang w:val="en-US"/>
        </w:rPr>
        <w:t>égalité professionnelle</w:t>
      </w:r>
      <w:r w:rsidRPr="0008474E">
        <w:rPr>
          <w:lang w:val="en-US"/>
        </w:rPr>
        <w:t xml:space="preserve"> [Law 2011-103 of January 27, 2011 relating to the Balanced Representation of Women and Men on Boards of Directors and Supervisory Boards and to Professional Equality].</w:t>
      </w:r>
      <w:r>
        <w:rPr>
          <w:lang w:val="en-US"/>
        </w:rPr>
        <w:t xml:space="preserve">  </w:t>
      </w:r>
      <w:r w:rsidRPr="0008474E">
        <w:rPr>
          <w:lang w:val="en-US"/>
        </w:rPr>
        <w:t>This law does not apply to management boards.  Articles L. 225-18-1 and L. 225-69-1 of the Commercial Code.</w:t>
      </w:r>
    </w:p>
  </w:footnote>
  <w:footnote w:id="170">
    <w:p w14:paraId="3B53BE69"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This threshold will be lowered to 250 employees from January 1, 2020.  </w:t>
      </w:r>
      <w:r w:rsidRPr="0008474E">
        <w:rPr>
          <w:i/>
          <w:lang w:val="en-US"/>
        </w:rPr>
        <w:t xml:space="preserve">Id. </w:t>
      </w:r>
      <w:r w:rsidRPr="0008474E">
        <w:rPr>
          <w:lang w:val="en-US"/>
        </w:rPr>
        <w:t>(as a result of an amending law n</w:t>
      </w:r>
      <w:r w:rsidRPr="0008474E">
        <w:rPr>
          <w:vertAlign w:val="superscript"/>
          <w:lang w:val="en-US"/>
        </w:rPr>
        <w:t>o</w:t>
      </w:r>
      <w:r w:rsidRPr="0008474E">
        <w:rPr>
          <w:lang w:val="en-US"/>
        </w:rPr>
        <w:t xml:space="preserve"> 2014-873 of August 4, 2014)</w:t>
      </w:r>
      <w:r w:rsidRPr="0008474E">
        <w:rPr>
          <w:i/>
          <w:lang w:val="en-US"/>
        </w:rPr>
        <w:t>.</w:t>
      </w:r>
      <w:r w:rsidRPr="0008474E">
        <w:rPr>
          <w:vanish/>
          <w:lang w:val="en-US"/>
        </w:rPr>
        <w:t xml:space="preserve">   </w:t>
      </w:r>
      <w:r w:rsidRPr="0008474E">
        <w:rPr>
          <w:i/>
          <w:lang w:val="en-US"/>
        </w:rPr>
        <w:t xml:space="preserve"> </w:t>
      </w:r>
    </w:p>
  </w:footnote>
  <w:footnote w:id="171">
    <w:p w14:paraId="16BC97CA"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Articles 1 and 2 of the Gender Law.  Articles L. 225-18-1, L. 225-24, L. 225-45, L. 225-69-1, L. 225-78 and L. 225-83 of the Commercial Code.  As cited by online news channel LCI, in a 2016 article on the status of compliance with the Gender Law, director attendance fees reach EUR 64,000 per year on average, which – it is hoped – is sufficiently significant to encourage compliance with the Gender Law.  Unfortunately, at this stage there is no readily available information on how those financial penalties are applied in practice. </w:t>
      </w:r>
    </w:p>
  </w:footnote>
  <w:footnote w:id="172">
    <w:p w14:paraId="5C17EB76" w14:textId="6E7598B3"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Afep-Medef Code,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_Ref16194329 \h </w:instrText>
      </w:r>
      <w:r>
        <w:rPr>
          <w:lang w:val="en-US"/>
        </w:rPr>
        <w:instrText xml:space="preserve"> \* MERGEFORMAT </w:instrText>
      </w:r>
      <w:r w:rsidRPr="0008474E">
        <w:rPr>
          <w:lang w:val="en-US"/>
        </w:rPr>
      </w:r>
      <w:r w:rsidRPr="0008474E">
        <w:rPr>
          <w:lang w:val="en-US"/>
        </w:rPr>
        <w:fldChar w:fldCharType="separate"/>
      </w:r>
      <w:r w:rsidR="00AE4BA1">
        <w:rPr>
          <w:lang w:val="en-US"/>
        </w:rPr>
        <w:t>163</w:t>
      </w:r>
      <w:r w:rsidRPr="0008474E">
        <w:rPr>
          <w:lang w:val="en-US"/>
        </w:rPr>
        <w:fldChar w:fldCharType="end"/>
      </w:r>
      <w:r w:rsidRPr="0008474E">
        <w:rPr>
          <w:lang w:val="en-US"/>
        </w:rPr>
        <w:t>, at 6, 16.  Appendix 1 refers to the historic recommendation of the Afep-Medef Code that the proportion of directors of each gender be at least 40% on the board of directors of listed companies – such recommendation was removed from the 2018 update of the Afep-Medef Code as a result of the mandatory gender law having become fully effective.</w:t>
      </w:r>
    </w:p>
  </w:footnote>
  <w:footnote w:id="173">
    <w:p w14:paraId="1CB0E7DC"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http://www.femmes-experts-comptables.com/wp-content/uploads/2017/06/TELESCOP_AFECA_2017V2.pdf [in French]. </w:t>
      </w:r>
    </w:p>
  </w:footnote>
  <w:footnote w:id="174">
    <w:p w14:paraId="49BB9C2B"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Bredin Prat &amp; Hengeler Mueller, Slaughter and May, </w:t>
      </w:r>
      <w:r w:rsidRPr="0008474E">
        <w:rPr>
          <w:i/>
          <w:lang w:val="en-US"/>
        </w:rPr>
        <w:t>Board Level Gender Quotas in the UK, France and Germany</w:t>
      </w:r>
      <w:r w:rsidRPr="0008474E">
        <w:rPr>
          <w:lang w:val="en-US"/>
        </w:rPr>
        <w:t xml:space="preserve"> § 2.1.2(b) (</w:t>
      </w:r>
      <w:r w:rsidRPr="0008474E">
        <w:rPr>
          <w:i/>
          <w:lang w:val="en-US"/>
        </w:rPr>
        <w:t>Non compliance with gender quotas</w:t>
      </w:r>
      <w:r>
        <w:rPr>
          <w:lang w:val="en-US"/>
        </w:rPr>
        <w:t>) (August</w:t>
      </w:r>
      <w:r w:rsidRPr="0008474E">
        <w:rPr>
          <w:lang w:val="en-US"/>
        </w:rPr>
        <w:t xml:space="preserve"> 2016), https://www.hengeler.com/fileadmin/news/BF_Letter/14_Board-LevelGenderQuotas_2016-08.PDF.</w:t>
      </w:r>
    </w:p>
  </w:footnote>
  <w:footnote w:id="175">
    <w:p w14:paraId="3D62EEC5"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p>
  </w:footnote>
  <w:footnote w:id="176">
    <w:p w14:paraId="176ECA8B"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Anne-Sylvaine Chassany, </w:t>
      </w:r>
      <w:r w:rsidRPr="0008474E">
        <w:rPr>
          <w:rStyle w:val="Emphasis"/>
          <w:lang w:val="en-US"/>
        </w:rPr>
        <w:t>Macron Prepares to Act on France</w:t>
      </w:r>
      <w:r>
        <w:rPr>
          <w:rStyle w:val="Emphasis"/>
          <w:lang w:val="en-US"/>
        </w:rPr>
        <w:t>’</w:t>
      </w:r>
      <w:r w:rsidRPr="0008474E">
        <w:rPr>
          <w:rStyle w:val="Emphasis"/>
          <w:lang w:val="en-US"/>
        </w:rPr>
        <w:t>s Gender Pay Gap</w:t>
      </w:r>
      <w:r>
        <w:rPr>
          <w:lang w:val="en-US"/>
        </w:rPr>
        <w:t>, Fin. Times, Mar.</w:t>
      </w:r>
      <w:r w:rsidRPr="0008474E">
        <w:rPr>
          <w:lang w:val="en-US"/>
        </w:rPr>
        <w:t xml:space="preserve"> 7, 2018, https://www.ft.com/content/7644706a-06ac-11e8-9e12-af73e8db3c71.</w:t>
      </w:r>
    </w:p>
  </w:footnote>
  <w:footnote w:id="177">
    <w:p w14:paraId="105CFB35" w14:textId="77777777" w:rsidR="00953C0F" w:rsidRPr="00907C35" w:rsidRDefault="00953C0F" w:rsidP="006902A2">
      <w:pPr>
        <w:pStyle w:val="FootnoteText"/>
        <w:rPr>
          <w:lang w:val="fr-FR"/>
        </w:rPr>
      </w:pPr>
      <w:r w:rsidRPr="0008474E">
        <w:rPr>
          <w:rStyle w:val="FootnoteReference"/>
          <w:lang w:val="en-US"/>
        </w:rPr>
        <w:footnoteRef/>
      </w:r>
      <w:r w:rsidRPr="00907C35">
        <w:rPr>
          <w:lang w:val="fr-FR"/>
        </w:rPr>
        <w:tab/>
      </w:r>
      <w:r w:rsidRPr="00907C35">
        <w:rPr>
          <w:i/>
          <w:lang w:val="fr-FR"/>
        </w:rPr>
        <w:t>See</w:t>
      </w:r>
      <w:r w:rsidRPr="00907C35">
        <w:rPr>
          <w:lang w:val="fr-FR"/>
        </w:rPr>
        <w:t xml:space="preserve"> ESSEC Bus. Sch., </w:t>
      </w:r>
      <w:r w:rsidRPr="00907C35">
        <w:rPr>
          <w:i/>
          <w:lang w:val="fr-FR"/>
        </w:rPr>
        <w:t>Women Be European Board Ready (ESSEC)</w:t>
      </w:r>
      <w:r w:rsidRPr="00907C35">
        <w:rPr>
          <w:lang w:val="fr-FR"/>
        </w:rPr>
        <w:t xml:space="preserve">, </w:t>
      </w:r>
      <w:r w:rsidRPr="00721F15">
        <w:rPr>
          <w:lang w:val="fr-FR"/>
        </w:rPr>
        <w:t>Secrétariat d</w:t>
      </w:r>
      <w:r>
        <w:rPr>
          <w:lang w:val="fr-FR"/>
        </w:rPr>
        <w:t>’</w:t>
      </w:r>
      <w:r w:rsidRPr="00721F15">
        <w:rPr>
          <w:lang w:val="fr-FR"/>
        </w:rPr>
        <w:t>Etat chargé de l</w:t>
      </w:r>
      <w:r>
        <w:rPr>
          <w:lang w:val="fr-FR"/>
        </w:rPr>
        <w:t>’</w:t>
      </w:r>
      <w:r w:rsidRPr="00721F15">
        <w:rPr>
          <w:lang w:val="fr-FR"/>
        </w:rPr>
        <w:t>Égalité entre les femmes et les hommes et de la lutte contra les discriminations, https://www.egalite-femmes-hommes.gouv.fr/dossiers/egalite-professionnelle/la-mixite-dans-les-conseils-dadministration/les-reseaux-de-mise-en-relation-candidatesentreprises/women-be-european-board-ready-essec</w:t>
      </w:r>
      <w:r w:rsidRPr="00907C35">
        <w:rPr>
          <w:lang w:val="fr-FR"/>
        </w:rPr>
        <w:t>/ [in French].</w:t>
      </w:r>
    </w:p>
  </w:footnote>
  <w:footnote w:id="178">
    <w:p w14:paraId="5A1DE96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The Female Board Members Federation (</w:t>
      </w:r>
      <w:r w:rsidRPr="00907C35">
        <w:rPr>
          <w:i/>
        </w:rPr>
        <w:t>Fédération des Femmes Administrateurs</w:t>
      </w:r>
      <w:r w:rsidRPr="0008474E">
        <w:rPr>
          <w:i/>
          <w:lang w:val="en-US"/>
        </w:rPr>
        <w:t>, FFA</w:t>
      </w:r>
      <w:r w:rsidRPr="0008474E">
        <w:rPr>
          <w:lang w:val="en-US"/>
        </w:rPr>
        <w:t>) was established in July 2012 in order to follow up on the implementation of the Gender Law.  It is a grouping of members from several female professional networks: chartered accountants, lawyers, in-house counsels, bailiffs and top civil servants.  The White Paper can be downloaded from https://www.voxfi.fr/quel-effet-dentrainement-pour-la-loi-quota-dite-zimmermann-cope/.</w:t>
      </w:r>
    </w:p>
  </w:footnote>
  <w:footnote w:id="179">
    <w:p w14:paraId="488F393B" w14:textId="3070078F"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Women, Business and the Law</w:t>
      </w:r>
      <w:r w:rsidRPr="0008474E">
        <w:rPr>
          <w:lang w:val="en-US"/>
        </w:rPr>
        <w:t xml:space="preserve">,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_Ref16194505 \h </w:instrText>
      </w:r>
      <w:r>
        <w:rPr>
          <w:lang w:val="en-US"/>
        </w:rPr>
        <w:instrText xml:space="preserve"> \* MERGEFORMAT </w:instrText>
      </w:r>
      <w:r w:rsidRPr="0008474E">
        <w:rPr>
          <w:lang w:val="en-US"/>
        </w:rPr>
      </w:r>
      <w:r w:rsidRPr="0008474E">
        <w:rPr>
          <w:lang w:val="en-US"/>
        </w:rPr>
        <w:fldChar w:fldCharType="separate"/>
      </w:r>
      <w:r w:rsidR="00AE4BA1">
        <w:rPr>
          <w:lang w:val="en-US"/>
        </w:rPr>
        <w:t>162</w:t>
      </w:r>
      <w:r w:rsidRPr="0008474E">
        <w:rPr>
          <w:lang w:val="en-US"/>
        </w:rPr>
        <w:fldChar w:fldCharType="end"/>
      </w:r>
      <w:r w:rsidRPr="0008474E">
        <w:rPr>
          <w:lang w:val="en-US"/>
        </w:rPr>
        <w:t>, at 9 tbl. 2.</w:t>
      </w:r>
    </w:p>
  </w:footnote>
  <w:footnote w:id="180">
    <w:p w14:paraId="3993641A" w14:textId="77777777" w:rsidR="00953C0F" w:rsidRPr="000A334C" w:rsidRDefault="00953C0F" w:rsidP="006902A2">
      <w:pPr>
        <w:pStyle w:val="FootnoteText"/>
        <w:rPr>
          <w:lang w:val="de-CH"/>
        </w:rPr>
      </w:pPr>
      <w:r w:rsidRPr="0008474E">
        <w:rPr>
          <w:rStyle w:val="FootnoteReference"/>
          <w:lang w:val="en-US"/>
        </w:rPr>
        <w:footnoteRef/>
      </w:r>
      <w:r w:rsidRPr="0008474E">
        <w:rPr>
          <w:lang w:val="en-US"/>
        </w:rPr>
        <w:tab/>
      </w:r>
      <w:r w:rsidRPr="0008474E">
        <w:rPr>
          <w:i/>
          <w:lang w:val="en-US"/>
        </w:rPr>
        <w:t>Aktiengesetz</w:t>
      </w:r>
      <w:r w:rsidRPr="0008474E">
        <w:rPr>
          <w:lang w:val="en-US"/>
        </w:rPr>
        <w:t xml:space="preserve"> [AktG</w:t>
      </w:r>
      <w:r>
        <w:rPr>
          <w:lang w:val="en-US"/>
        </w:rPr>
        <w:t>] [Stock Corporation Act], Sept.</w:t>
      </w:r>
      <w:r w:rsidRPr="0008474E">
        <w:rPr>
          <w:lang w:val="en-US"/>
        </w:rPr>
        <w:t xml:space="preserve"> 6, 1965, BGBl.</w:t>
      </w:r>
      <w:r>
        <w:rPr>
          <w:lang w:val="en-US"/>
        </w:rPr>
        <w:t xml:space="preserve">  </w:t>
      </w:r>
      <w:r w:rsidRPr="00ED7A89">
        <w:rPr>
          <w:lang w:val="de-CH"/>
        </w:rPr>
        <w:t xml:space="preserve">I (F.R.G.), </w:t>
      </w:r>
      <w:r w:rsidRPr="00ED7A89">
        <w:rPr>
          <w:i/>
          <w:lang w:val="de-CH"/>
        </w:rPr>
        <w:t>translation in Bundesministerium der Justiz und fur Verbraucherschutz</w:t>
      </w:r>
      <w:r w:rsidRPr="00ED7A89">
        <w:rPr>
          <w:lang w:val="de-CH"/>
        </w:rPr>
        <w:t xml:space="preserve">, </w:t>
      </w:r>
      <w:r w:rsidRPr="00ED7A89">
        <w:rPr>
          <w:i/>
          <w:lang w:val="de-CH"/>
        </w:rPr>
        <w:t xml:space="preserve">as amended </w:t>
      </w:r>
      <w:r w:rsidRPr="00ED7A89">
        <w:rPr>
          <w:lang w:val="de-CH"/>
        </w:rPr>
        <w:t xml:space="preserve">July 17, 2017, BGBl.  </w:t>
      </w:r>
      <w:r w:rsidRPr="000A334C">
        <w:rPr>
          <w:lang w:val="de-CH"/>
        </w:rPr>
        <w:t xml:space="preserve">I at 2446, http://www.gesetze-im-internet.de/englisch_aktg/; </w:t>
      </w:r>
      <w:r w:rsidRPr="000A334C">
        <w:rPr>
          <w:i/>
          <w:lang w:val="de-CH"/>
        </w:rPr>
        <w:t>Gesetz uber die Mitbestimmung der Arbeitnehmer</w:t>
      </w:r>
      <w:r w:rsidRPr="000A334C">
        <w:rPr>
          <w:lang w:val="de-CH"/>
        </w:rPr>
        <w:t xml:space="preserve"> [</w:t>
      </w:r>
      <w:r w:rsidRPr="000A334C">
        <w:rPr>
          <w:i/>
          <w:lang w:val="de-CH"/>
        </w:rPr>
        <w:t>Mitbestimmungsgesetz</w:t>
      </w:r>
      <w:r w:rsidRPr="000A334C">
        <w:rPr>
          <w:lang w:val="de-CH"/>
        </w:rPr>
        <w:t>] [Co-Determination Act], May 4, 1976; Deutscher Corporate Governance Kodex 2019 [DCGK 2019] [German Corporate Governance Code], last amended Feb. 7, 2017, Regierungskommission, https://www.dcgk.de//files/dcgk/usercontent/en/download/code/170214_Code.pdf.</w:t>
      </w:r>
    </w:p>
  </w:footnote>
  <w:footnote w:id="181">
    <w:p w14:paraId="667400DA" w14:textId="54DECE9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Aktg, Stock Corporation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_Ref16194547 \h </w:instrText>
      </w:r>
      <w:r>
        <w:rPr>
          <w:lang w:val="en-US"/>
        </w:rPr>
        <w:instrText xml:space="preserve"> \* MERGEFORMAT </w:instrText>
      </w:r>
      <w:r w:rsidRPr="0008474E">
        <w:rPr>
          <w:lang w:val="en-US"/>
        </w:rPr>
      </w:r>
      <w:r w:rsidRPr="0008474E">
        <w:rPr>
          <w:lang w:val="en-US"/>
        </w:rPr>
        <w:fldChar w:fldCharType="separate"/>
      </w:r>
      <w:r w:rsidR="00AE4BA1">
        <w:rPr>
          <w:lang w:val="en-US"/>
        </w:rPr>
        <w:t>179</w:t>
      </w:r>
      <w:r w:rsidRPr="0008474E">
        <w:rPr>
          <w:lang w:val="en-US"/>
        </w:rPr>
        <w:fldChar w:fldCharType="end"/>
      </w:r>
      <w:r w:rsidRPr="0008474E">
        <w:rPr>
          <w:lang w:val="en-US"/>
        </w:rPr>
        <w:t>, § 95.</w:t>
      </w:r>
    </w:p>
  </w:footnote>
  <w:footnote w:id="182">
    <w:p w14:paraId="0B518902" w14:textId="02A8684D"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Aktg, Stock Corporation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_Ref16194547 \h </w:instrText>
      </w:r>
      <w:r>
        <w:rPr>
          <w:lang w:val="en-US"/>
        </w:rPr>
        <w:instrText xml:space="preserve"> \* MERGEFORMAT </w:instrText>
      </w:r>
      <w:r w:rsidRPr="0008474E">
        <w:rPr>
          <w:lang w:val="en-US"/>
        </w:rPr>
      </w:r>
      <w:r w:rsidRPr="0008474E">
        <w:rPr>
          <w:lang w:val="en-US"/>
        </w:rPr>
        <w:fldChar w:fldCharType="separate"/>
      </w:r>
      <w:r w:rsidR="00AE4BA1">
        <w:rPr>
          <w:lang w:val="en-US"/>
        </w:rPr>
        <w:t>179</w:t>
      </w:r>
      <w:r w:rsidRPr="0008474E">
        <w:rPr>
          <w:lang w:val="en-US"/>
        </w:rPr>
        <w:fldChar w:fldCharType="end"/>
      </w:r>
      <w:r>
        <w:rPr>
          <w:lang w:val="en-US"/>
        </w:rPr>
        <w:t>.</w:t>
      </w:r>
    </w:p>
  </w:footnote>
  <w:footnote w:id="183">
    <w:p w14:paraId="5201D516" w14:textId="11B6059A"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See</w:t>
      </w:r>
      <w:r w:rsidRPr="0008474E">
        <w:rPr>
          <w:lang w:val="en-US"/>
        </w:rPr>
        <w:t xml:space="preserve"> DCGK, German Corporate Governance Code,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_Ref16194547 \h </w:instrText>
      </w:r>
      <w:r>
        <w:rPr>
          <w:lang w:val="en-US"/>
        </w:rPr>
        <w:instrText xml:space="preserve"> \* MERGEFORMAT </w:instrText>
      </w:r>
      <w:r w:rsidRPr="0008474E">
        <w:rPr>
          <w:lang w:val="en-US"/>
        </w:rPr>
      </w:r>
      <w:r w:rsidRPr="0008474E">
        <w:rPr>
          <w:lang w:val="en-US"/>
        </w:rPr>
        <w:fldChar w:fldCharType="separate"/>
      </w:r>
      <w:r w:rsidR="00AE4BA1">
        <w:rPr>
          <w:lang w:val="en-US"/>
        </w:rPr>
        <w:t>179</w:t>
      </w:r>
      <w:r w:rsidRPr="0008474E">
        <w:rPr>
          <w:lang w:val="en-US"/>
        </w:rPr>
        <w:fldChar w:fldCharType="end"/>
      </w:r>
      <w:r w:rsidRPr="0008474E">
        <w:rPr>
          <w:lang w:val="en-US"/>
        </w:rPr>
        <w:t xml:space="preserve">, §§ 4.1.5, 5.1.2.  The code does not specify what </w:t>
      </w:r>
      <w:r>
        <w:rPr>
          <w:lang w:val="en-US"/>
        </w:rPr>
        <w:t>‘</w:t>
      </w:r>
      <w:r w:rsidRPr="0008474E">
        <w:rPr>
          <w:lang w:val="en-US"/>
        </w:rPr>
        <w:t>diversity</w:t>
      </w:r>
      <w:r>
        <w:rPr>
          <w:lang w:val="en-US"/>
        </w:rPr>
        <w:t>’</w:t>
      </w:r>
      <w:r w:rsidRPr="0008474E">
        <w:rPr>
          <w:lang w:val="en-US"/>
        </w:rPr>
        <w:t xml:space="preserve"> should encompass, but states that</w:t>
      </w:r>
      <w:r>
        <w:rPr>
          <w:lang w:val="en-US"/>
        </w:rPr>
        <w:t xml:space="preserve"> a</w:t>
      </w:r>
      <w:r w:rsidRPr="0008474E">
        <w:rPr>
          <w:lang w:val="en-US"/>
        </w:rPr>
        <w:t xml:space="preserve"> board should have </w:t>
      </w:r>
      <w:r>
        <w:rPr>
          <w:lang w:val="en-US"/>
        </w:rPr>
        <w:t xml:space="preserve">an </w:t>
      </w:r>
      <w:r w:rsidRPr="00203E75">
        <w:rPr>
          <w:i/>
          <w:lang w:val="en-US"/>
        </w:rPr>
        <w:t>“</w:t>
      </w:r>
      <w:r w:rsidRPr="0008474E">
        <w:rPr>
          <w:lang w:val="en-US"/>
        </w:rPr>
        <w:t>appropriate consideration of women</w:t>
      </w:r>
      <w:r>
        <w:rPr>
          <w:lang w:val="en-US"/>
        </w:rPr>
        <w:t>.</w:t>
      </w:r>
      <w:r w:rsidRPr="00203E75">
        <w:rPr>
          <w:i/>
          <w:lang w:val="en-US"/>
        </w:rPr>
        <w:t>”</w:t>
      </w:r>
      <w:r w:rsidRPr="0008474E">
        <w:rPr>
          <w:lang w:val="en-US"/>
        </w:rPr>
        <w:t xml:space="preserve">  </w:t>
      </w:r>
      <w:r w:rsidRPr="0008474E">
        <w:rPr>
          <w:i/>
          <w:lang w:val="en-US"/>
        </w:rPr>
        <w:t>Id.</w:t>
      </w:r>
      <w:r w:rsidRPr="0008474E">
        <w:rPr>
          <w:lang w:val="en-US"/>
        </w:rPr>
        <w:t xml:space="preserve"> § 4.1.5.</w:t>
      </w:r>
    </w:p>
  </w:footnote>
  <w:footnote w:id="184">
    <w:p w14:paraId="2B589226" w14:textId="0F019E32"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Aktg, Stock Corporation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_Ref16194547 \h </w:instrText>
      </w:r>
      <w:r>
        <w:rPr>
          <w:lang w:val="en-US"/>
        </w:rPr>
        <w:instrText xml:space="preserve"> \* MERGEFORMAT </w:instrText>
      </w:r>
      <w:r w:rsidRPr="0008474E">
        <w:rPr>
          <w:lang w:val="en-US"/>
        </w:rPr>
      </w:r>
      <w:r w:rsidRPr="0008474E">
        <w:rPr>
          <w:lang w:val="en-US"/>
        </w:rPr>
        <w:fldChar w:fldCharType="separate"/>
      </w:r>
      <w:r w:rsidR="00AE4BA1">
        <w:rPr>
          <w:lang w:val="en-US"/>
        </w:rPr>
        <w:t>179</w:t>
      </w:r>
      <w:r w:rsidRPr="0008474E">
        <w:rPr>
          <w:lang w:val="en-US"/>
        </w:rPr>
        <w:fldChar w:fldCharType="end"/>
      </w:r>
      <w:r w:rsidRPr="0008474E">
        <w:rPr>
          <w:lang w:val="en-US"/>
        </w:rPr>
        <w:t>, at § 84(3)</w:t>
      </w:r>
      <w:r>
        <w:rPr>
          <w:lang w:val="en-US"/>
        </w:rPr>
        <w:t>.</w:t>
      </w:r>
    </w:p>
  </w:footnote>
  <w:footnote w:id="185">
    <w:p w14:paraId="7FEB7785" w14:textId="4C1EA5F3"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Aktg, Stock Corporation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_Ref16194547 \h </w:instrText>
      </w:r>
      <w:r>
        <w:rPr>
          <w:lang w:val="en-US"/>
        </w:rPr>
        <w:instrText xml:space="preserve"> \* MERGEFORMAT </w:instrText>
      </w:r>
      <w:r w:rsidRPr="0008474E">
        <w:rPr>
          <w:lang w:val="en-US"/>
        </w:rPr>
      </w:r>
      <w:r w:rsidRPr="0008474E">
        <w:rPr>
          <w:lang w:val="en-US"/>
        </w:rPr>
        <w:fldChar w:fldCharType="separate"/>
      </w:r>
      <w:r w:rsidR="00AE4BA1">
        <w:rPr>
          <w:lang w:val="en-US"/>
        </w:rPr>
        <w:t>179</w:t>
      </w:r>
      <w:r w:rsidRPr="0008474E">
        <w:rPr>
          <w:lang w:val="en-US"/>
        </w:rPr>
        <w:fldChar w:fldCharType="end"/>
      </w:r>
      <w:r w:rsidRPr="0008474E">
        <w:rPr>
          <w:lang w:val="en-US"/>
        </w:rPr>
        <w:t>, § 102</w:t>
      </w:r>
      <w:r>
        <w:rPr>
          <w:lang w:val="en-US"/>
        </w:rPr>
        <w:t>.</w:t>
      </w:r>
    </w:p>
  </w:footnote>
  <w:footnote w:id="186">
    <w:p w14:paraId="0755209B" w14:textId="4ED1478C"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Aktg, Stock Corporation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_Ref16194547 \h </w:instrText>
      </w:r>
      <w:r>
        <w:rPr>
          <w:lang w:val="en-US"/>
        </w:rPr>
        <w:instrText xml:space="preserve"> \* MERGEFORMAT </w:instrText>
      </w:r>
      <w:r w:rsidRPr="0008474E">
        <w:rPr>
          <w:lang w:val="en-US"/>
        </w:rPr>
      </w:r>
      <w:r w:rsidRPr="0008474E">
        <w:rPr>
          <w:lang w:val="en-US"/>
        </w:rPr>
        <w:fldChar w:fldCharType="separate"/>
      </w:r>
      <w:r w:rsidR="00AE4BA1">
        <w:rPr>
          <w:lang w:val="en-US"/>
        </w:rPr>
        <w:t>179</w:t>
      </w:r>
      <w:r w:rsidRPr="0008474E">
        <w:rPr>
          <w:lang w:val="en-US"/>
        </w:rPr>
        <w:fldChar w:fldCharType="end"/>
      </w:r>
      <w:r w:rsidRPr="0008474E">
        <w:rPr>
          <w:lang w:val="en-US"/>
        </w:rPr>
        <w:t>, § 96(2).  The 30% quotas for men and women on boards applies to supervisory boards of listed companies which are subject to the Co-determination Act (MitbestG), the Coal and Steel Co-determination Act (Montan Mitbest G) or the Supplementary Co-determination Act (Montan Mitbest GErgG).  The 30% quotas also apply to management boards in the case of companies which have resulted from a cross-border merger where the above Acts apply.</w:t>
      </w:r>
    </w:p>
  </w:footnote>
  <w:footnote w:id="187">
    <w:p w14:paraId="67D09460" w14:textId="4DB2B1C1"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Aktg, Stock Corporation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_Ref16194547 \h </w:instrText>
      </w:r>
      <w:r>
        <w:rPr>
          <w:lang w:val="en-US"/>
        </w:rPr>
        <w:instrText xml:space="preserve"> \* MERGEFORMAT </w:instrText>
      </w:r>
      <w:r w:rsidRPr="0008474E">
        <w:rPr>
          <w:lang w:val="en-US"/>
        </w:rPr>
      </w:r>
      <w:r w:rsidRPr="0008474E">
        <w:rPr>
          <w:lang w:val="en-US"/>
        </w:rPr>
        <w:fldChar w:fldCharType="separate"/>
      </w:r>
      <w:r w:rsidR="00AE4BA1">
        <w:rPr>
          <w:lang w:val="en-US"/>
        </w:rPr>
        <w:t>179</w:t>
      </w:r>
      <w:r w:rsidRPr="0008474E">
        <w:rPr>
          <w:lang w:val="en-US"/>
        </w:rPr>
        <w:fldChar w:fldCharType="end"/>
      </w:r>
      <w:r w:rsidRPr="0008474E">
        <w:rPr>
          <w:lang w:val="en-US"/>
        </w:rPr>
        <w:t>, §§ 76(4), 111(5).</w:t>
      </w:r>
    </w:p>
  </w:footnote>
  <w:footnote w:id="188">
    <w:p w14:paraId="47D91E4F" w14:textId="5B5A2888"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See</w:t>
      </w:r>
      <w:r w:rsidRPr="0008474E">
        <w:rPr>
          <w:lang w:val="en-US"/>
        </w:rPr>
        <w:t xml:space="preserve"> Aktg, Stock Corporation Act, </w:t>
      </w:r>
      <w:r w:rsidRPr="0008474E">
        <w:rPr>
          <w:i/>
          <w:lang w:val="en-US"/>
        </w:rPr>
        <w:t xml:space="preserve">supra </w:t>
      </w:r>
      <w:r w:rsidRPr="0008474E">
        <w:rPr>
          <w:lang w:val="en-US"/>
        </w:rPr>
        <w:t xml:space="preserve">note </w:t>
      </w:r>
      <w:r w:rsidRPr="0008474E">
        <w:rPr>
          <w:lang w:val="en-US"/>
        </w:rPr>
        <w:fldChar w:fldCharType="begin"/>
      </w:r>
      <w:r w:rsidRPr="0008474E">
        <w:rPr>
          <w:lang w:val="en-US"/>
        </w:rPr>
        <w:instrText xml:space="preserve"> NOTEREF _Ref16194547 \h </w:instrText>
      </w:r>
      <w:r>
        <w:rPr>
          <w:lang w:val="en-US"/>
        </w:rPr>
        <w:instrText xml:space="preserve"> \* MERGEFORMAT </w:instrText>
      </w:r>
      <w:r w:rsidRPr="0008474E">
        <w:rPr>
          <w:lang w:val="en-US"/>
        </w:rPr>
      </w:r>
      <w:r w:rsidRPr="0008474E">
        <w:rPr>
          <w:lang w:val="en-US"/>
        </w:rPr>
        <w:fldChar w:fldCharType="separate"/>
      </w:r>
      <w:r w:rsidR="00AE4BA1">
        <w:rPr>
          <w:lang w:val="en-US"/>
        </w:rPr>
        <w:t>179</w:t>
      </w:r>
      <w:r w:rsidRPr="0008474E">
        <w:rPr>
          <w:lang w:val="en-US"/>
        </w:rPr>
        <w:fldChar w:fldCharType="end"/>
      </w:r>
      <w:r w:rsidRPr="0008474E">
        <w:rPr>
          <w:lang w:val="en-US"/>
        </w:rPr>
        <w:t>, §§ 76(4), 111(5</w:t>
      </w:r>
      <w:r>
        <w:rPr>
          <w:lang w:val="en-US"/>
        </w:rPr>
        <w:t>).</w:t>
      </w:r>
    </w:p>
  </w:footnote>
  <w:footnote w:id="189">
    <w:p w14:paraId="6F6CAB11"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Data from the German Federal Ministry for Family, Seniors, Women and Youth is available at https://www.bmfsfj.de/quote/daten.html (accessed on May 10, 2019). </w:t>
      </w:r>
    </w:p>
  </w:footnote>
  <w:footnote w:id="190">
    <w:p w14:paraId="36EB9A5F" w14:textId="77777777" w:rsidR="00953C0F" w:rsidRPr="000A334C" w:rsidRDefault="00953C0F" w:rsidP="006902A2">
      <w:pPr>
        <w:pStyle w:val="FootnoteText"/>
        <w:rPr>
          <w:lang w:val="de-CH"/>
        </w:rPr>
      </w:pPr>
      <w:r w:rsidRPr="0008474E">
        <w:rPr>
          <w:rStyle w:val="FootnoteReference"/>
          <w:lang w:val="en-US"/>
        </w:rPr>
        <w:footnoteRef/>
      </w:r>
      <w:r w:rsidRPr="000A334C">
        <w:rPr>
          <w:lang w:val="de-CH"/>
        </w:rPr>
        <w:tab/>
        <w:t xml:space="preserve">Allbright Stiftung gGmbH, </w:t>
      </w:r>
      <w:r w:rsidRPr="00721F15">
        <w:rPr>
          <w:i/>
          <w:lang w:val="de-DE"/>
        </w:rPr>
        <w:t>Die Macht hinter den Kulissen: Warum Aufsichtsräte keine Frauen in die Vorstände bringen</w:t>
      </w:r>
      <w:r w:rsidRPr="000A334C">
        <w:rPr>
          <w:lang w:val="de-CH"/>
        </w:rPr>
        <w:t xml:space="preserve"> 7 (Apr. 2019), http://www.allbright-stiftung.de/s/AllBrightBericht_April_2019.pdf.</w:t>
      </w:r>
    </w:p>
  </w:footnote>
  <w:footnote w:id="191">
    <w:p w14:paraId="078DF745"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at 7.</w:t>
      </w:r>
    </w:p>
  </w:footnote>
  <w:footnote w:id="192">
    <w:p w14:paraId="6C53D3DA"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at 12.</w:t>
      </w:r>
    </w:p>
  </w:footnote>
  <w:footnote w:id="193">
    <w:p w14:paraId="66F33E77"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Corporate Governance Code</w:t>
      </w:r>
      <w:r w:rsidRPr="0008474E">
        <w:rPr>
          <w:lang w:val="en-US"/>
        </w:rPr>
        <w:t xml:space="preserve">, July 2015, https://www.borsaitaliana.it/borsaitaliana/regolamenti/corporategovernance/code2015.en.pdf. </w:t>
      </w:r>
      <w:r>
        <w:rPr>
          <w:lang w:val="en-US"/>
        </w:rPr>
        <w:t xml:space="preserve"> </w:t>
      </w:r>
      <w:r w:rsidRPr="0008474E">
        <w:rPr>
          <w:lang w:val="en-US"/>
        </w:rPr>
        <w:t xml:space="preserve">July 2018 variations have been adopted in order to reflect the Gender Balance Law, </w:t>
      </w:r>
      <w:r>
        <w:rPr>
          <w:lang w:val="en-US"/>
        </w:rPr>
        <w:t xml:space="preserve">once the law is </w:t>
      </w:r>
      <w:r w:rsidRPr="0008474E">
        <w:rPr>
          <w:lang w:val="en-US"/>
        </w:rPr>
        <w:t>no longer effective.</w:t>
      </w:r>
      <w:r>
        <w:rPr>
          <w:lang w:val="en-US"/>
        </w:rPr>
        <w:t xml:space="preserve"> </w:t>
      </w:r>
      <w:r w:rsidRPr="0008474E">
        <w:rPr>
          <w:lang w:val="en-US"/>
        </w:rPr>
        <w:t xml:space="preserve"> </w:t>
      </w:r>
      <w:r w:rsidRPr="0008474E">
        <w:rPr>
          <w:i/>
          <w:lang w:val="en-US"/>
        </w:rPr>
        <w:t>See Corporate Governance Code</w:t>
      </w:r>
      <w:r w:rsidRPr="0008474E">
        <w:rPr>
          <w:lang w:val="en-US"/>
        </w:rPr>
        <w:t xml:space="preserve">, July 2018, https://www.borsaitaliana.it/comitato-corporate-governance/codice/codiceeng2018.en.pdf; </w:t>
      </w:r>
      <w:r w:rsidRPr="0008474E">
        <w:rPr>
          <w:i/>
          <w:lang w:val="en-US"/>
        </w:rPr>
        <w:t xml:space="preserve">see also </w:t>
      </w:r>
      <w:r w:rsidRPr="0008474E">
        <w:rPr>
          <w:lang w:val="en-US"/>
        </w:rPr>
        <w:t xml:space="preserve">Fiorella Alvino &amp; Fabio Liguori, </w:t>
      </w:r>
      <w:r w:rsidRPr="0008474E">
        <w:rPr>
          <w:i/>
          <w:lang w:val="en-US"/>
        </w:rPr>
        <w:t>Italy: Corporate Governance 2019</w:t>
      </w:r>
      <w:r w:rsidRPr="0008474E">
        <w:rPr>
          <w:lang w:val="en-US"/>
        </w:rPr>
        <w:t xml:space="preserve"> (July 22, 2019), https://iclg.com/practice-areas/corporate-governance-laws-and-regulations/italy.</w:t>
      </w:r>
    </w:p>
  </w:footnote>
  <w:footnote w:id="194">
    <w:p w14:paraId="1CB04734"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Pr>
          <w:lang w:val="en-US"/>
        </w:rPr>
        <w:tab/>
      </w:r>
      <w:r w:rsidRPr="0008474E">
        <w:rPr>
          <w:lang w:val="en-US"/>
        </w:rPr>
        <w:t>Italian Civil Code, Fifth Book, Title V, Chapter V, Section VI-bis</w:t>
      </w:r>
      <w:r>
        <w:rPr>
          <w:lang w:val="en-US"/>
        </w:rPr>
        <w:t>.</w:t>
      </w:r>
    </w:p>
  </w:footnote>
  <w:footnote w:id="195">
    <w:p w14:paraId="31A865EA" w14:textId="77777777" w:rsidR="00953C0F" w:rsidRPr="0008474E" w:rsidRDefault="00953C0F" w:rsidP="006902A2">
      <w:pPr>
        <w:pStyle w:val="FootnoteText"/>
        <w:rPr>
          <w:i/>
          <w:lang w:val="en-US"/>
        </w:rPr>
      </w:pPr>
      <w:r w:rsidRPr="0008474E">
        <w:rPr>
          <w:rStyle w:val="FootnoteReference"/>
          <w:lang w:val="en-US"/>
        </w:rPr>
        <w:footnoteRef/>
      </w:r>
      <w:r w:rsidRPr="0008474E">
        <w:rPr>
          <w:lang w:val="en-US"/>
        </w:rPr>
        <w:t xml:space="preserve"> </w:t>
      </w:r>
      <w:r>
        <w:rPr>
          <w:lang w:val="en-US"/>
        </w:rPr>
        <w:tab/>
      </w:r>
      <w:r w:rsidRPr="0008474E">
        <w:rPr>
          <w:i/>
          <w:lang w:val="en-US"/>
        </w:rPr>
        <w:t>Id.</w:t>
      </w:r>
    </w:p>
  </w:footnote>
  <w:footnote w:id="196">
    <w:p w14:paraId="245A9B8D"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Pr>
          <w:lang w:val="en-US"/>
        </w:rPr>
        <w:tab/>
      </w:r>
      <w:r w:rsidRPr="0008474E">
        <w:rPr>
          <w:lang w:val="en-US"/>
        </w:rPr>
        <w:t>Corporate Governance Code, Art. 2</w:t>
      </w:r>
      <w:r>
        <w:rPr>
          <w:lang w:val="en-US"/>
        </w:rPr>
        <w:t>.</w:t>
      </w:r>
    </w:p>
  </w:footnote>
  <w:footnote w:id="197">
    <w:p w14:paraId="430E2605"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Pr>
          <w:lang w:val="en-US"/>
        </w:rPr>
        <w:tab/>
      </w:r>
      <w:r w:rsidRPr="0008474E">
        <w:rPr>
          <w:lang w:val="en-US"/>
        </w:rPr>
        <w:t>Italian Civil Code, Fifth Book, Title V, Chapter V, Section VI-bis</w:t>
      </w:r>
      <w:r>
        <w:rPr>
          <w:lang w:val="en-US"/>
        </w:rPr>
        <w:t>.</w:t>
      </w:r>
    </w:p>
  </w:footnote>
  <w:footnote w:id="198">
    <w:p w14:paraId="10D577B1"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Pr>
          <w:lang w:val="en-US"/>
        </w:rPr>
        <w:tab/>
      </w:r>
      <w:r w:rsidRPr="0008474E">
        <w:rPr>
          <w:lang w:val="en-US"/>
        </w:rPr>
        <w:t>Italian Civil Code, Fifth Book, Title V, Chapter V, Section VI-bis</w:t>
      </w:r>
      <w:r>
        <w:rPr>
          <w:lang w:val="en-US"/>
        </w:rPr>
        <w:t>.</w:t>
      </w:r>
    </w:p>
  </w:footnote>
  <w:footnote w:id="199">
    <w:p w14:paraId="685D8E06" w14:textId="23F7C75D" w:rsidR="00953C0F" w:rsidRPr="0008474E" w:rsidRDefault="00953C0F" w:rsidP="006902A2">
      <w:pPr>
        <w:pStyle w:val="FootnoteText"/>
        <w:rPr>
          <w:lang w:val="en-US"/>
        </w:rPr>
      </w:pPr>
      <w:r w:rsidRPr="0008474E">
        <w:rPr>
          <w:rStyle w:val="FootnoteReference"/>
          <w:lang w:val="en-US"/>
        </w:rPr>
        <w:footnoteRef/>
      </w:r>
      <w:r w:rsidRPr="0008474E">
        <w:rPr>
          <w:lang w:val="en-US"/>
        </w:rPr>
        <w:tab/>
        <w:t>At least one</w:t>
      </w:r>
      <w:r>
        <w:rPr>
          <w:lang w:val="en-US"/>
        </w:rPr>
        <w:t>-</w:t>
      </w:r>
      <w:r w:rsidRPr="0008474E">
        <w:rPr>
          <w:lang w:val="en-US"/>
        </w:rPr>
        <w:t>fifth (20%) at the first renewal of the board of directors / statutory auditors occurring one year after enactment of the new law, i.e.</w:t>
      </w:r>
      <w:r>
        <w:rPr>
          <w:lang w:val="en-US"/>
        </w:rPr>
        <w:t>,</w:t>
      </w:r>
      <w:r w:rsidRPr="0008474E">
        <w:rPr>
          <w:lang w:val="en-US"/>
        </w:rPr>
        <w:t xml:space="preserve"> August 12, 2012; one-third (33.33%) on the second and third renewals thereafter.  In the event of staggered boards, the percentage is to be met by reference to both the seats being renewed and the whole relevant board of directors / statutory auditors.</w:t>
      </w:r>
    </w:p>
  </w:footnote>
  <w:footnote w:id="200">
    <w:p w14:paraId="681E7C61" w14:textId="26D9E283"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Law No. 120/2011 (the </w:t>
      </w:r>
      <w:r w:rsidRPr="00203E75">
        <w:rPr>
          <w:i/>
          <w:lang w:val="en-US"/>
        </w:rPr>
        <w:t>“</w:t>
      </w:r>
      <w:r w:rsidRPr="0008474E">
        <w:rPr>
          <w:lang w:val="en-US"/>
        </w:rPr>
        <w:t>Gender Balance Law</w:t>
      </w:r>
      <w:r>
        <w:rPr>
          <w:lang w:val="en-US"/>
        </w:rPr>
        <w:t>,</w:t>
      </w:r>
      <w:r w:rsidRPr="00203E75">
        <w:rPr>
          <w:i/>
          <w:lang w:val="en-US"/>
        </w:rPr>
        <w:t>”</w:t>
      </w:r>
      <w:r w:rsidRPr="0008474E">
        <w:rPr>
          <w:lang w:val="en-US"/>
        </w:rPr>
        <w:t xml:space="preserve"> also known as the </w:t>
      </w:r>
      <w:r w:rsidRPr="00203E75">
        <w:rPr>
          <w:i/>
          <w:lang w:val="en-US"/>
        </w:rPr>
        <w:t>“</w:t>
      </w:r>
      <w:r w:rsidRPr="0008474E">
        <w:rPr>
          <w:lang w:val="en-US"/>
        </w:rPr>
        <w:t>Golfo-Mosca</w:t>
      </w:r>
      <w:r w:rsidRPr="00203E75">
        <w:rPr>
          <w:i/>
          <w:lang w:val="en-US"/>
        </w:rPr>
        <w:t>”</w:t>
      </w:r>
      <w:r w:rsidRPr="0008474E">
        <w:rPr>
          <w:lang w:val="en-US"/>
        </w:rPr>
        <w:t xml:space="preserve"> Law), on the gender diversity balance in the composition of listed companies</w:t>
      </w:r>
      <w:r>
        <w:rPr>
          <w:lang w:val="en-US"/>
        </w:rPr>
        <w:t>’</w:t>
      </w:r>
      <w:r w:rsidRPr="0008474E">
        <w:rPr>
          <w:lang w:val="en-US"/>
        </w:rPr>
        <w:t xml:space="preserve"> corporate bodies, was signed by the President on July 12, 2011, and entered into effect on August 12, 2011.  </w:t>
      </w:r>
      <w:r w:rsidRPr="0008474E">
        <w:rPr>
          <w:i/>
          <w:lang w:val="en-US"/>
        </w:rPr>
        <w:t>See</w:t>
      </w:r>
      <w:r w:rsidRPr="0008474E">
        <w:rPr>
          <w:lang w:val="en-US"/>
        </w:rPr>
        <w:t xml:space="preserve"> Legislative Decree No. 58 as amended by Law No. 120/2011, July 12, 2011, https://www.access-info.org/wp-content/uploads/Decree58_1998_English.pdf.</w:t>
      </w:r>
    </w:p>
  </w:footnote>
  <w:footnote w:id="201">
    <w:p w14:paraId="74968D45"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Pr>
          <w:lang w:val="en-US"/>
        </w:rPr>
        <w:tab/>
      </w:r>
      <w:r w:rsidRPr="0008474E">
        <w:rPr>
          <w:lang w:val="en-US"/>
        </w:rPr>
        <w:t>Law No. 120/2011, Art. 1</w:t>
      </w:r>
      <w:r>
        <w:rPr>
          <w:lang w:val="en-US"/>
        </w:rPr>
        <w:t>.</w:t>
      </w:r>
    </w:p>
  </w:footnote>
  <w:footnote w:id="202">
    <w:p w14:paraId="4EB68FD2" w14:textId="65A8E202"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Press Release, Italian Corporate Governance Committee, New Corporate Governance Code Recommendations on Diversity, Including by Gender, for Listed Companies (July 17, 2018), https://www.borsaitaliana.it/comitato-corporate-governance/codice/comunicato2018eng.en.pdf. </w:t>
      </w:r>
      <w:r>
        <w:rPr>
          <w:lang w:val="en-US"/>
        </w:rPr>
        <w:t xml:space="preserve"> </w:t>
      </w:r>
      <w:r w:rsidRPr="0008474E">
        <w:rPr>
          <w:lang w:val="en-US"/>
        </w:rPr>
        <w:t xml:space="preserve">The Italian Stock Exchange has now issued a redline of the English translation of the 2015 code showing the 2018 changes: https://www.borsaitaliana.it/comitato-corporate-governance/codice/codiceeng2018rev.en.pdf (the </w:t>
      </w:r>
      <w:r w:rsidRPr="00203E75">
        <w:rPr>
          <w:i/>
          <w:lang w:val="en-US"/>
        </w:rPr>
        <w:t>“</w:t>
      </w:r>
      <w:r w:rsidRPr="0008474E">
        <w:rPr>
          <w:lang w:val="en-US"/>
        </w:rPr>
        <w:t>Corporate Governance Redline</w:t>
      </w:r>
      <w:r w:rsidRPr="00203E75">
        <w:rPr>
          <w:i/>
          <w:lang w:val="en-US"/>
        </w:rPr>
        <w:t>”</w:t>
      </w:r>
      <w:r w:rsidRPr="0008474E">
        <w:rPr>
          <w:lang w:val="en-US"/>
        </w:rPr>
        <w:t>).</w:t>
      </w:r>
    </w:p>
  </w:footnote>
  <w:footnote w:id="203">
    <w:p w14:paraId="4CB83997"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Corporate Governance Code Redline at 2.P.4, 2.C.3, 8.P.2, 8.C.3.</w:t>
      </w:r>
    </w:p>
  </w:footnote>
  <w:footnote w:id="204">
    <w:p w14:paraId="52862893"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at 1.C.1(g)-(i).</w:t>
      </w:r>
    </w:p>
  </w:footnote>
  <w:footnote w:id="205">
    <w:p w14:paraId="7FCF7D9E"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http://www.glglex.com/en/new-corporate-governance-code-recommendations-diversity-including-by-gender-for-listed-companies/.</w:t>
      </w:r>
      <w:r>
        <w:rPr>
          <w:lang w:val="en-US"/>
        </w:rPr>
        <w:t xml:space="preserve">  </w:t>
      </w:r>
      <w:r w:rsidRPr="0008474E">
        <w:rPr>
          <w:lang w:val="en-US"/>
        </w:rPr>
        <w:t xml:space="preserve">Corporate Governance Committee, </w:t>
      </w:r>
      <w:r w:rsidRPr="0008474E">
        <w:rPr>
          <w:i/>
          <w:lang w:val="en-US"/>
        </w:rPr>
        <w:t>Corporate Governance Code</w:t>
      </w:r>
      <w:r w:rsidRPr="0008474E">
        <w:rPr>
          <w:lang w:val="en-US"/>
        </w:rPr>
        <w:t>, July 2018, https://www.borsaitaliana.it/comitato-corporate-governance/codice/codiceeng2018.en.pdf.</w:t>
      </w:r>
    </w:p>
  </w:footnote>
  <w:footnote w:id="206">
    <w:p w14:paraId="56131E05" w14:textId="2CD1C711"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Joint Media Release, Ethics &amp; Boards </w:t>
      </w:r>
      <w:r w:rsidRPr="0008474E">
        <w:rPr>
          <w:i/>
          <w:lang w:val="en-US"/>
        </w:rPr>
        <w:t>and</w:t>
      </w:r>
      <w:r w:rsidRPr="0008474E">
        <w:rPr>
          <w:lang w:val="en-US"/>
        </w:rPr>
        <w:t xml:space="preserve"> European Women on Boards, </w:t>
      </w:r>
      <w:r w:rsidRPr="0008474E">
        <w:rPr>
          <w:i/>
          <w:lang w:val="en-US"/>
        </w:rPr>
        <w:t>First EWoB and Ethics &amp; Boards Index Maps the Current Status of Gender Diversity in 200 European Listed Companies</w:t>
      </w:r>
      <w:r w:rsidRPr="0008474E">
        <w:rPr>
          <w:lang w:val="en-US"/>
        </w:rPr>
        <w:t xml:space="preserve"> (Nov. 29, 2018), https://www.ethicsandboards.com/assets/images/784/original/VF_Press_release_Index_2018_final.pdf?1543423126. </w:t>
      </w:r>
      <w:r>
        <w:rPr>
          <w:lang w:val="en-US"/>
        </w:rPr>
        <w:t xml:space="preserve"> </w:t>
      </w:r>
      <w:r w:rsidRPr="0008474E">
        <w:rPr>
          <w:lang w:val="en-US"/>
        </w:rPr>
        <w:t>The European Commission</w:t>
      </w:r>
      <w:r>
        <w:rPr>
          <w:lang w:val="en-US"/>
        </w:rPr>
        <w:t>’</w:t>
      </w:r>
      <w:r w:rsidRPr="0008474E">
        <w:rPr>
          <w:lang w:val="en-US"/>
        </w:rPr>
        <w:t xml:space="preserve">s </w:t>
      </w:r>
      <w:r w:rsidRPr="0008474E">
        <w:rPr>
          <w:i/>
          <w:lang w:val="en-US"/>
        </w:rPr>
        <w:t>2019 Report on Equality Between Women and Men in the EU</w:t>
      </w:r>
      <w:r w:rsidRPr="0008474E">
        <w:rPr>
          <w:lang w:val="en-US"/>
        </w:rPr>
        <w:t xml:space="preserve">,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_Ref16194272 \h </w:instrText>
      </w:r>
      <w:r>
        <w:rPr>
          <w:lang w:val="en-US"/>
        </w:rPr>
        <w:instrText xml:space="preserve"> \* MERGEFORMAT </w:instrText>
      </w:r>
      <w:r w:rsidRPr="0008474E">
        <w:rPr>
          <w:lang w:val="en-US"/>
        </w:rPr>
      </w:r>
      <w:r w:rsidRPr="0008474E">
        <w:rPr>
          <w:lang w:val="en-US"/>
        </w:rPr>
        <w:fldChar w:fldCharType="separate"/>
      </w:r>
      <w:r w:rsidR="00AE4BA1">
        <w:rPr>
          <w:lang w:val="en-US"/>
        </w:rPr>
        <w:t>80</w:t>
      </w:r>
      <w:r w:rsidRPr="0008474E">
        <w:rPr>
          <w:lang w:val="en-US"/>
        </w:rPr>
        <w:fldChar w:fldCharType="end"/>
      </w:r>
      <w:r w:rsidRPr="0008474E">
        <w:rPr>
          <w:lang w:val="en-US"/>
        </w:rPr>
        <w:t xml:space="preserve">, indicates an average level of female representation on the boards of the largest Italian publicly listed companies of 36.4%, thus placing Italy in second position after France in the European Union, while the </w:t>
      </w:r>
      <w:r>
        <w:rPr>
          <w:lang w:val="en-US"/>
        </w:rPr>
        <w:t>European</w:t>
      </w:r>
      <w:r w:rsidRPr="0008474E">
        <w:rPr>
          <w:lang w:val="en-US"/>
        </w:rPr>
        <w:t xml:space="preserve">-28 average stands at 26.7%.  </w:t>
      </w:r>
      <w:r w:rsidRPr="0008474E">
        <w:rPr>
          <w:i/>
          <w:lang w:val="en-US"/>
        </w:rPr>
        <w:t>Id.</w:t>
      </w:r>
      <w:r w:rsidRPr="0008474E">
        <w:rPr>
          <w:lang w:val="en-US"/>
        </w:rPr>
        <w:t xml:space="preserve"> at 25.</w:t>
      </w:r>
    </w:p>
  </w:footnote>
  <w:footnote w:id="207">
    <w:p w14:paraId="367376F7"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G.S.F. Bruno et al., </w:t>
      </w:r>
      <w:r w:rsidRPr="0008474E">
        <w:rPr>
          <w:i/>
          <w:lang w:val="en-US"/>
        </w:rPr>
        <w:t>Boardroom Gender Diversity and Performance of Listed Companies in Italy</w:t>
      </w:r>
      <w:r w:rsidRPr="0008474E">
        <w:rPr>
          <w:lang w:val="en-US"/>
        </w:rPr>
        <w:t xml:space="preserve"> 18 (Commissione Nazionale per le Società e la B</w:t>
      </w:r>
      <w:r>
        <w:rPr>
          <w:lang w:val="en-US"/>
        </w:rPr>
        <w:t>orsa, Working Paper No. 87 Sept.</w:t>
      </w:r>
      <w:r w:rsidRPr="0008474E">
        <w:rPr>
          <w:lang w:val="en-US"/>
        </w:rPr>
        <w:t xml:space="preserve"> 2018), http://www.consob.it/documents/46180/46181/wp87.pdf/d733b58a-44b4-42de-98c7-3c89a82a0182.</w:t>
      </w:r>
    </w:p>
  </w:footnote>
  <w:footnote w:id="208">
    <w:p w14:paraId="06A7B0B5"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Org. for Econ. Co-operation &amp; Dev., </w:t>
      </w:r>
      <w:r w:rsidRPr="0008474E">
        <w:rPr>
          <w:i/>
          <w:lang w:val="en-US"/>
        </w:rPr>
        <w:t>G20/OECD Principles of Corporate Governance</w:t>
      </w:r>
      <w:r w:rsidRPr="0008474E">
        <w:rPr>
          <w:lang w:val="en-US"/>
        </w:rPr>
        <w:t xml:space="preserve"> (2015), https://www.oecd-ilibrary.org/governance/g20-oecd-principles-of-corporate-governance-2015_9789264236882-en.</w:t>
      </w:r>
    </w:p>
  </w:footnote>
  <w:footnote w:id="209">
    <w:p w14:paraId="6A32D476"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OECD, </w:t>
      </w:r>
      <w:r w:rsidRPr="0008474E">
        <w:rPr>
          <w:i/>
          <w:lang w:val="en-US"/>
        </w:rPr>
        <w:t>OECD Guidelines on Corporate Governance of State-Owned Enterprises</w:t>
      </w:r>
      <w:r w:rsidRPr="0008474E">
        <w:rPr>
          <w:lang w:val="en-US"/>
        </w:rPr>
        <w:t xml:space="preserve"> (2015), https://www.oecd-ilibrary.org/governance/oecd-guidelines-on-corporate-governance-of-state-owned-enterprises-2015_9789264244160-en.</w:t>
      </w:r>
    </w:p>
  </w:footnote>
  <w:footnote w:id="210">
    <w:p w14:paraId="3B0DA25C"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Nasdaq OMX Riga, </w:t>
      </w:r>
      <w:r w:rsidRPr="0008474E">
        <w:rPr>
          <w:i/>
          <w:lang w:val="en-US"/>
        </w:rPr>
        <w:t>Nasdaq Riga Rules on Listing and Trading of Financial Instruments on the Markets Regulated by the Exchange</w:t>
      </w:r>
      <w:r w:rsidRPr="0008474E">
        <w:rPr>
          <w:lang w:val="en-US"/>
        </w:rPr>
        <w:t xml:space="preserve"> (2018), https://www.nasdaqbaltic.com/files/riga/rules/‌NQRiga_Lat/2018_11_26_NasdaqRiga_Listing_K‌ONSOLIDETIE_ENG.pdf.</w:t>
      </w:r>
    </w:p>
  </w:footnote>
  <w:footnote w:id="211">
    <w:p w14:paraId="151A880E"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Nasdaq OMX Riga, </w:t>
      </w:r>
      <w:r w:rsidRPr="0008474E">
        <w:rPr>
          <w:i/>
          <w:lang w:val="en-US"/>
        </w:rPr>
        <w:t>Principles of Corporate Governance and Recommendations on Their Implementation</w:t>
      </w:r>
      <w:r w:rsidRPr="0008474E">
        <w:rPr>
          <w:lang w:val="en-US"/>
        </w:rPr>
        <w:t xml:space="preserve"> (2010), https://www.nasdaqbaltic.com/files/riga/corp_gov_May_2010_final_EN.pdf.</w:t>
      </w:r>
    </w:p>
  </w:footnote>
  <w:footnote w:id="212">
    <w:p w14:paraId="35E23264"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[The Commercial Law, s.304]</w:t>
      </w:r>
      <w:r>
        <w:rPr>
          <w:lang w:val="en-US"/>
        </w:rPr>
        <w:t>.</w:t>
      </w:r>
    </w:p>
  </w:footnote>
  <w:footnote w:id="213">
    <w:p w14:paraId="41B3EDBC"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Olga Rastrigina, FEMM Comm., European Parliament, </w:t>
      </w:r>
      <w:r w:rsidRPr="0008474E">
        <w:rPr>
          <w:i/>
          <w:lang w:val="en-US"/>
        </w:rPr>
        <w:t>The Policy on Gender Equality in Latvia</w:t>
      </w:r>
      <w:r w:rsidRPr="0008474E">
        <w:rPr>
          <w:lang w:val="en-US"/>
        </w:rPr>
        <w:t xml:space="preserve"> 11 (2015), http://www.gwi-boell.de/sites/default/files/‌uploads/2010/02/‌ipol_ida2015510008_en.pdf.</w:t>
      </w:r>
    </w:p>
  </w:footnote>
  <w:footnote w:id="214">
    <w:p w14:paraId="2EB4231C" w14:textId="109B9CB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at s.305</w:t>
      </w:r>
      <w:r>
        <w:rPr>
          <w:lang w:val="en-US"/>
        </w:rPr>
        <w:t>.</w:t>
      </w:r>
    </w:p>
  </w:footnote>
  <w:footnote w:id="215">
    <w:p w14:paraId="4FB3AC88"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at s.306</w:t>
      </w:r>
      <w:r>
        <w:rPr>
          <w:lang w:val="en-US"/>
        </w:rPr>
        <w:t>.</w:t>
      </w:r>
    </w:p>
  </w:footnote>
  <w:footnote w:id="216">
    <w:p w14:paraId="3AEEC28F"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Ministry of Welfare, </w:t>
      </w:r>
      <w:r w:rsidRPr="0008474E">
        <w:rPr>
          <w:i/>
          <w:lang w:val="en-US"/>
        </w:rPr>
        <w:t>Gender Equality Action Plan 2012-2014</w:t>
      </w:r>
      <w:r w:rsidRPr="0008474E">
        <w:rPr>
          <w:lang w:val="en-US"/>
        </w:rPr>
        <w:t xml:space="preserve"> (2012), http://www.lm.gov.lv/upload/dzimumu_lidztiesiba/anglu/plans_dzim_lidzt_en.pdf.</w:t>
      </w:r>
    </w:p>
  </w:footnote>
  <w:footnote w:id="217">
    <w:p w14:paraId="74AACA07" w14:textId="06CEB2F7" w:rsidR="00953C0F" w:rsidRPr="0008474E" w:rsidRDefault="00953C0F" w:rsidP="006902A2">
      <w:pPr>
        <w:pStyle w:val="FootnoteText"/>
        <w:rPr>
          <w:lang w:val="en-US"/>
        </w:rPr>
      </w:pPr>
      <w:r w:rsidRPr="0008474E">
        <w:rPr>
          <w:rStyle w:val="FootnoteReference"/>
          <w:lang w:val="en-US"/>
        </w:rPr>
        <w:footnoteRef/>
      </w:r>
      <w:r>
        <w:rPr>
          <w:lang w:val="en-US"/>
        </w:rPr>
        <w:tab/>
      </w:r>
      <w:r w:rsidRPr="0008474E">
        <w:rPr>
          <w:lang w:val="en-US"/>
        </w:rPr>
        <w:t xml:space="preserve">European Commission, </w:t>
      </w:r>
      <w:r w:rsidRPr="0008474E">
        <w:rPr>
          <w:i/>
          <w:lang w:val="en-US"/>
        </w:rPr>
        <w:t>2019 Report on Equality Between Women and Men in the EU</w:t>
      </w:r>
      <w:r w:rsidRPr="0008474E">
        <w:rPr>
          <w:lang w:val="en-US"/>
        </w:rPr>
        <w:t xml:space="preserve"> 25,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_Ref16194272 \h </w:instrText>
      </w:r>
      <w:r>
        <w:rPr>
          <w:lang w:val="en-US"/>
        </w:rPr>
        <w:instrText xml:space="preserve"> \* MERGEFORMAT </w:instrText>
      </w:r>
      <w:r w:rsidRPr="0008474E">
        <w:rPr>
          <w:lang w:val="en-US"/>
        </w:rPr>
      </w:r>
      <w:r w:rsidRPr="0008474E">
        <w:rPr>
          <w:lang w:val="en-US"/>
        </w:rPr>
        <w:fldChar w:fldCharType="separate"/>
      </w:r>
      <w:r w:rsidR="00AE4BA1">
        <w:rPr>
          <w:lang w:val="en-US"/>
        </w:rPr>
        <w:t>80</w:t>
      </w:r>
      <w:r w:rsidRPr="0008474E">
        <w:rPr>
          <w:lang w:val="en-US"/>
        </w:rPr>
        <w:fldChar w:fldCharType="end"/>
      </w:r>
      <w:r w:rsidRPr="0008474E">
        <w:rPr>
          <w:lang w:val="en-US"/>
        </w:rPr>
        <w:t>.</w:t>
      </w:r>
    </w:p>
  </w:footnote>
  <w:footnote w:id="218">
    <w:p w14:paraId="571565D4"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 xml:space="preserve">Id. </w:t>
      </w:r>
    </w:p>
  </w:footnote>
  <w:footnote w:id="219">
    <w:p w14:paraId="6AF0567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World Bank, </w:t>
      </w:r>
      <w:r w:rsidRPr="0008474E">
        <w:rPr>
          <w:i/>
          <w:lang w:val="en-US"/>
        </w:rPr>
        <w:t>Women, Business and the Law: A Decade of Reform</w:t>
      </w:r>
      <w:r w:rsidRPr="0008474E">
        <w:rPr>
          <w:lang w:val="en-US"/>
        </w:rPr>
        <w:t xml:space="preserve"> 8 (2019), https://openknowledge.worldbank.org/bitstream/handle/10986/31327/WBL2019.pdf.</w:t>
      </w:r>
    </w:p>
  </w:footnote>
  <w:footnote w:id="220">
    <w:p w14:paraId="21314ADA"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rStyle w:val="Emphasis"/>
          <w:lang w:val="en-US"/>
        </w:rPr>
        <w:t>2018 Global Board Diversity Tracker, Who</w:t>
      </w:r>
      <w:r>
        <w:rPr>
          <w:rStyle w:val="Emphasis"/>
          <w:lang w:val="en-US"/>
        </w:rPr>
        <w:t>’</w:t>
      </w:r>
      <w:r w:rsidRPr="0008474E">
        <w:rPr>
          <w:rStyle w:val="Emphasis"/>
          <w:lang w:val="en-US"/>
        </w:rPr>
        <w:t>s Really on Board</w:t>
      </w:r>
      <w:r w:rsidRPr="0008474E">
        <w:rPr>
          <w:rStyle w:val="Emphasis"/>
          <w:i w:val="0"/>
          <w:lang w:val="en-US"/>
        </w:rPr>
        <w:t>,</w:t>
      </w:r>
      <w:r w:rsidRPr="0008474E">
        <w:rPr>
          <w:i/>
          <w:lang w:val="en-US"/>
        </w:rPr>
        <w:t xml:space="preserve"> </w:t>
      </w:r>
      <w:r>
        <w:rPr>
          <w:lang w:val="en-US"/>
        </w:rPr>
        <w:t>Egon Zehnder (Dec.</w:t>
      </w:r>
      <w:r w:rsidRPr="0008474E">
        <w:rPr>
          <w:lang w:val="en-US"/>
        </w:rPr>
        <w:t xml:space="preserve"> 2018), https://www.egonzehnder.com/global-board-diversity-tracker.</w:t>
      </w:r>
    </w:p>
  </w:footnote>
  <w:footnote w:id="221">
    <w:p w14:paraId="7B115559"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Itai Fiegenbaum &amp; Amir N. Licht, </w:t>
      </w:r>
      <w:r w:rsidRPr="0008474E">
        <w:rPr>
          <w:i/>
          <w:lang w:val="en-US"/>
        </w:rPr>
        <w:t>Corporate Law of Israel</w:t>
      </w:r>
      <w:r w:rsidRPr="0008474E">
        <w:rPr>
          <w:lang w:val="en-US"/>
        </w:rPr>
        <w:t>, ECGI Workin</w:t>
      </w:r>
      <w:r>
        <w:rPr>
          <w:lang w:val="en-US"/>
        </w:rPr>
        <w:t>g Paper No. 372/2017, at 9 (Oct.</w:t>
      </w:r>
      <w:r w:rsidRPr="0008474E">
        <w:rPr>
          <w:lang w:val="en-US"/>
        </w:rPr>
        <w:t xml:space="preserve"> 2017), </w:t>
      </w:r>
      <w:hyperlink r:id="rId1" w:history="1">
        <w:r w:rsidRPr="0008474E">
          <w:rPr>
            <w:rStyle w:val="Hyperlink"/>
            <w:color w:val="000000" w:themeColor="text1"/>
            <w:u w:val="none"/>
            <w:lang w:val="en-US"/>
          </w:rPr>
          <w:t>https://ecgi.global/sites/default/files/working_papers/documents/finalfiegenbaumlicht.pdf</w:t>
        </w:r>
      </w:hyperlink>
      <w:r w:rsidRPr="0008474E">
        <w:rPr>
          <w:color w:val="000000" w:themeColor="text1"/>
          <w:lang w:val="en-US"/>
        </w:rPr>
        <w:t>.</w:t>
      </w:r>
    </w:p>
  </w:footnote>
  <w:footnote w:id="222">
    <w:p w14:paraId="63043476" w14:textId="77777777" w:rsidR="00953C0F" w:rsidRPr="000A334C" w:rsidRDefault="00953C0F" w:rsidP="006902A2">
      <w:pPr>
        <w:pStyle w:val="FootnoteText"/>
        <w:rPr>
          <w:lang w:val="de-CH"/>
        </w:rPr>
      </w:pPr>
      <w:r w:rsidRPr="0008474E">
        <w:rPr>
          <w:rStyle w:val="FootnoteReference"/>
          <w:lang w:val="en-US"/>
        </w:rPr>
        <w:footnoteRef/>
      </w:r>
      <w:r w:rsidRPr="0008474E">
        <w:rPr>
          <w:lang w:val="en-US"/>
        </w:rPr>
        <w:tab/>
        <w:t>Companies Law, 5759-1999, pt.</w:t>
      </w:r>
      <w:r>
        <w:rPr>
          <w:lang w:val="en-US"/>
        </w:rPr>
        <w:t xml:space="preserve">  </w:t>
      </w:r>
      <w:r w:rsidRPr="0008474E">
        <w:rPr>
          <w:lang w:val="en-US"/>
        </w:rPr>
        <w:t xml:space="preserve">VI, ch. 1, art. </w:t>
      </w:r>
      <w:r w:rsidRPr="000A334C">
        <w:rPr>
          <w:lang w:val="de-CH"/>
        </w:rPr>
        <w:t>E, 239(d), 44 LSI 119 (Isr.), https://www.jewishvirtuallibrary.org/jsource/Politics/CompaniesLaw57591999.pdf.</w:t>
      </w:r>
    </w:p>
  </w:footnote>
  <w:footnote w:id="223">
    <w:p w14:paraId="335D79E5" w14:textId="77777777" w:rsidR="00953C0F" w:rsidRPr="0008474E" w:rsidRDefault="00953C0F" w:rsidP="006902A2">
      <w:pPr>
        <w:pStyle w:val="FootnoteText"/>
        <w:rPr>
          <w:color w:val="000000" w:themeColor="text1"/>
          <w:lang w:val="en-US"/>
        </w:rPr>
      </w:pPr>
      <w:r w:rsidRPr="0008474E">
        <w:rPr>
          <w:rStyle w:val="FootnoteReference"/>
          <w:lang w:val="en-US"/>
        </w:rPr>
        <w:footnoteRef/>
      </w:r>
      <w:r w:rsidRPr="0008474E">
        <w:rPr>
          <w:lang w:val="en-US"/>
        </w:rPr>
        <w:tab/>
        <w:t xml:space="preserve">Itai Fiegenbaum &amp; Amir N. Licht, European Corporate Governance Institute (ECGI), </w:t>
      </w:r>
      <w:r w:rsidRPr="0008474E">
        <w:rPr>
          <w:i/>
          <w:lang w:val="en-US"/>
        </w:rPr>
        <w:t>Corporate Law of Israel</w:t>
      </w:r>
      <w:r>
        <w:rPr>
          <w:lang w:val="en-US"/>
        </w:rPr>
        <w:t xml:space="preserve"> 9 n.37 (Oct.</w:t>
      </w:r>
      <w:r w:rsidRPr="0008474E">
        <w:rPr>
          <w:lang w:val="en-US"/>
        </w:rPr>
        <w:t xml:space="preserve"> 2017), </w:t>
      </w:r>
      <w:hyperlink r:id="rId2" w:history="1">
        <w:r w:rsidRPr="0008474E">
          <w:rPr>
            <w:rStyle w:val="Hyperlink"/>
            <w:color w:val="000000" w:themeColor="text1"/>
            <w:u w:val="none"/>
            <w:lang w:val="en-US"/>
          </w:rPr>
          <w:t>https://ecgi.global/sites/default/files/working_papers/documents/finalfiegenbaumlicht.pdf</w:t>
        </w:r>
      </w:hyperlink>
      <w:r w:rsidRPr="0008474E">
        <w:rPr>
          <w:color w:val="000000" w:themeColor="text1"/>
          <w:lang w:val="en-US"/>
        </w:rPr>
        <w:t xml:space="preserve">. </w:t>
      </w:r>
    </w:p>
  </w:footnote>
  <w:footnote w:id="224">
    <w:p w14:paraId="241A16AB" w14:textId="3CD7D3C0" w:rsidR="00953C0F" w:rsidRPr="0008474E" w:rsidRDefault="00953C0F" w:rsidP="006902A2">
      <w:pPr>
        <w:pStyle w:val="FootnoteText"/>
        <w:rPr>
          <w:lang w:val="en-US"/>
        </w:rPr>
      </w:pPr>
      <w:r w:rsidRPr="0008474E">
        <w:rPr>
          <w:rStyle w:val="FootnoteReference"/>
          <w:lang w:val="en-US"/>
        </w:rPr>
        <w:footnoteRef/>
      </w:r>
      <w:r w:rsidRPr="0008474E">
        <w:rPr>
          <w:lang w:val="en-US"/>
        </w:rPr>
        <w:tab/>
        <w:t>Amendment No.</w:t>
      </w:r>
      <w:r>
        <w:rPr>
          <w:lang w:val="en-US"/>
        </w:rPr>
        <w:t xml:space="preserve"> </w:t>
      </w:r>
      <w:r w:rsidRPr="0008474E">
        <w:rPr>
          <w:lang w:val="en-US"/>
        </w:rPr>
        <w:t>16 to the Companies Law (Improving Corporate Governance) (2011)</w:t>
      </w:r>
      <w:r>
        <w:rPr>
          <w:lang w:val="en-US"/>
        </w:rPr>
        <w:t>.</w:t>
      </w:r>
    </w:p>
  </w:footnote>
  <w:footnote w:id="225">
    <w:p w14:paraId="17E454BF"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Deloitte Global Ctr. for Corp. Governance, </w:t>
      </w:r>
      <w:r w:rsidRPr="0008474E">
        <w:rPr>
          <w:rStyle w:val="Emphasis"/>
          <w:lang w:val="en-US"/>
        </w:rPr>
        <w:t>Women in the boardroom: A global perspective</w:t>
      </w:r>
      <w:r w:rsidRPr="0008474E">
        <w:rPr>
          <w:rStyle w:val="Emphasis"/>
          <w:i w:val="0"/>
          <w:lang w:val="en-US"/>
        </w:rPr>
        <w:t xml:space="preserve"> 74</w:t>
      </w:r>
      <w:r w:rsidRPr="0008474E">
        <w:rPr>
          <w:lang w:val="en-US"/>
        </w:rPr>
        <w:t xml:space="preserve"> (5th ed. 2017) (citing Israel Securities Authority</w:t>
      </w:r>
      <w:r>
        <w:rPr>
          <w:lang w:val="en-US"/>
        </w:rPr>
        <w:t>’</w:t>
      </w:r>
      <w:r w:rsidRPr="0008474E">
        <w:rPr>
          <w:lang w:val="en-US"/>
        </w:rPr>
        <w:t xml:space="preserve">s March 2016 Data), https://www2.deloitte.com/content/dam/Deloitte/global/Documents/Risk/Women%20in%20the%‌20boardroom%20a%20global%20perspective%20fifth%20edition.pdf. </w:t>
      </w:r>
    </w:p>
  </w:footnote>
  <w:footnote w:id="226">
    <w:p w14:paraId="2D93E6D3"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Strauss Grp. &amp; Isr.</w:t>
      </w:r>
      <w:r>
        <w:rPr>
          <w:lang w:val="en-US"/>
        </w:rPr>
        <w:t xml:space="preserve">  </w:t>
      </w:r>
      <w:r w:rsidRPr="0008474E">
        <w:rPr>
          <w:lang w:val="en-US"/>
        </w:rPr>
        <w:t>Women</w:t>
      </w:r>
      <w:r>
        <w:rPr>
          <w:lang w:val="en-US"/>
        </w:rPr>
        <w:t>’</w:t>
      </w:r>
      <w:r w:rsidRPr="0008474E">
        <w:rPr>
          <w:lang w:val="en-US"/>
        </w:rPr>
        <w:t xml:space="preserve">s Network, </w:t>
      </w:r>
      <w:r w:rsidRPr="0008474E">
        <w:rPr>
          <w:rStyle w:val="Emphasis"/>
          <w:lang w:val="en-US"/>
        </w:rPr>
        <w:t>The Israeli Catalyst Report, Women Leading Business, The Fourth Israeli Census Report 2013 Women</w:t>
      </w:r>
      <w:r>
        <w:rPr>
          <w:rStyle w:val="Emphasis"/>
          <w:lang w:val="en-US"/>
        </w:rPr>
        <w:t>’</w:t>
      </w:r>
      <w:r w:rsidRPr="0008474E">
        <w:rPr>
          <w:rStyle w:val="Emphasis"/>
          <w:lang w:val="en-US"/>
        </w:rPr>
        <w:t>s Representation in the TA-100 Companies Index</w:t>
      </w:r>
      <w:r>
        <w:rPr>
          <w:lang w:val="en-US"/>
        </w:rPr>
        <w:t xml:space="preserve"> 6 (Mar.</w:t>
      </w:r>
      <w:r w:rsidRPr="0008474E">
        <w:rPr>
          <w:lang w:val="en-US"/>
        </w:rPr>
        <w:t xml:space="preserve"> 2014), https://www.strauss-group.com/wp-content/blogs.dir/3/files/sites/3/Israel-Catalyst-Census-TLV-100-2013_Final.pdf. </w:t>
      </w:r>
    </w:p>
  </w:footnote>
  <w:footnote w:id="227">
    <w:p w14:paraId="1E0AF26A" w14:textId="42B474C3"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Deloitte,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_Ref16185532 \h </w:instrText>
      </w:r>
      <w:r>
        <w:rPr>
          <w:lang w:val="en-US"/>
        </w:rPr>
        <w:instrText xml:space="preserve"> \* MERGEFORMAT </w:instrText>
      </w:r>
      <w:r w:rsidRPr="0008474E">
        <w:rPr>
          <w:lang w:val="en-US"/>
        </w:rPr>
      </w:r>
      <w:r w:rsidRPr="0008474E">
        <w:rPr>
          <w:lang w:val="en-US"/>
        </w:rPr>
        <w:fldChar w:fldCharType="separate"/>
      </w:r>
      <w:r w:rsidR="00AE4BA1">
        <w:rPr>
          <w:lang w:val="en-US"/>
        </w:rPr>
        <w:t>224</w:t>
      </w:r>
      <w:r w:rsidRPr="0008474E">
        <w:rPr>
          <w:lang w:val="en-US"/>
        </w:rPr>
        <w:fldChar w:fldCharType="end"/>
      </w:r>
      <w:r w:rsidRPr="0008474E">
        <w:rPr>
          <w:lang w:val="en-US"/>
        </w:rPr>
        <w:t>, at 74.</w:t>
      </w:r>
    </w:p>
  </w:footnote>
  <w:footnote w:id="228">
    <w:p w14:paraId="2502841B"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Government Companies Law, 5735-1975, 60 LSI 162, section 1(a) (Isr.), https://knesset.gov.il/review/data/eng/law/kns8_govtcorp_‌eng.pdf. </w:t>
      </w:r>
    </w:p>
  </w:footnote>
  <w:footnote w:id="229">
    <w:p w14:paraId="6C92D11A" w14:textId="1FF03E2D"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Government Companies Law, 5735-1975, 60 LSI 168, section 18(a) (Isr.), https://knesset.gov.il/review/data/eng/law/kns8_govtcorp_‌eng.pdf (cited in Deloitte,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_Ref16185532 \h </w:instrText>
      </w:r>
      <w:r>
        <w:rPr>
          <w:lang w:val="en-US"/>
        </w:rPr>
        <w:instrText xml:space="preserve"> \* MERGEFORMAT </w:instrText>
      </w:r>
      <w:r w:rsidRPr="0008474E">
        <w:rPr>
          <w:lang w:val="en-US"/>
        </w:rPr>
      </w:r>
      <w:r w:rsidRPr="0008474E">
        <w:rPr>
          <w:lang w:val="en-US"/>
        </w:rPr>
        <w:fldChar w:fldCharType="separate"/>
      </w:r>
      <w:r w:rsidR="00AE4BA1">
        <w:rPr>
          <w:lang w:val="en-US"/>
        </w:rPr>
        <w:t>224</w:t>
      </w:r>
      <w:r w:rsidRPr="0008474E">
        <w:rPr>
          <w:lang w:val="en-US"/>
        </w:rPr>
        <w:fldChar w:fldCharType="end"/>
      </w:r>
      <w:r w:rsidRPr="0008474E">
        <w:rPr>
          <w:lang w:val="en-US"/>
        </w:rPr>
        <w:t xml:space="preserve">, at 74 (citing Israel Securities Authority)). </w:t>
      </w:r>
      <w:r w:rsidRPr="0008474E">
        <w:rPr>
          <w:b/>
          <w:i/>
          <w:lang w:val="en-US"/>
        </w:rPr>
        <w:t xml:space="preserve"> </w:t>
      </w:r>
    </w:p>
  </w:footnote>
  <w:footnote w:id="230">
    <w:p w14:paraId="576CD5B8"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Israel Ministry of Foreign Affairs, </w:t>
      </w:r>
      <w:r w:rsidRPr="0008474E">
        <w:rPr>
          <w:i/>
          <w:lang w:val="en-US"/>
        </w:rPr>
        <w:t>Ensuring equal rights for women in Israel</w:t>
      </w:r>
      <w:r>
        <w:rPr>
          <w:lang w:val="en-US"/>
        </w:rPr>
        <w:t xml:space="preserve"> (Dec.</w:t>
      </w:r>
      <w:r w:rsidRPr="0008474E">
        <w:rPr>
          <w:lang w:val="en-US"/>
        </w:rPr>
        <w:t xml:space="preserve"> 31, 2013), https://mfa.gov.il/MFA/AboutIsrael/State/Law/Pages/Ensuring-equal-rights-for-women-in-Israel.aspx.</w:t>
      </w:r>
    </w:p>
  </w:footnote>
  <w:footnote w:id="231">
    <w:p w14:paraId="054FD6AE"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Women on Boards</w:t>
      </w:r>
      <w:r w:rsidRPr="0008474E">
        <w:rPr>
          <w:lang w:val="en-US"/>
        </w:rPr>
        <w:t>, Progress Report 2018, MSCI, 23, https://www.msci.com/documents/10199/36ef83ab-ed68-c1c1-58fe-86a3eab673b8 p. 23.</w:t>
      </w:r>
    </w:p>
  </w:footnote>
  <w:footnote w:id="232">
    <w:p w14:paraId="62EB74BA"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Law Governing Companies art. 155, No. 17 (2018), Official Gazette No.</w:t>
      </w:r>
      <w:r>
        <w:rPr>
          <w:lang w:val="en-US"/>
        </w:rPr>
        <w:t xml:space="preserve">  </w:t>
      </w:r>
      <w:r w:rsidRPr="0008474E">
        <w:rPr>
          <w:lang w:val="en-US"/>
        </w:rPr>
        <w:t>Special</w:t>
      </w:r>
      <w:r>
        <w:rPr>
          <w:lang w:val="en-US"/>
        </w:rPr>
        <w:t xml:space="preserve"> of Apr.</w:t>
      </w:r>
      <w:r w:rsidRPr="0008474E">
        <w:rPr>
          <w:lang w:val="en-US"/>
        </w:rPr>
        <w:t xml:space="preserve"> 18, 2018 (Rwanda), https://rwandalii.africanlii.org/sites/default/files/gazette/OG%2BNo%2BSpecial%2Bof%2B18%2B-04-2018.pdf.</w:t>
      </w:r>
    </w:p>
  </w:footnote>
  <w:footnote w:id="233">
    <w:p w14:paraId="7DE9E127"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art. 151.</w:t>
      </w:r>
    </w:p>
  </w:footnote>
  <w:footnote w:id="234">
    <w:p w14:paraId="106F905A"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Law Governing Companies arts. 152, 153, No. 17 (2018), Offi</w:t>
      </w:r>
      <w:r>
        <w:rPr>
          <w:lang w:val="en-US"/>
        </w:rPr>
        <w:t>cial Gazette No.  Special of Apr.</w:t>
      </w:r>
      <w:r w:rsidRPr="0008474E">
        <w:rPr>
          <w:lang w:val="en-US"/>
        </w:rPr>
        <w:t xml:space="preserve"> 18, 2018 (Rwanda), https://rwandalii.africanlii.org/sites/default/files/gazette/OG%2BNo%2BSpecial%2Bof%2B18%2B-04-2018.pdf.</w:t>
      </w:r>
    </w:p>
  </w:footnote>
  <w:footnote w:id="235">
    <w:p w14:paraId="230197DA"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 xml:space="preserve">Id. </w:t>
      </w:r>
      <w:r w:rsidRPr="0008474E">
        <w:rPr>
          <w:lang w:val="en-US"/>
        </w:rPr>
        <w:t>art. 155.</w:t>
      </w:r>
    </w:p>
  </w:footnote>
  <w:footnote w:id="236">
    <w:p w14:paraId="0F2B40CB"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art. 156.</w:t>
      </w:r>
    </w:p>
  </w:footnote>
  <w:footnote w:id="237">
    <w:p w14:paraId="096160E0"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art. 158.</w:t>
      </w:r>
    </w:p>
  </w:footnote>
  <w:footnote w:id="238">
    <w:p w14:paraId="77CE1C88" w14:textId="3EE33A3A"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Const. arts 9&amp;10, cl. 4 </w:t>
      </w:r>
      <w:r>
        <w:rPr>
          <w:lang w:val="en-US"/>
        </w:rPr>
        <w:t xml:space="preserve">and arts 75 &amp; 80 </w:t>
      </w:r>
      <w:r w:rsidRPr="0008474E">
        <w:rPr>
          <w:lang w:val="en-US"/>
        </w:rPr>
        <w:t>(2003) (as amended 2015) (Rwanda), https://www.constituteproject.org/constitution/Rwanda_2015.pdf?lang=en.</w:t>
      </w:r>
    </w:p>
  </w:footnote>
  <w:footnote w:id="239">
    <w:p w14:paraId="39297F39"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Revisiting Rwanda Five Years After Record-Breaking Parliamentary Elections</w:t>
      </w:r>
      <w:r>
        <w:rPr>
          <w:lang w:val="en-US"/>
        </w:rPr>
        <w:t>, UN Women (Aug.</w:t>
      </w:r>
      <w:r w:rsidRPr="0008474E">
        <w:rPr>
          <w:lang w:val="en-US"/>
        </w:rPr>
        <w:t xml:space="preserve"> 13, 2018), http://www.unwomen.org/en/news/stories/2018/8/feature-rwanda-women-in-parliament.</w:t>
      </w:r>
    </w:p>
  </w:footnote>
  <w:footnote w:id="240">
    <w:p w14:paraId="08028441" w14:textId="5E8DF5F3"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The Commonwealth, </w:t>
      </w:r>
      <w:r w:rsidRPr="0008474E">
        <w:rPr>
          <w:i/>
          <w:lang w:val="en-US"/>
        </w:rPr>
        <w:t>The Status of Women in Leadership Across the Commonwealth in Political and Civil Service, State-owned Enterprises and Private Sector Corporate Boards</w:t>
      </w:r>
      <w:r w:rsidRPr="0008474E">
        <w:rPr>
          <w:lang w:val="en-US"/>
        </w:rPr>
        <w:t>, Baseline Date Report at 28 &amp; tbl. 5.a (2015), http://thecommonwealth.org/sites/default/files/inline/P14766_SGO_Women%20on%20Boards_11WAMM-E-copy.pdf.</w:t>
      </w:r>
    </w:p>
  </w:footnote>
  <w:footnote w:id="241">
    <w:p w14:paraId="63985D38"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World Economic Forum, </w:t>
      </w:r>
      <w:r w:rsidRPr="0008474E">
        <w:rPr>
          <w:i/>
          <w:lang w:val="en-US"/>
        </w:rPr>
        <w:t>The Global Gender Gap Report 2018</w:t>
      </w:r>
      <w:r w:rsidRPr="0008474E">
        <w:rPr>
          <w:lang w:val="en-US"/>
        </w:rPr>
        <w:t>, at 7 (2018), http://www3.weforum.org/docs/WEF_GGGR_2018.pdf.</w:t>
      </w:r>
    </w:p>
  </w:footnote>
  <w:footnote w:id="242">
    <w:p w14:paraId="673D229B"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Companies Act 1993 (N.Z.) [New Zealand Companies Act].</w:t>
      </w:r>
    </w:p>
  </w:footnote>
  <w:footnote w:id="243">
    <w:p w14:paraId="2F65786A"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NZX Listing Rules App. 16: NZX Corporate Governance Code (2017).  The NZX Code was updated in January 2019.  </w:t>
      </w:r>
      <w:r w:rsidRPr="0008474E">
        <w:rPr>
          <w:i/>
          <w:lang w:val="en-US"/>
        </w:rPr>
        <w:t>See</w:t>
      </w:r>
      <w:r w:rsidRPr="0008474E">
        <w:rPr>
          <w:lang w:val="en-US"/>
        </w:rPr>
        <w:t xml:space="preserve"> NZX Listing Rules App. 1: NZX Corporate Governance Code (2019).</w:t>
      </w:r>
    </w:p>
  </w:footnote>
  <w:footnote w:id="244">
    <w:p w14:paraId="62C947C2" w14:textId="77777777" w:rsidR="00953C0F" w:rsidRPr="0008474E" w:rsidRDefault="00953C0F" w:rsidP="006902A2">
      <w:pPr>
        <w:pStyle w:val="FootnoteText"/>
        <w:rPr>
          <w:lang w:val="en-US"/>
        </w:rPr>
      </w:pPr>
      <w:r w:rsidRPr="0008474E">
        <w:rPr>
          <w:rStyle w:val="FootnoteReference"/>
          <w:lang w:val="en-US"/>
        </w:rPr>
        <w:footnoteRef/>
      </w:r>
      <w:r>
        <w:rPr>
          <w:lang w:val="en-US"/>
        </w:rPr>
        <w:tab/>
        <w:t>NZX Listing Rules (Oct.</w:t>
      </w:r>
      <w:r w:rsidRPr="0008474E">
        <w:rPr>
          <w:lang w:val="en-US"/>
        </w:rPr>
        <w:t xml:space="preserve"> 1, 2017).  The NZX Rules were updated in January 2019.  </w:t>
      </w:r>
      <w:r w:rsidRPr="0008474E">
        <w:rPr>
          <w:i/>
          <w:lang w:val="en-US"/>
        </w:rPr>
        <w:t>See</w:t>
      </w:r>
      <w:r>
        <w:rPr>
          <w:lang w:val="en-US"/>
        </w:rPr>
        <w:t xml:space="preserve"> NZX Listing Rules (Jan.</w:t>
      </w:r>
      <w:r w:rsidRPr="0008474E">
        <w:rPr>
          <w:lang w:val="en-US"/>
        </w:rPr>
        <w:t xml:space="preserve"> 1, 2019).</w:t>
      </w:r>
    </w:p>
  </w:footnote>
  <w:footnote w:id="245">
    <w:p w14:paraId="5ED2C1BB"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NZX Listing Rules R. 2.1 (2019).</w:t>
      </w:r>
    </w:p>
  </w:footnote>
  <w:footnote w:id="246">
    <w:p w14:paraId="565EFE1F"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NZX, </w:t>
      </w:r>
      <w:r w:rsidRPr="0008474E">
        <w:rPr>
          <w:i/>
          <w:lang w:val="en-US"/>
        </w:rPr>
        <w:t>Gender Diversity Statistics</w:t>
      </w:r>
      <w:r>
        <w:rPr>
          <w:lang w:val="en-US"/>
        </w:rPr>
        <w:t xml:space="preserve"> 4 (Jan.</w:t>
      </w:r>
      <w:r w:rsidRPr="0008474E">
        <w:rPr>
          <w:lang w:val="en-US"/>
        </w:rPr>
        <w:t xml:space="preserve"> 2019) </w:t>
      </w:r>
      <w:r>
        <w:rPr>
          <w:lang w:val="en-US"/>
        </w:rPr>
        <w:t>(reviewing statistics as at Dec.</w:t>
      </w:r>
      <w:r w:rsidRPr="0008474E">
        <w:rPr>
          <w:lang w:val="en-US"/>
        </w:rPr>
        <w:t xml:space="preserve"> 31, 2018).</w:t>
      </w:r>
    </w:p>
  </w:footnote>
  <w:footnote w:id="247">
    <w:p w14:paraId="1547C747"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at 3.</w:t>
      </w:r>
    </w:p>
  </w:footnote>
  <w:footnote w:id="248">
    <w:p w14:paraId="7DB4A45D"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Pr>
          <w:lang w:val="en-US"/>
        </w:rPr>
        <w:tab/>
      </w:r>
      <w:r w:rsidRPr="0008474E">
        <w:rPr>
          <w:lang w:val="en-US"/>
        </w:rPr>
        <w:t>The Companies Act, 2013, No. 18, Acts of Parliament, 2013 (India).</w:t>
      </w:r>
    </w:p>
  </w:footnote>
  <w:footnote w:id="249">
    <w:p w14:paraId="5EA37B23"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 149(1)(a), (b).</w:t>
      </w:r>
    </w:p>
  </w:footnote>
  <w:footnote w:id="250">
    <w:p w14:paraId="40B7D45E"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 196(3)(a).</w:t>
      </w:r>
    </w:p>
  </w:footnote>
  <w:footnote w:id="251">
    <w:p w14:paraId="675AEE24"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 149(3).</w:t>
      </w:r>
    </w:p>
  </w:footnote>
  <w:footnote w:id="252">
    <w:p w14:paraId="266ECCAC"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 xml:space="preserve">Id </w:t>
      </w:r>
      <w:r w:rsidRPr="0008474E">
        <w:rPr>
          <w:lang w:val="en-US"/>
        </w:rPr>
        <w:t>§ 149(10).</w:t>
      </w:r>
    </w:p>
  </w:footnote>
  <w:footnote w:id="253">
    <w:p w14:paraId="03AEA40D"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 196(6).</w:t>
      </w:r>
    </w:p>
  </w:footnote>
  <w:footnote w:id="254">
    <w:p w14:paraId="5DD837B9"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 149(10).</w:t>
      </w:r>
    </w:p>
  </w:footnote>
  <w:footnote w:id="255">
    <w:p w14:paraId="4ADEAC77"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 149(11).</w:t>
      </w:r>
    </w:p>
  </w:footnote>
  <w:footnote w:id="256">
    <w:p w14:paraId="5B8B3F86"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 149(1).</w:t>
      </w:r>
    </w:p>
  </w:footnote>
  <w:footnote w:id="257">
    <w:p w14:paraId="0810DFE9"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The Companies (Appointment and Qualification of Directors) Rules, 2014, Gazette of</w:t>
      </w:r>
      <w:r>
        <w:rPr>
          <w:lang w:val="en-US"/>
        </w:rPr>
        <w:t xml:space="preserve"> India, pt.  II sec. 3, § 3 (Apr.</w:t>
      </w:r>
      <w:r w:rsidRPr="0008474E">
        <w:rPr>
          <w:lang w:val="en-US"/>
        </w:rPr>
        <w:t xml:space="preserve"> 2, 2014).</w:t>
      </w:r>
    </w:p>
  </w:footnote>
  <w:footnote w:id="258">
    <w:p w14:paraId="0A6A9429"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Securities and Exchange Board of India (Listing Obligations and Disclosure Requirements) Regulations, 2015, Gazette of In</w:t>
      </w:r>
      <w:r>
        <w:rPr>
          <w:lang w:val="en-US"/>
        </w:rPr>
        <w:t>dia, pt.  III sec. 4, § 17 (Sept.</w:t>
      </w:r>
      <w:r w:rsidRPr="0008474E">
        <w:rPr>
          <w:lang w:val="en-US"/>
        </w:rPr>
        <w:t xml:space="preserve"> 2, 2015).</w:t>
      </w:r>
    </w:p>
  </w:footnote>
  <w:footnote w:id="259">
    <w:p w14:paraId="35C2AA4F"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Oxford Human Rights Hub, </w:t>
      </w:r>
      <w:r w:rsidRPr="0008474E">
        <w:rPr>
          <w:i/>
          <w:lang w:val="en-US"/>
        </w:rPr>
        <w:t>India</w:t>
      </w:r>
      <w:r>
        <w:rPr>
          <w:i/>
          <w:lang w:val="en-US"/>
        </w:rPr>
        <w:t>’</w:t>
      </w:r>
      <w:r w:rsidRPr="0008474E">
        <w:rPr>
          <w:i/>
          <w:lang w:val="en-US"/>
        </w:rPr>
        <w:t xml:space="preserve">s </w:t>
      </w:r>
      <w:r>
        <w:rPr>
          <w:i/>
          <w:lang w:val="en-US"/>
        </w:rPr>
        <w:t>‘</w:t>
      </w:r>
      <w:r w:rsidRPr="0008474E">
        <w:rPr>
          <w:i/>
          <w:lang w:val="en-US"/>
        </w:rPr>
        <w:t>One Woman Quota</w:t>
      </w:r>
      <w:r>
        <w:rPr>
          <w:i/>
          <w:lang w:val="en-US"/>
        </w:rPr>
        <w:t>’</w:t>
      </w:r>
      <w:r w:rsidRPr="0008474E">
        <w:rPr>
          <w:i/>
          <w:lang w:val="en-US"/>
        </w:rPr>
        <w:t xml:space="preserve"> on Board of Directors Fails to Bring About Gender Equality</w:t>
      </w:r>
      <w:r>
        <w:rPr>
          <w:lang w:val="en-US"/>
        </w:rPr>
        <w:t xml:space="preserve"> (Feb.</w:t>
      </w:r>
      <w:r w:rsidRPr="0008474E">
        <w:rPr>
          <w:lang w:val="en-US"/>
        </w:rPr>
        <w:t xml:space="preserve"> 28, 2018), https://ohrh.law.ox.ac.uk/indias-one-woman-quota-on-board-of-directors-fails-to-bring-about-gender-equality/.</w:t>
      </w:r>
    </w:p>
  </w:footnote>
  <w:footnote w:id="260">
    <w:p w14:paraId="080C622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Securities and Exchange Board of India (Listing Obligations and Disclosure Requirements) (Amendment) Regulations, 2018, Gazette of India, pt.</w:t>
      </w:r>
      <w:r>
        <w:rPr>
          <w:lang w:val="en-US"/>
        </w:rPr>
        <w:t xml:space="preserve">  </w:t>
      </w:r>
      <w:r w:rsidRPr="0008474E">
        <w:rPr>
          <w:lang w:val="en-US"/>
        </w:rPr>
        <w:t>III sec. 4, § 3(d) (May 9, 2018).</w:t>
      </w:r>
    </w:p>
  </w:footnote>
  <w:footnote w:id="261">
    <w:p w14:paraId="5E1D6620"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The Companies Act, 2013, § 172, No. 18, Acts of Parliament, 2013 (India).</w:t>
      </w:r>
    </w:p>
  </w:footnote>
  <w:footnote w:id="262">
    <w:p w14:paraId="28E3C72C"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eMinds Legal, </w:t>
      </w:r>
      <w:r w:rsidRPr="0008474E">
        <w:rPr>
          <w:i/>
          <w:lang w:val="en-US"/>
        </w:rPr>
        <w:t>Listed Companies Must Comply on Appointing Women Board Directors: MCA</w:t>
      </w:r>
      <w:r>
        <w:rPr>
          <w:lang w:val="en-US"/>
        </w:rPr>
        <w:t>, Corp. L. Rep. (Dec.</w:t>
      </w:r>
      <w:r w:rsidRPr="0008474E">
        <w:rPr>
          <w:lang w:val="en-US"/>
        </w:rPr>
        <w:t xml:space="preserve"> 27, 2017), http://corporatelawreporter.com/2017/12/27/67952/.</w:t>
      </w:r>
    </w:p>
  </w:footnote>
  <w:footnote w:id="263">
    <w:p w14:paraId="455CABE4"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The Companies Act, 2013, § 135(1), No. 18, Acts of Parliament, 2013 (India).</w:t>
      </w:r>
    </w:p>
  </w:footnote>
  <w:footnote w:id="264">
    <w:p w14:paraId="0F3B198E"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 135(1), (3), sched.</w:t>
      </w:r>
      <w:r>
        <w:rPr>
          <w:lang w:val="en-US"/>
        </w:rPr>
        <w:t xml:space="preserve">  </w:t>
      </w:r>
      <w:r w:rsidRPr="0008474E">
        <w:rPr>
          <w:lang w:val="en-US"/>
        </w:rPr>
        <w:t>VII.</w:t>
      </w:r>
    </w:p>
  </w:footnote>
  <w:footnote w:id="265">
    <w:p w14:paraId="69501A40"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Grant Thornton, </w:t>
      </w:r>
      <w:r w:rsidRPr="0008474E">
        <w:rPr>
          <w:i/>
          <w:lang w:val="en-US"/>
        </w:rPr>
        <w:t>Women in Business: Beyond Policy to Progress</w:t>
      </w:r>
      <w:r>
        <w:rPr>
          <w:lang w:val="en-US"/>
        </w:rPr>
        <w:t xml:space="preserve"> 10 (Mar.</w:t>
      </w:r>
      <w:r w:rsidRPr="0008474E">
        <w:rPr>
          <w:lang w:val="en-US"/>
        </w:rPr>
        <w:t xml:space="preserve"> 2018), https://www.grantthornton.global/globalassets/1.-member-firms/global/insights/women-in-business/grant-thornton-women-in-business-2018-report.pdf?_ga=2.97310234.469544986.1558426872-1938643617.1558426872.</w:t>
      </w:r>
    </w:p>
  </w:footnote>
  <w:footnote w:id="266">
    <w:p w14:paraId="410BF5E5"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The Companies Act, 2016, Act 777, § 196(2) (Malaysia).</w:t>
      </w:r>
    </w:p>
  </w:footnote>
  <w:footnote w:id="267">
    <w:p w14:paraId="02E53A9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 198(1).</w:t>
      </w:r>
    </w:p>
  </w:footnote>
  <w:footnote w:id="268">
    <w:p w14:paraId="2F04A77D"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 196(1).</w:t>
      </w:r>
    </w:p>
  </w:footnote>
  <w:footnote w:id="269">
    <w:p w14:paraId="609A45F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 196(4).</w:t>
      </w:r>
    </w:p>
  </w:footnote>
  <w:footnote w:id="270">
    <w:p w14:paraId="197A3619"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 196(3).</w:t>
      </w:r>
    </w:p>
  </w:footnote>
  <w:footnote w:id="271">
    <w:p w14:paraId="007A271E"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Bursa Malay., </w:t>
      </w:r>
      <w:r w:rsidRPr="0008474E">
        <w:rPr>
          <w:i/>
          <w:lang w:val="en-US"/>
        </w:rPr>
        <w:t>Listing Requirements</w:t>
      </w:r>
      <w:r w:rsidRPr="0008474E">
        <w:rPr>
          <w:lang w:val="en-US"/>
        </w:rPr>
        <w:t xml:space="preserve"> § 15.02(1), http://www.bursamalaysia.com/market/regulation/rules/listing-requirements/main-market/listing</w:t>
      </w:r>
      <w:r>
        <w:rPr>
          <w:lang w:val="en-US"/>
        </w:rPr>
        <w:t>-requirements (last updated Jan.</w:t>
      </w:r>
      <w:r w:rsidRPr="0008474E">
        <w:rPr>
          <w:lang w:val="en-US"/>
        </w:rPr>
        <w:t xml:space="preserve"> 2, 2018).</w:t>
      </w:r>
    </w:p>
  </w:footnote>
  <w:footnote w:id="272">
    <w:p w14:paraId="693B48B1"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Cent. Bank of Malay., </w:t>
      </w:r>
      <w:r w:rsidRPr="0008474E">
        <w:rPr>
          <w:i/>
          <w:lang w:val="en-US"/>
        </w:rPr>
        <w:t>Corporate Governance</w:t>
      </w:r>
      <w:r>
        <w:rPr>
          <w:lang w:val="en-US"/>
        </w:rPr>
        <w:t xml:space="preserve"> § 11.6 (Aug.</w:t>
      </w:r>
      <w:r w:rsidRPr="0008474E">
        <w:rPr>
          <w:lang w:val="en-US"/>
        </w:rPr>
        <w:t xml:space="preserve"> 3, 2016), http://www.bnm.gov.my/index.php?ch=57&amp;pg=‌140&amp;ac=‌512&amp;bb=file.</w:t>
      </w:r>
    </w:p>
  </w:footnote>
  <w:footnote w:id="273">
    <w:p w14:paraId="2260A13E" w14:textId="07214E90"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Listing Requirements</w:t>
      </w:r>
      <w:r w:rsidRPr="0008474E">
        <w:rPr>
          <w:lang w:val="en-US"/>
        </w:rPr>
        <w:t xml:space="preserve">,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_Ref16185676 \h </w:instrText>
      </w:r>
      <w:r>
        <w:rPr>
          <w:lang w:val="en-US"/>
        </w:rPr>
        <w:instrText xml:space="preserve"> \* MERGEFORMAT </w:instrText>
      </w:r>
      <w:r w:rsidRPr="0008474E">
        <w:rPr>
          <w:lang w:val="en-US"/>
        </w:rPr>
      </w:r>
      <w:r w:rsidRPr="0008474E">
        <w:rPr>
          <w:lang w:val="en-US"/>
        </w:rPr>
        <w:fldChar w:fldCharType="separate"/>
      </w:r>
      <w:r w:rsidR="00AE4BA1">
        <w:rPr>
          <w:lang w:val="en-US"/>
        </w:rPr>
        <w:t>270</w:t>
      </w:r>
      <w:r w:rsidRPr="0008474E">
        <w:rPr>
          <w:lang w:val="en-US"/>
        </w:rPr>
        <w:fldChar w:fldCharType="end"/>
      </w:r>
      <w:r w:rsidRPr="0008474E">
        <w:rPr>
          <w:lang w:val="en-US"/>
        </w:rPr>
        <w:t>, § 1.01.</w:t>
      </w:r>
    </w:p>
  </w:footnote>
  <w:footnote w:id="274">
    <w:p w14:paraId="70169EE3"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Sec. Comm</w:t>
      </w:r>
      <w:r>
        <w:rPr>
          <w:lang w:val="en-US"/>
        </w:rPr>
        <w:t>’</w:t>
      </w:r>
      <w:r w:rsidRPr="0008474E">
        <w:rPr>
          <w:lang w:val="en-US"/>
        </w:rPr>
        <w:t xml:space="preserve">n Malay., </w:t>
      </w:r>
      <w:r w:rsidRPr="0008474E">
        <w:rPr>
          <w:i/>
          <w:lang w:val="en-US"/>
        </w:rPr>
        <w:t>Malaysian Code on Corporate Governance</w:t>
      </w:r>
      <w:r w:rsidRPr="0008474E">
        <w:rPr>
          <w:lang w:val="en-US"/>
        </w:rPr>
        <w:t>, princ.</w:t>
      </w:r>
      <w:r>
        <w:rPr>
          <w:lang w:val="en-US"/>
        </w:rPr>
        <w:t xml:space="preserve">  </w:t>
      </w:r>
      <w:r w:rsidRPr="0008474E">
        <w:rPr>
          <w:lang w:val="en-US"/>
        </w:rPr>
        <w:t>A(II) § 4.1 (2017).</w:t>
      </w:r>
    </w:p>
  </w:footnote>
  <w:footnote w:id="275">
    <w:p w14:paraId="2EDA62BA"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 5.1-6.3.</w:t>
      </w:r>
    </w:p>
  </w:footnote>
  <w:footnote w:id="276">
    <w:p w14:paraId="0B0A4194"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Econ. Planning Unit, Prime Minister</w:t>
      </w:r>
      <w:r>
        <w:rPr>
          <w:lang w:val="en-US"/>
        </w:rPr>
        <w:t>’</w:t>
      </w:r>
      <w:r w:rsidRPr="0008474E">
        <w:rPr>
          <w:lang w:val="en-US"/>
        </w:rPr>
        <w:t>s Dep</w:t>
      </w:r>
      <w:r>
        <w:rPr>
          <w:lang w:val="en-US"/>
        </w:rPr>
        <w:t>’</w:t>
      </w:r>
      <w:r w:rsidRPr="0008474E">
        <w:rPr>
          <w:lang w:val="en-US"/>
        </w:rPr>
        <w:t xml:space="preserve">t, </w:t>
      </w:r>
      <w:r w:rsidRPr="0008474E">
        <w:rPr>
          <w:i/>
          <w:lang w:val="en-US"/>
        </w:rPr>
        <w:t>Tenth Malaysia Plan (2011-2015)</w:t>
      </w:r>
      <w:r w:rsidRPr="0008474E">
        <w:rPr>
          <w:lang w:val="en-US"/>
        </w:rPr>
        <w:t xml:space="preserve"> 181 (2010).</w:t>
      </w:r>
    </w:p>
  </w:footnote>
  <w:footnote w:id="277">
    <w:p w14:paraId="23829399"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Id.</w:t>
      </w:r>
      <w:r w:rsidRPr="0008474E">
        <w:rPr>
          <w:lang w:val="en-US"/>
        </w:rPr>
        <w:t xml:space="preserve"> at 180-81.</w:t>
      </w:r>
    </w:p>
  </w:footnote>
  <w:footnote w:id="278">
    <w:p w14:paraId="63651D56"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Najib Razak, Prime Minister of Malaysia, Speech in the Dewan Rakyat: Eleventh Malaysia Plan (2016-2020) – Anchoring Growth on People 11 (May 21, 2015), https://www.pmo.gov.my/dokumenattached/speech/files/RMK11_Speech.pdf. </w:t>
      </w:r>
    </w:p>
  </w:footnote>
  <w:footnote w:id="279">
    <w:p w14:paraId="39235465"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 2.6.</w:t>
      </w:r>
    </w:p>
  </w:footnote>
  <w:footnote w:id="280">
    <w:p w14:paraId="1B696C9A"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princ.</w:t>
      </w:r>
      <w:r>
        <w:rPr>
          <w:lang w:val="en-US"/>
        </w:rPr>
        <w:t xml:space="preserve">  </w:t>
      </w:r>
      <w:r w:rsidRPr="0008474E">
        <w:rPr>
          <w:lang w:val="en-US"/>
        </w:rPr>
        <w:t>A(II) § 4.5.</w:t>
      </w:r>
    </w:p>
  </w:footnote>
  <w:footnote w:id="281">
    <w:p w14:paraId="3678157B"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princ.</w:t>
      </w:r>
      <w:r>
        <w:rPr>
          <w:lang w:val="en-US"/>
        </w:rPr>
        <w:t xml:space="preserve">  </w:t>
      </w:r>
      <w:r w:rsidRPr="0008474E">
        <w:rPr>
          <w:lang w:val="en-US"/>
        </w:rPr>
        <w:t>A(II) § 4.5 (Guidance).</w:t>
      </w:r>
    </w:p>
  </w:footnote>
  <w:footnote w:id="282">
    <w:p w14:paraId="37DCD8BD" w14:textId="23CF914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Listing Requirements</w:t>
      </w:r>
      <w:r w:rsidRPr="0008474E">
        <w:rPr>
          <w:lang w:val="en-US"/>
        </w:rPr>
        <w:t xml:space="preserve">,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_Ref16185676 \h </w:instrText>
      </w:r>
      <w:r>
        <w:rPr>
          <w:lang w:val="en-US"/>
        </w:rPr>
        <w:instrText xml:space="preserve"> \* MERGEFORMAT </w:instrText>
      </w:r>
      <w:r w:rsidRPr="0008474E">
        <w:rPr>
          <w:lang w:val="en-US"/>
        </w:rPr>
      </w:r>
      <w:r w:rsidRPr="0008474E">
        <w:rPr>
          <w:lang w:val="en-US"/>
        </w:rPr>
        <w:fldChar w:fldCharType="separate"/>
      </w:r>
      <w:r w:rsidR="00AE4BA1">
        <w:rPr>
          <w:lang w:val="en-US"/>
        </w:rPr>
        <w:t>270</w:t>
      </w:r>
      <w:r w:rsidRPr="0008474E">
        <w:rPr>
          <w:lang w:val="en-US"/>
        </w:rPr>
        <w:fldChar w:fldCharType="end"/>
      </w:r>
      <w:r w:rsidRPr="0008474E">
        <w:rPr>
          <w:lang w:val="en-US"/>
        </w:rPr>
        <w:t>, § 15.08A(3)(a).</w:t>
      </w:r>
    </w:p>
  </w:footnote>
  <w:footnote w:id="283">
    <w:p w14:paraId="2E73A85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Sec. Comm</w:t>
      </w:r>
      <w:r>
        <w:rPr>
          <w:lang w:val="en-US"/>
        </w:rPr>
        <w:t>’</w:t>
      </w:r>
      <w:r w:rsidRPr="0008474E">
        <w:rPr>
          <w:lang w:val="en-US"/>
        </w:rPr>
        <w:t xml:space="preserve">n Malay., </w:t>
      </w:r>
      <w:r w:rsidRPr="0008474E">
        <w:rPr>
          <w:i/>
          <w:lang w:val="en-US"/>
        </w:rPr>
        <w:t>Corporate Governance Monitor 2019</w:t>
      </w:r>
      <w:r w:rsidRPr="0008474E">
        <w:rPr>
          <w:lang w:val="en-US"/>
        </w:rPr>
        <w:t>, at 28-30 (2019).</w:t>
      </w:r>
    </w:p>
  </w:footnote>
  <w:footnote w:id="284">
    <w:p w14:paraId="260D2D94"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at 5.</w:t>
      </w:r>
    </w:p>
  </w:footnote>
  <w:footnote w:id="285">
    <w:p w14:paraId="629A4DCC" w14:textId="60A6647F"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Community Business, </w:t>
      </w:r>
      <w:r w:rsidRPr="0008474E">
        <w:rPr>
          <w:i/>
          <w:lang w:val="en-US"/>
        </w:rPr>
        <w:t>Latest Community Business Research: Women on Boards Hong Kong 2019</w:t>
      </w:r>
      <w:r>
        <w:rPr>
          <w:lang w:val="en-US"/>
        </w:rPr>
        <w:t>, at 23 (Mar.</w:t>
      </w:r>
      <w:r w:rsidRPr="0008474E">
        <w:rPr>
          <w:lang w:val="en-US"/>
        </w:rPr>
        <w:t xml:space="preserve"> 7, 2019) [hereinafter Community Business 2019 Report], https://www.communitybusiness.org/sites/default/files/uploads/WOB/‌wob_2019_launch_presentation_v6mar2019-compressed.pdf. </w:t>
      </w:r>
      <w:r>
        <w:rPr>
          <w:lang w:val="en-US"/>
        </w:rPr>
        <w:t xml:space="preserve"> </w:t>
      </w:r>
      <w:r w:rsidRPr="0008474E">
        <w:rPr>
          <w:lang w:val="en-US"/>
        </w:rPr>
        <w:t>This Report is based on data collected from companies listed on the Hang Seng Index (</w:t>
      </w:r>
      <w:r w:rsidRPr="00203E75">
        <w:rPr>
          <w:i/>
          <w:lang w:val="en-US"/>
        </w:rPr>
        <w:t>“</w:t>
      </w:r>
      <w:r w:rsidRPr="0008474E">
        <w:rPr>
          <w:b/>
          <w:lang w:val="en-US"/>
        </w:rPr>
        <w:t>HSI</w:t>
      </w:r>
      <w:r w:rsidRPr="00203E75">
        <w:rPr>
          <w:i/>
          <w:lang w:val="en-US"/>
        </w:rPr>
        <w:t>”</w:t>
      </w:r>
      <w:r w:rsidRPr="0008474E">
        <w:rPr>
          <w:lang w:val="en-US"/>
        </w:rPr>
        <w:t>) which tracks listed companies on the Hong Kong stock exchange betwee</w:t>
      </w:r>
      <w:r>
        <w:rPr>
          <w:lang w:val="en-US"/>
        </w:rPr>
        <w:t>n Jan. 3, 2018 and Jan.</w:t>
      </w:r>
      <w:r w:rsidRPr="0008474E">
        <w:rPr>
          <w:lang w:val="en-US"/>
        </w:rPr>
        <w:t xml:space="preserve"> 2, 2019.</w:t>
      </w:r>
    </w:p>
  </w:footnote>
  <w:footnote w:id="286">
    <w:p w14:paraId="54A76C71"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r w:rsidRPr="0008474E">
        <w:rPr>
          <w:lang w:val="en-US"/>
        </w:rPr>
        <w:t xml:space="preserve"> at 8-9.</w:t>
      </w:r>
    </w:p>
  </w:footnote>
  <w:footnote w:id="287">
    <w:p w14:paraId="35F80304" w14:textId="771C7EBB"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30% Club, </w:t>
      </w:r>
      <w:r w:rsidRPr="0008474E">
        <w:rPr>
          <w:i/>
          <w:lang w:val="en-US"/>
        </w:rPr>
        <w:t>Hong Kong pushes for gender diversity in the boardroom</w:t>
      </w:r>
      <w:r>
        <w:rPr>
          <w:lang w:val="en-US"/>
        </w:rPr>
        <w:t xml:space="preserve"> (Oct.</w:t>
      </w:r>
      <w:r w:rsidRPr="0008474E">
        <w:rPr>
          <w:lang w:val="en-US"/>
        </w:rPr>
        <w:t xml:space="preserve"> 14, 2016), https://30percentclub.org/press-releases/view/hong-kong-pushes-for-gender-diversity-in-the-boardroom.  The targets set for Hong Kong are increasing the percentage of women on boards of HSI companies to 20% by 2020, and working toward a goal of 30%.  The goal to have zero boards which are all male by 2018 </w:t>
      </w:r>
      <w:r>
        <w:rPr>
          <w:lang w:val="en-US"/>
        </w:rPr>
        <w:t>was</w:t>
      </w:r>
      <w:r w:rsidRPr="0008474E">
        <w:rPr>
          <w:lang w:val="en-US"/>
        </w:rPr>
        <w:t xml:space="preserve"> not met in Hong Kong.</w:t>
      </w:r>
    </w:p>
  </w:footnote>
  <w:footnote w:id="288">
    <w:p w14:paraId="069893BD" w14:textId="1B36CED6"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Community Business 2019 Report,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_Ref16185778 \h </w:instrText>
      </w:r>
      <w:r>
        <w:rPr>
          <w:lang w:val="en-US"/>
        </w:rPr>
        <w:instrText xml:space="preserve"> \* MERGEFORMAT </w:instrText>
      </w:r>
      <w:r w:rsidRPr="0008474E">
        <w:rPr>
          <w:lang w:val="en-US"/>
        </w:rPr>
      </w:r>
      <w:r w:rsidRPr="0008474E">
        <w:rPr>
          <w:lang w:val="en-US"/>
        </w:rPr>
        <w:fldChar w:fldCharType="separate"/>
      </w:r>
      <w:r w:rsidR="00AE4BA1">
        <w:rPr>
          <w:lang w:val="en-US"/>
        </w:rPr>
        <w:t>284</w:t>
      </w:r>
      <w:r w:rsidRPr="0008474E">
        <w:rPr>
          <w:lang w:val="en-US"/>
        </w:rPr>
        <w:fldChar w:fldCharType="end"/>
      </w:r>
      <w:r w:rsidRPr="0008474E">
        <w:rPr>
          <w:lang w:val="en-US"/>
        </w:rPr>
        <w:t>, at 23.  In Singapore, women represented 15.2% of board members of listed companies in December 2018 (increased from 13.1% in March 2017) and in Malaysia, women represented 23.2% of board members of listed companies in September 2018 (increased from 19.1% in September 2017).</w:t>
      </w:r>
    </w:p>
  </w:footnote>
  <w:footnote w:id="289">
    <w:p w14:paraId="266860A0"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HKEX, Guidance</w:t>
      </w:r>
      <w:r>
        <w:rPr>
          <w:lang w:val="en-US"/>
        </w:rPr>
        <w:t xml:space="preserve"> For Boards and Directors, (July</w:t>
      </w:r>
      <w:r w:rsidRPr="0008474E">
        <w:rPr>
          <w:lang w:val="en-US"/>
        </w:rPr>
        <w:t xml:space="preserve"> 2018), 4.6, </w:t>
      </w:r>
      <w:hyperlink r:id="rId3" w:history="1">
        <w:r w:rsidRPr="0008474E">
          <w:rPr>
            <w:rStyle w:val="Hyperlink"/>
            <w:color w:val="auto"/>
            <w:u w:val="none"/>
            <w:lang w:val="en-US"/>
          </w:rPr>
          <w:t>https://www.hkex.com.hk/-/media/HKEX-Market/Listing/Rules-and-Guidance/Other-Resources/Listed-Issuers/Corporate-Governance-Practices/guide_board_dir.pdf?la=en</w:t>
        </w:r>
      </w:hyperlink>
      <w:r w:rsidRPr="0008474E">
        <w:rPr>
          <w:lang w:val="en-US"/>
        </w:rPr>
        <w:t xml:space="preserve"> [hereinafter HKEX Guidance]</w:t>
      </w:r>
      <w:r>
        <w:rPr>
          <w:lang w:val="en-US"/>
        </w:rPr>
        <w:t>.</w:t>
      </w:r>
    </w:p>
  </w:footnote>
  <w:footnote w:id="290">
    <w:p w14:paraId="0D4F9EFD"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HKEX Guidance</w:t>
      </w:r>
      <w:r>
        <w:rPr>
          <w:lang w:val="en-US"/>
        </w:rPr>
        <w:t>.</w:t>
      </w:r>
    </w:p>
  </w:footnote>
  <w:footnote w:id="291">
    <w:p w14:paraId="4293009D"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Corporate Governance Code and Corporate Governance Report, Principles of Good Governance, Code Provisions and Recommended Best Practices para.</w:t>
      </w:r>
      <w:r>
        <w:rPr>
          <w:lang w:val="en-US"/>
        </w:rPr>
        <w:t xml:space="preserve">  </w:t>
      </w:r>
      <w:r w:rsidRPr="0008474E">
        <w:rPr>
          <w:lang w:val="en-US"/>
        </w:rPr>
        <w:t xml:space="preserve">A.3, at A14-3 [hereinafter HK CG Code], </w:t>
      </w:r>
      <w:r w:rsidRPr="0008474E">
        <w:rPr>
          <w:i/>
          <w:lang w:val="en-US"/>
        </w:rPr>
        <w:t>in</w:t>
      </w:r>
      <w:r w:rsidRPr="0008474E">
        <w:rPr>
          <w:lang w:val="en-US"/>
        </w:rPr>
        <w:t xml:space="preserve"> Rules Governing the Listing of Securities on The Stock Exchange of Hong Kong Limited app. 14 (2019), https://www.hkex.com.hk/-/media/HKEX-Market/Listing/Rules-and-Guidance/Listing-Rules/Consolidated-PDFs/Main-Board-Listing-Rules/consol_mb.pdf?la=en.  </w:t>
      </w:r>
      <w:r w:rsidRPr="0008474E">
        <w:rPr>
          <w:lang w:val="en-US"/>
        </w:rPr>
        <w:br/>
      </w:r>
      <w:r w:rsidRPr="0008474E">
        <w:rPr>
          <w:lang w:val="en-US"/>
        </w:rPr>
        <w:br/>
        <w:t xml:space="preserve">In addition to its appearance as an appendix to the Listing Rules for the Main Board of the Stock Exchange of Hong Kong, the primary securities market operated by Hong Kong Exchanges and Clearing Limited (HKEX) in Hong Kong, the HK CG Code also appears as an appendix to the Listing Rules for the GEM (formerly Growth Enterprise Market), a market for small to mid-sized companies also operated in Hong Kong by HKEX.  </w:t>
      </w:r>
      <w:r w:rsidRPr="0008474E">
        <w:rPr>
          <w:i/>
          <w:lang w:val="en-US"/>
        </w:rPr>
        <w:t>See</w:t>
      </w:r>
      <w:r w:rsidRPr="0008474E">
        <w:rPr>
          <w:lang w:val="en-US"/>
        </w:rPr>
        <w:t xml:space="preserve"> Corporate Governance Code and Corporate Governance Report </w:t>
      </w:r>
      <w:r w:rsidRPr="0008474E">
        <w:rPr>
          <w:i/>
          <w:lang w:val="en-US"/>
        </w:rPr>
        <w:t>in</w:t>
      </w:r>
      <w:r w:rsidRPr="0008474E">
        <w:rPr>
          <w:lang w:val="en-US"/>
        </w:rPr>
        <w:t xml:space="preserve"> Rules Governing the Listing of Securities on GEM of The Stock Exchange of Hong Kong Limited app. 15 (2019), https://www.hkex.com.hk/-/media/HKEX-Market/Listing/Rules-and-Guidance/Listing-Rules/Consolidated-PDFs/GEM-Listing-Rules/consol_gem.pdf?la=en.</w:t>
      </w:r>
    </w:p>
  </w:footnote>
  <w:footnote w:id="292">
    <w:p w14:paraId="1C8B636D"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Consultation Conclusions: Review of the Corporate Governance Code and Related Listing Rules at 4, HKEX (July 2018) [hereinafter Consultation Conclusions], https://www.hkex.com.hk/-/media/HKEX-Market/News/Market-Consultations/2016-Present/November-2017-Review-of-the-CG-code-and-Related-LRs/Conclusions-(July-2018)/cp2017111cc.pdf?la=en; Rules Governing the Listing of Securities on The Stock Exchange of Hong Kong Limited R. 13.92 (2019), https://www.hkex.com.hk/-/media/HKEX-Market/Listing/Rules-and-Guidance/Listing-Rules/Consolidated-PDFs/Main-Board-Listing-Rules/consol_mb.pdf?la=en.</w:t>
      </w:r>
      <w:r w:rsidRPr="0008474E">
        <w:rPr>
          <w:lang w:val="en-US"/>
        </w:rPr>
        <w:br/>
      </w:r>
      <w:r w:rsidRPr="0008474E">
        <w:rPr>
          <w:lang w:val="en-US"/>
        </w:rPr>
        <w:br/>
        <w:t xml:space="preserve">A similar requirement appears in Rule 17.104 of the Listing Rules for the GEM.  </w:t>
      </w:r>
      <w:r w:rsidRPr="0008474E">
        <w:rPr>
          <w:i/>
          <w:lang w:val="en-US"/>
        </w:rPr>
        <w:t>See</w:t>
      </w:r>
      <w:r w:rsidRPr="0008474E">
        <w:rPr>
          <w:lang w:val="en-US"/>
        </w:rPr>
        <w:t xml:space="preserve"> Rules Governing the Listing of Securities on GEM of The Stock Exchange of Hong Kong Limited R. 17.104 (2019), https://www.hkex.com.hk/-/media/HKEX-Market/Listing/Rules-and-Guidance/Listing-Rules/Consolidated-PDFs/GEM-Listing-Rules/consol_gem.pdf?la=en.</w:t>
      </w:r>
    </w:p>
  </w:footnote>
  <w:footnote w:id="293">
    <w:p w14:paraId="2A71FEA7" w14:textId="20A9A7CF" w:rsidR="00953C0F" w:rsidRPr="00203E75" w:rsidRDefault="00953C0F" w:rsidP="006902A2">
      <w:pPr>
        <w:pStyle w:val="FootnoteText"/>
        <w:rPr>
          <w:lang w:val="pt-BR"/>
        </w:rPr>
      </w:pPr>
      <w:r w:rsidRPr="0008474E">
        <w:rPr>
          <w:rStyle w:val="FootnoteReference"/>
          <w:lang w:val="en-US"/>
        </w:rPr>
        <w:footnoteRef/>
      </w:r>
      <w:r w:rsidRPr="00203E75">
        <w:rPr>
          <w:lang w:val="pt-BR"/>
        </w:rPr>
        <w:tab/>
        <w:t xml:space="preserve">HKEX Guidance, </w:t>
      </w:r>
      <w:r w:rsidRPr="00203E75">
        <w:rPr>
          <w:i/>
          <w:lang w:val="pt-BR"/>
        </w:rPr>
        <w:t>supra</w:t>
      </w:r>
      <w:r w:rsidRPr="00203E75">
        <w:rPr>
          <w:lang w:val="pt-BR"/>
        </w:rPr>
        <w:t xml:space="preserve"> note </w:t>
      </w:r>
      <w:r w:rsidRPr="0008474E">
        <w:rPr>
          <w:lang w:val="en-US"/>
        </w:rPr>
        <w:fldChar w:fldCharType="begin"/>
      </w:r>
      <w:r w:rsidRPr="00203E75">
        <w:rPr>
          <w:lang w:val="pt-BR"/>
        </w:rPr>
        <w:instrText xml:space="preserve"> NOTEREF _Ref16185826 \h  \* MERGEFORMAT </w:instrText>
      </w:r>
      <w:r w:rsidRPr="0008474E">
        <w:rPr>
          <w:lang w:val="en-US"/>
        </w:rPr>
      </w:r>
      <w:r w:rsidRPr="0008474E">
        <w:rPr>
          <w:lang w:val="en-US"/>
        </w:rPr>
        <w:fldChar w:fldCharType="separate"/>
      </w:r>
      <w:r w:rsidR="00AE4BA1">
        <w:rPr>
          <w:lang w:val="pt-BR"/>
        </w:rPr>
        <w:t>289</w:t>
      </w:r>
      <w:r w:rsidRPr="0008474E">
        <w:rPr>
          <w:lang w:val="en-US"/>
        </w:rPr>
        <w:fldChar w:fldCharType="end"/>
      </w:r>
      <w:r w:rsidRPr="00203E75">
        <w:rPr>
          <w:lang w:val="pt-BR"/>
        </w:rPr>
        <w:t>, § 4.9.</w:t>
      </w:r>
    </w:p>
  </w:footnote>
  <w:footnote w:id="294">
    <w:p w14:paraId="72430D07" w14:textId="77777777" w:rsidR="00953C0F" w:rsidRPr="00203E75" w:rsidRDefault="00953C0F" w:rsidP="006902A2">
      <w:pPr>
        <w:pStyle w:val="FootnoteText"/>
        <w:rPr>
          <w:lang w:val="pt-BR"/>
        </w:rPr>
      </w:pPr>
      <w:r w:rsidRPr="0008474E">
        <w:rPr>
          <w:rStyle w:val="FootnoteReference"/>
          <w:lang w:val="en-US"/>
        </w:rPr>
        <w:footnoteRef/>
      </w:r>
      <w:r w:rsidRPr="00203E75">
        <w:rPr>
          <w:lang w:val="pt-BR"/>
        </w:rPr>
        <w:tab/>
      </w:r>
      <w:r w:rsidRPr="00203E75">
        <w:rPr>
          <w:i/>
          <w:lang w:val="pt-BR"/>
        </w:rPr>
        <w:t>Id.</w:t>
      </w:r>
      <w:r w:rsidRPr="00203E75">
        <w:rPr>
          <w:lang w:val="pt-BR"/>
        </w:rPr>
        <w:t xml:space="preserve"> § 4.6.</w:t>
      </w:r>
    </w:p>
  </w:footnote>
  <w:footnote w:id="295">
    <w:p w14:paraId="1157C6DF" w14:textId="27976F4A" w:rsidR="00953C0F" w:rsidRPr="00203E75" w:rsidRDefault="00953C0F" w:rsidP="006902A2">
      <w:pPr>
        <w:pStyle w:val="FootnoteText"/>
        <w:rPr>
          <w:lang w:val="pt-BR"/>
        </w:rPr>
      </w:pPr>
      <w:r w:rsidRPr="0008474E">
        <w:rPr>
          <w:rStyle w:val="FootnoteReference"/>
          <w:lang w:val="en-US"/>
        </w:rPr>
        <w:footnoteRef/>
      </w:r>
      <w:r w:rsidRPr="00203E75">
        <w:rPr>
          <w:lang w:val="pt-BR"/>
        </w:rPr>
        <w:tab/>
        <w:t xml:space="preserve">HK CG Code, </w:t>
      </w:r>
      <w:r w:rsidRPr="00203E75">
        <w:rPr>
          <w:i/>
          <w:lang w:val="pt-BR"/>
        </w:rPr>
        <w:t>supra</w:t>
      </w:r>
      <w:r w:rsidRPr="00203E75">
        <w:rPr>
          <w:lang w:val="pt-BR"/>
        </w:rPr>
        <w:t xml:space="preserve"> note </w:t>
      </w:r>
      <w:r w:rsidRPr="0008474E">
        <w:rPr>
          <w:lang w:val="en-US"/>
        </w:rPr>
        <w:fldChar w:fldCharType="begin"/>
      </w:r>
      <w:r w:rsidRPr="00203E75">
        <w:rPr>
          <w:lang w:val="pt-BR"/>
        </w:rPr>
        <w:instrText xml:space="preserve"> NOTEREF _Ref16185807 \h  \* MERGEFORMAT </w:instrText>
      </w:r>
      <w:r w:rsidRPr="0008474E">
        <w:rPr>
          <w:lang w:val="en-US"/>
        </w:rPr>
      </w:r>
      <w:r w:rsidRPr="0008474E">
        <w:rPr>
          <w:lang w:val="en-US"/>
        </w:rPr>
        <w:fldChar w:fldCharType="separate"/>
      </w:r>
      <w:r w:rsidR="00AE4BA1">
        <w:rPr>
          <w:lang w:val="pt-BR"/>
        </w:rPr>
        <w:t>290</w:t>
      </w:r>
      <w:r w:rsidRPr="0008474E">
        <w:rPr>
          <w:lang w:val="en-US"/>
        </w:rPr>
        <w:fldChar w:fldCharType="end"/>
      </w:r>
      <w:r w:rsidRPr="00203E75">
        <w:rPr>
          <w:lang w:val="pt-BR"/>
        </w:rPr>
        <w:t>, para.  A4.2, at A14-7.</w:t>
      </w:r>
    </w:p>
  </w:footnote>
  <w:footnote w:id="296">
    <w:p w14:paraId="6F752044" w14:textId="77954179" w:rsidR="00953C0F" w:rsidRPr="00203E75" w:rsidRDefault="00953C0F" w:rsidP="006902A2">
      <w:pPr>
        <w:pStyle w:val="FootnoteText"/>
        <w:rPr>
          <w:lang w:val="pt-BR"/>
        </w:rPr>
      </w:pPr>
      <w:r w:rsidRPr="0008474E">
        <w:rPr>
          <w:rStyle w:val="FootnoteReference"/>
          <w:lang w:val="en-US"/>
        </w:rPr>
        <w:footnoteRef/>
      </w:r>
      <w:r w:rsidRPr="00203E75">
        <w:rPr>
          <w:lang w:val="pt-BR"/>
        </w:rPr>
        <w:tab/>
        <w:t xml:space="preserve">HKEX Guidance, </w:t>
      </w:r>
      <w:r w:rsidRPr="00203E75">
        <w:rPr>
          <w:i/>
          <w:lang w:val="pt-BR"/>
        </w:rPr>
        <w:t>supra</w:t>
      </w:r>
      <w:r w:rsidRPr="00203E75">
        <w:rPr>
          <w:lang w:val="pt-BR"/>
        </w:rPr>
        <w:t xml:space="preserve"> note </w:t>
      </w:r>
      <w:r w:rsidRPr="0008474E">
        <w:rPr>
          <w:lang w:val="en-US"/>
        </w:rPr>
        <w:fldChar w:fldCharType="begin"/>
      </w:r>
      <w:r w:rsidRPr="00203E75">
        <w:rPr>
          <w:lang w:val="pt-BR"/>
        </w:rPr>
        <w:instrText xml:space="preserve"> NOTEREF _Ref16185826 \h  \* MERGEFORMAT </w:instrText>
      </w:r>
      <w:r w:rsidRPr="0008474E">
        <w:rPr>
          <w:lang w:val="en-US"/>
        </w:rPr>
      </w:r>
      <w:r w:rsidRPr="0008474E">
        <w:rPr>
          <w:lang w:val="en-US"/>
        </w:rPr>
        <w:fldChar w:fldCharType="separate"/>
      </w:r>
      <w:r w:rsidR="00AE4BA1">
        <w:rPr>
          <w:lang w:val="pt-BR"/>
        </w:rPr>
        <w:t>289</w:t>
      </w:r>
      <w:r w:rsidRPr="0008474E">
        <w:rPr>
          <w:lang w:val="en-US"/>
        </w:rPr>
        <w:fldChar w:fldCharType="end"/>
      </w:r>
      <w:r w:rsidRPr="00203E75">
        <w:rPr>
          <w:lang w:val="pt-BR"/>
        </w:rPr>
        <w:t xml:space="preserve">, </w:t>
      </w:r>
      <w:r w:rsidRPr="00203E75">
        <w:rPr>
          <w:rFonts w:cstheme="minorHAnsi"/>
          <w:lang w:val="pt-BR"/>
        </w:rPr>
        <w:t>§</w:t>
      </w:r>
      <w:r w:rsidRPr="00203E75">
        <w:rPr>
          <w:lang w:val="pt-BR"/>
        </w:rPr>
        <w:t> 4.3.</w:t>
      </w:r>
    </w:p>
  </w:footnote>
  <w:footnote w:id="297">
    <w:p w14:paraId="7B63C6F0" w14:textId="77777777" w:rsidR="00953C0F" w:rsidRPr="00203E75" w:rsidRDefault="00953C0F" w:rsidP="006902A2">
      <w:pPr>
        <w:pStyle w:val="FootnoteText"/>
        <w:rPr>
          <w:lang w:val="pt-BR"/>
        </w:rPr>
      </w:pPr>
      <w:r w:rsidRPr="0008474E">
        <w:rPr>
          <w:rStyle w:val="FootnoteReference"/>
          <w:lang w:val="en-US"/>
        </w:rPr>
        <w:footnoteRef/>
      </w:r>
      <w:r w:rsidRPr="00203E75">
        <w:rPr>
          <w:lang w:val="pt-BR"/>
        </w:rPr>
        <w:tab/>
      </w:r>
      <w:r w:rsidRPr="00203E75">
        <w:rPr>
          <w:i/>
          <w:lang w:val="pt-BR"/>
        </w:rPr>
        <w:t>Id.</w:t>
      </w:r>
      <w:r w:rsidRPr="00203E75">
        <w:rPr>
          <w:lang w:val="pt-BR"/>
        </w:rPr>
        <w:t xml:space="preserve"> § 3.8.</w:t>
      </w:r>
    </w:p>
  </w:footnote>
  <w:footnote w:id="298">
    <w:p w14:paraId="3DD3D74E" w14:textId="4F1B70AD" w:rsidR="00953C0F" w:rsidRPr="00203E75" w:rsidRDefault="00953C0F" w:rsidP="006902A2">
      <w:pPr>
        <w:pStyle w:val="FootnoteText"/>
        <w:rPr>
          <w:lang w:val="pt-BR"/>
        </w:rPr>
      </w:pPr>
      <w:r w:rsidRPr="0008474E">
        <w:rPr>
          <w:rStyle w:val="FootnoteReference"/>
          <w:lang w:val="en-US"/>
        </w:rPr>
        <w:footnoteRef/>
      </w:r>
      <w:r w:rsidRPr="00203E75">
        <w:rPr>
          <w:lang w:val="pt-BR"/>
        </w:rPr>
        <w:tab/>
        <w:t xml:space="preserve">HK CG Code, </w:t>
      </w:r>
      <w:r w:rsidRPr="00203E75">
        <w:rPr>
          <w:i/>
          <w:lang w:val="pt-BR"/>
        </w:rPr>
        <w:t>supra</w:t>
      </w:r>
      <w:r w:rsidRPr="00203E75">
        <w:rPr>
          <w:lang w:val="pt-BR"/>
        </w:rPr>
        <w:t xml:space="preserve"> note </w:t>
      </w:r>
      <w:r w:rsidRPr="0008474E">
        <w:rPr>
          <w:lang w:val="en-US"/>
        </w:rPr>
        <w:fldChar w:fldCharType="begin"/>
      </w:r>
      <w:r w:rsidRPr="00203E75">
        <w:rPr>
          <w:lang w:val="pt-BR"/>
        </w:rPr>
        <w:instrText xml:space="preserve"> NOTEREF _Ref16185807 \h  \* MERGEFORMAT </w:instrText>
      </w:r>
      <w:r w:rsidRPr="0008474E">
        <w:rPr>
          <w:lang w:val="en-US"/>
        </w:rPr>
      </w:r>
      <w:r w:rsidRPr="0008474E">
        <w:rPr>
          <w:lang w:val="en-US"/>
        </w:rPr>
        <w:fldChar w:fldCharType="separate"/>
      </w:r>
      <w:r w:rsidR="00AE4BA1">
        <w:rPr>
          <w:lang w:val="pt-BR"/>
        </w:rPr>
        <w:t>290</w:t>
      </w:r>
      <w:r w:rsidRPr="0008474E">
        <w:rPr>
          <w:lang w:val="en-US"/>
        </w:rPr>
        <w:fldChar w:fldCharType="end"/>
      </w:r>
      <w:r w:rsidRPr="00203E75">
        <w:rPr>
          <w:lang w:val="pt-BR"/>
        </w:rPr>
        <w:t xml:space="preserve">, para.  A5.5, at A14-8; Consultation Conclusions, </w:t>
      </w:r>
      <w:r w:rsidRPr="00203E75">
        <w:rPr>
          <w:i/>
          <w:lang w:val="pt-BR"/>
        </w:rPr>
        <w:t>supra</w:t>
      </w:r>
      <w:r w:rsidRPr="00203E75">
        <w:rPr>
          <w:lang w:val="pt-BR"/>
        </w:rPr>
        <w:t xml:space="preserve"> note </w:t>
      </w:r>
      <w:r w:rsidRPr="0008474E">
        <w:rPr>
          <w:lang w:val="en-US"/>
        </w:rPr>
        <w:fldChar w:fldCharType="begin"/>
      </w:r>
      <w:r w:rsidRPr="00203E75">
        <w:rPr>
          <w:lang w:val="pt-BR"/>
        </w:rPr>
        <w:instrText xml:space="preserve"> NOTEREF _Ref16185896 \h  \* MERGEFORMAT </w:instrText>
      </w:r>
      <w:r w:rsidRPr="0008474E">
        <w:rPr>
          <w:lang w:val="en-US"/>
        </w:rPr>
      </w:r>
      <w:r w:rsidRPr="0008474E">
        <w:rPr>
          <w:lang w:val="en-US"/>
        </w:rPr>
        <w:fldChar w:fldCharType="separate"/>
      </w:r>
      <w:r w:rsidR="00AE4BA1">
        <w:rPr>
          <w:lang w:val="pt-BR"/>
        </w:rPr>
        <w:t>291</w:t>
      </w:r>
      <w:r w:rsidRPr="0008474E">
        <w:rPr>
          <w:lang w:val="en-US"/>
        </w:rPr>
        <w:fldChar w:fldCharType="end"/>
      </w:r>
      <w:r w:rsidRPr="00203E75">
        <w:rPr>
          <w:lang w:val="pt-BR"/>
        </w:rPr>
        <w:t>, para 69, at 13.</w:t>
      </w:r>
    </w:p>
  </w:footnote>
  <w:footnote w:id="299">
    <w:p w14:paraId="02F79764" w14:textId="437F80DF" w:rsidR="00953C0F" w:rsidRPr="00203E75" w:rsidRDefault="00953C0F" w:rsidP="006902A2">
      <w:pPr>
        <w:pStyle w:val="FootnoteText"/>
        <w:rPr>
          <w:lang w:val="pt-BR"/>
        </w:rPr>
      </w:pPr>
      <w:r w:rsidRPr="0008474E">
        <w:rPr>
          <w:rStyle w:val="FootnoteReference"/>
          <w:lang w:val="en-US"/>
        </w:rPr>
        <w:footnoteRef/>
      </w:r>
      <w:r w:rsidRPr="00203E75">
        <w:rPr>
          <w:lang w:val="pt-BR"/>
        </w:rPr>
        <w:tab/>
        <w:t xml:space="preserve">HKEX Guidance, </w:t>
      </w:r>
      <w:r w:rsidRPr="00203E75">
        <w:rPr>
          <w:i/>
          <w:lang w:val="pt-BR"/>
        </w:rPr>
        <w:t>supra</w:t>
      </w:r>
      <w:r w:rsidRPr="00203E75">
        <w:rPr>
          <w:lang w:val="pt-BR"/>
        </w:rPr>
        <w:t xml:space="preserve"> note </w:t>
      </w:r>
      <w:r w:rsidRPr="0008474E">
        <w:rPr>
          <w:lang w:val="en-US"/>
        </w:rPr>
        <w:fldChar w:fldCharType="begin"/>
      </w:r>
      <w:r w:rsidRPr="00203E75">
        <w:rPr>
          <w:lang w:val="pt-BR"/>
        </w:rPr>
        <w:instrText xml:space="preserve"> NOTEREF _Ref16185826 \h  \* MERGEFORMAT </w:instrText>
      </w:r>
      <w:r w:rsidRPr="0008474E">
        <w:rPr>
          <w:lang w:val="en-US"/>
        </w:rPr>
      </w:r>
      <w:r w:rsidRPr="0008474E">
        <w:rPr>
          <w:lang w:val="en-US"/>
        </w:rPr>
        <w:fldChar w:fldCharType="separate"/>
      </w:r>
      <w:r w:rsidR="00AE4BA1">
        <w:rPr>
          <w:lang w:val="pt-BR"/>
        </w:rPr>
        <w:t>289</w:t>
      </w:r>
      <w:r w:rsidRPr="0008474E">
        <w:rPr>
          <w:lang w:val="en-US"/>
        </w:rPr>
        <w:fldChar w:fldCharType="end"/>
      </w:r>
      <w:r w:rsidRPr="00203E75">
        <w:rPr>
          <w:lang w:val="pt-BR"/>
        </w:rPr>
        <w:t xml:space="preserve">, </w:t>
      </w:r>
      <w:r w:rsidRPr="00203E75">
        <w:rPr>
          <w:rFonts w:cstheme="minorHAnsi"/>
          <w:lang w:val="pt-BR"/>
        </w:rPr>
        <w:t>§</w:t>
      </w:r>
      <w:r w:rsidRPr="00203E75">
        <w:rPr>
          <w:lang w:val="pt-BR"/>
        </w:rPr>
        <w:t xml:space="preserve"> 4.7; HK CG Code, </w:t>
      </w:r>
      <w:r w:rsidRPr="00203E75">
        <w:rPr>
          <w:i/>
          <w:lang w:val="pt-BR"/>
        </w:rPr>
        <w:t>supra</w:t>
      </w:r>
      <w:r w:rsidRPr="00203E75">
        <w:rPr>
          <w:lang w:val="pt-BR"/>
        </w:rPr>
        <w:t xml:space="preserve"> note </w:t>
      </w:r>
      <w:r w:rsidRPr="0008474E">
        <w:rPr>
          <w:lang w:val="en-US"/>
        </w:rPr>
        <w:fldChar w:fldCharType="begin"/>
      </w:r>
      <w:r w:rsidRPr="00203E75">
        <w:rPr>
          <w:lang w:val="pt-BR"/>
        </w:rPr>
        <w:instrText xml:space="preserve"> NOTEREF _Ref16185807 \h  \* MERGEFORMAT </w:instrText>
      </w:r>
      <w:r w:rsidRPr="0008474E">
        <w:rPr>
          <w:lang w:val="en-US"/>
        </w:rPr>
      </w:r>
      <w:r w:rsidRPr="0008474E">
        <w:rPr>
          <w:lang w:val="en-US"/>
        </w:rPr>
        <w:fldChar w:fldCharType="separate"/>
      </w:r>
      <w:r w:rsidR="00AE4BA1">
        <w:rPr>
          <w:lang w:val="pt-BR"/>
        </w:rPr>
        <w:t>290</w:t>
      </w:r>
      <w:r w:rsidRPr="0008474E">
        <w:rPr>
          <w:lang w:val="en-US"/>
        </w:rPr>
        <w:fldChar w:fldCharType="end"/>
      </w:r>
      <w:r w:rsidRPr="00203E75">
        <w:rPr>
          <w:lang w:val="pt-BR"/>
        </w:rPr>
        <w:t>, para.  L.(d)(ii), at A14-28.</w:t>
      </w:r>
    </w:p>
  </w:footnote>
  <w:footnote w:id="300">
    <w:p w14:paraId="6F7798D0"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Commitment, Board Diversity HK, https://www.boarddiversityhk.o</w:t>
      </w:r>
      <w:r>
        <w:rPr>
          <w:lang w:val="en-US"/>
        </w:rPr>
        <w:t>rg/commitment (last visited Aug.</w:t>
      </w:r>
      <w:r w:rsidRPr="0008474E">
        <w:rPr>
          <w:lang w:val="en-US"/>
        </w:rPr>
        <w:t xml:space="preserve"> 7, 2019).</w:t>
      </w:r>
    </w:p>
  </w:footnote>
  <w:footnote w:id="301">
    <w:p w14:paraId="5A2E5A53"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Board Diversity HK, </w:t>
      </w:r>
      <w:r w:rsidRPr="0008474E">
        <w:rPr>
          <w:i/>
          <w:lang w:val="en-US"/>
        </w:rPr>
        <w:t>Investor Tool Kit for Engagement on Diversity</w:t>
      </w:r>
      <w:r w:rsidRPr="0008474E">
        <w:rPr>
          <w:lang w:val="en-US"/>
        </w:rPr>
        <w:t>, https://static1.squarespace.com/static/‌5b065a933917ee4f2a6f9d16/t/5b0b7ed12b6a288855a33025/1527480021371/HK+Investor+tool+kit+regarding+</w:t>
      </w:r>
      <w:r>
        <w:rPr>
          <w:lang w:val="en-US"/>
        </w:rPr>
        <w:t>Diversity.pdf (last visited Aug.</w:t>
      </w:r>
      <w:r w:rsidRPr="0008474E">
        <w:rPr>
          <w:lang w:val="en-US"/>
        </w:rPr>
        <w:t xml:space="preserve"> 7, 2019).</w:t>
      </w:r>
    </w:p>
  </w:footnote>
  <w:footnote w:id="302">
    <w:p w14:paraId="3F4C0F2C"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Id.</w:t>
      </w:r>
    </w:p>
  </w:footnote>
  <w:footnote w:id="303">
    <w:p w14:paraId="63EEEFD6" w14:textId="0D7FD124" w:rsidR="00953C0F" w:rsidRPr="0008474E" w:rsidRDefault="00953C0F" w:rsidP="006902A2">
      <w:pPr>
        <w:pStyle w:val="FootnoteText"/>
        <w:rPr>
          <w:lang w:val="en-US"/>
        </w:rPr>
      </w:pPr>
      <w:r w:rsidRPr="0008474E">
        <w:rPr>
          <w:rStyle w:val="FootnoteReference"/>
          <w:lang w:val="en-US"/>
        </w:rPr>
        <w:footnoteRef/>
      </w:r>
      <w:r w:rsidRPr="0008474E">
        <w:rPr>
          <w:lang w:val="en-US"/>
        </w:rPr>
        <w:tab/>
        <w:t>Mentoring Programme for Women Leaders, The Women</w:t>
      </w:r>
      <w:r>
        <w:rPr>
          <w:lang w:val="en-US"/>
        </w:rPr>
        <w:t>’</w:t>
      </w:r>
      <w:r w:rsidRPr="0008474E">
        <w:rPr>
          <w:lang w:val="en-US"/>
        </w:rPr>
        <w:t>s Foundation, https://twfhk.org/mentoring-programme-</w:t>
      </w:r>
      <w:r>
        <w:rPr>
          <w:lang w:val="en-US"/>
        </w:rPr>
        <w:t>women-leaders (last visited Aug.</w:t>
      </w:r>
      <w:r w:rsidRPr="0008474E">
        <w:rPr>
          <w:lang w:val="en-US"/>
        </w:rPr>
        <w:t xml:space="preserve"> 7, 2019); Community Business 2019 Report,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_Ref16185778 \h </w:instrText>
      </w:r>
      <w:r>
        <w:rPr>
          <w:lang w:val="en-US"/>
        </w:rPr>
        <w:instrText xml:space="preserve"> \* MERGEFORMAT </w:instrText>
      </w:r>
      <w:r w:rsidRPr="0008474E">
        <w:rPr>
          <w:lang w:val="en-US"/>
        </w:rPr>
      </w:r>
      <w:r w:rsidRPr="0008474E">
        <w:rPr>
          <w:lang w:val="en-US"/>
        </w:rPr>
        <w:fldChar w:fldCharType="separate"/>
      </w:r>
      <w:r w:rsidR="00AE4BA1">
        <w:rPr>
          <w:lang w:val="en-US"/>
        </w:rPr>
        <w:t>284</w:t>
      </w:r>
      <w:r w:rsidRPr="0008474E">
        <w:rPr>
          <w:lang w:val="en-US"/>
        </w:rPr>
        <w:fldChar w:fldCharType="end"/>
      </w:r>
      <w:r w:rsidRPr="0008474E">
        <w:rPr>
          <w:lang w:val="en-US"/>
        </w:rPr>
        <w:t>, at 33.</w:t>
      </w:r>
    </w:p>
  </w:footnote>
  <w:footnote w:id="304">
    <w:p w14:paraId="6073D150"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We Are Male Allies, Male Allies (The Women</w:t>
      </w:r>
      <w:r>
        <w:rPr>
          <w:lang w:val="en-US"/>
        </w:rPr>
        <w:t>’</w:t>
      </w:r>
      <w:r w:rsidRPr="0008474E">
        <w:rPr>
          <w:lang w:val="en-US"/>
        </w:rPr>
        <w:t>s Foundation), https://maleallieshk.org/ (la</w:t>
      </w:r>
      <w:r>
        <w:rPr>
          <w:lang w:val="en-US"/>
        </w:rPr>
        <w:t>st visited Aug.</w:t>
      </w:r>
      <w:r w:rsidRPr="0008474E">
        <w:rPr>
          <w:lang w:val="en-US"/>
        </w:rPr>
        <w:t xml:space="preserve"> 7, 2019).</w:t>
      </w:r>
    </w:p>
  </w:footnote>
  <w:footnote w:id="305">
    <w:p w14:paraId="5631CB78" w14:textId="7B871BA8"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Community Business 2019 Report,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_Ref16185778 \h </w:instrText>
      </w:r>
      <w:r>
        <w:rPr>
          <w:lang w:val="en-US"/>
        </w:rPr>
        <w:instrText xml:space="preserve"> \* MERGEFORMAT </w:instrText>
      </w:r>
      <w:r w:rsidRPr="0008474E">
        <w:rPr>
          <w:lang w:val="en-US"/>
        </w:rPr>
      </w:r>
      <w:r w:rsidRPr="0008474E">
        <w:rPr>
          <w:lang w:val="en-US"/>
        </w:rPr>
        <w:fldChar w:fldCharType="separate"/>
      </w:r>
      <w:r w:rsidR="00AE4BA1">
        <w:rPr>
          <w:lang w:val="en-US"/>
        </w:rPr>
        <w:t>284</w:t>
      </w:r>
      <w:r w:rsidRPr="0008474E">
        <w:rPr>
          <w:lang w:val="en-US"/>
        </w:rPr>
        <w:fldChar w:fldCharType="end"/>
      </w:r>
      <w:r w:rsidRPr="0008474E">
        <w:rPr>
          <w:lang w:val="en-US"/>
        </w:rPr>
        <w:t>, at 14-20.</w:t>
      </w:r>
    </w:p>
  </w:footnote>
  <w:footnote w:id="306">
    <w:p w14:paraId="4F579987"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See generally</w:t>
      </w:r>
      <w:r w:rsidRPr="0008474E">
        <w:rPr>
          <w:lang w:val="en-US"/>
        </w:rPr>
        <w:t xml:space="preserve"> Securities Act of 1933, ch. 38, 48 Stat. 74 (codified as amended at 15 U.S.C. §§ 77a-77aa); Securities Exchange Act of 1934, ch. 404, 48 Stat. 881 (codified as amended at 15 U.S.C. §§ 78a-78qq).</w:t>
      </w:r>
    </w:p>
  </w:footnote>
  <w:footnote w:id="307">
    <w:p w14:paraId="6EA9AF33"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17 C.F.R. § 229.407(c)(2)(vi) (2019). </w:t>
      </w:r>
      <w:r>
        <w:rPr>
          <w:lang w:val="en-US"/>
        </w:rPr>
        <w:t xml:space="preserve"> </w:t>
      </w:r>
      <w:r w:rsidRPr="0008474E">
        <w:rPr>
          <w:lang w:val="en-US"/>
        </w:rPr>
        <w:t>The SEC does not provide specific guidelines for private companies.</w:t>
      </w:r>
    </w:p>
  </w:footnote>
  <w:footnote w:id="308">
    <w:p w14:paraId="7EB32B96"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U.S. Gov</w:t>
      </w:r>
      <w:r>
        <w:rPr>
          <w:lang w:val="en-US"/>
        </w:rPr>
        <w:t>’</w:t>
      </w:r>
      <w:r w:rsidRPr="0008474E">
        <w:rPr>
          <w:lang w:val="en-US"/>
        </w:rPr>
        <w:t xml:space="preserve">t Accountability Office, </w:t>
      </w:r>
      <w:r w:rsidRPr="0008474E">
        <w:rPr>
          <w:i/>
          <w:lang w:val="en-US"/>
        </w:rPr>
        <w:t>GAO-16-30, Corporate Boards: Strategies to Address Representation of Women Include Federal Disclosure Requirements</w:t>
      </w:r>
      <w:r>
        <w:rPr>
          <w:lang w:val="en-US"/>
        </w:rPr>
        <w:t xml:space="preserve"> 6, 22 (Dec.</w:t>
      </w:r>
      <w:r w:rsidRPr="0008474E">
        <w:rPr>
          <w:lang w:val="en-US"/>
        </w:rPr>
        <w:t xml:space="preserve"> 2015) [hereinafter GAO, </w:t>
      </w:r>
      <w:r w:rsidRPr="0008474E">
        <w:rPr>
          <w:i/>
          <w:lang w:val="en-US"/>
        </w:rPr>
        <w:t>Corporate Boards: Strategies</w:t>
      </w:r>
      <w:r w:rsidRPr="0008474E">
        <w:rPr>
          <w:lang w:val="en-US"/>
        </w:rPr>
        <w:t>] (making reference to 17 C.F.R. § 229.407(c)(2)(vi)).</w:t>
      </w:r>
    </w:p>
  </w:footnote>
  <w:footnote w:id="309">
    <w:p w14:paraId="3A9C27A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What We Do</w:t>
      </w:r>
      <w:r w:rsidRPr="0008474E">
        <w:rPr>
          <w:lang w:val="en-US"/>
        </w:rPr>
        <w:t xml:space="preserve">, SEC.gov, https://www.sec.gov/Article/whatwedo.html (last modified June 10, 2013); </w:t>
      </w:r>
      <w:r w:rsidRPr="0008474E">
        <w:rPr>
          <w:i/>
          <w:lang w:val="en-US"/>
        </w:rPr>
        <w:t>see also Standards for Assessing the Diversity Policies and Practices of Entities Regulated by the Securities and Exchange Commission - Frequently Asked Questions</w:t>
      </w:r>
      <w:r w:rsidRPr="0008474E">
        <w:rPr>
          <w:lang w:val="en-US"/>
        </w:rPr>
        <w:t xml:space="preserve"> 2, SEC.gov (2018), https://www.sec.gov/files/DAR-FAQ.pdf.</w:t>
      </w:r>
    </w:p>
  </w:footnote>
  <w:footnote w:id="310">
    <w:p w14:paraId="13A93B5C"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SEC, </w:t>
      </w:r>
      <w:r w:rsidRPr="0008474E">
        <w:rPr>
          <w:i/>
          <w:lang w:val="en-US"/>
        </w:rPr>
        <w:t>Diversity Assessment Report for Entities Regulated by the SEC</w:t>
      </w:r>
      <w:r w:rsidRPr="0008474E">
        <w:rPr>
          <w:lang w:val="en-US"/>
        </w:rPr>
        <w:t xml:space="preserve"> (2018), https://www.sec.gov/files/OMWI-DAR-FORM.pdf. </w:t>
      </w:r>
    </w:p>
  </w:footnote>
  <w:footnote w:id="311">
    <w:p w14:paraId="5E56F32A" w14:textId="083097E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Final Interagency Policy Statement Establishing Joint Standards for Assessing the Diversity Policies and Practices of Entities Regulated by the Agencies, Exchange Act Release No. 75, 050, 80 Fed. Reg. 33,016 (proposed June 10, 2015) [hereinafter Joint Standards]; </w:t>
      </w:r>
      <w:r w:rsidRPr="0008474E">
        <w:rPr>
          <w:i/>
          <w:lang w:val="en-US"/>
        </w:rPr>
        <w:t>see also</w:t>
      </w:r>
      <w:r w:rsidRPr="0008474E">
        <w:rPr>
          <w:lang w:val="en-US"/>
        </w:rPr>
        <w:t xml:space="preserve"> Dodd-Frank Wall Street Reform and Consumer Protection Act § 342(a)(1)(A), (b)(2), 12 U.S.C. § 5452(a)(1)(A), (b)(2) (requiring the SEC and other federal financial agencies to establish an inclusion office, the Office of Minority and Women Inclusion (OMWI), to be responsible for all matters relating to diversity in management, employment and business activities, as well as requiring the OMWI director to </w:t>
      </w:r>
      <w:r w:rsidRPr="00203E75">
        <w:rPr>
          <w:i/>
          <w:lang w:val="en-US"/>
        </w:rPr>
        <w:t>“</w:t>
      </w:r>
      <w:r w:rsidRPr="0008474E">
        <w:rPr>
          <w:lang w:val="en-US"/>
        </w:rPr>
        <w:t>develop standards for . . . [the] diversity of the workforce and senior management of the agency</w:t>
      </w:r>
      <w:r w:rsidRPr="00203E75">
        <w:rPr>
          <w:i/>
          <w:lang w:val="en-US"/>
        </w:rPr>
        <w:t>”</w:t>
      </w:r>
      <w:r w:rsidRPr="0008474E">
        <w:rPr>
          <w:lang w:val="en-US"/>
        </w:rPr>
        <w:t>).</w:t>
      </w:r>
    </w:p>
  </w:footnote>
  <w:footnote w:id="312">
    <w:p w14:paraId="48BB7BAF" w14:textId="093CE41C"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Joint Standards,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_Ref16193525 \h </w:instrText>
      </w:r>
      <w:r>
        <w:rPr>
          <w:lang w:val="en-US"/>
        </w:rPr>
        <w:instrText xml:space="preserve"> \* MERGEFORMAT </w:instrText>
      </w:r>
      <w:r w:rsidRPr="0008474E">
        <w:rPr>
          <w:lang w:val="en-US"/>
        </w:rPr>
      </w:r>
      <w:r w:rsidRPr="0008474E">
        <w:rPr>
          <w:lang w:val="en-US"/>
        </w:rPr>
        <w:fldChar w:fldCharType="separate"/>
      </w:r>
      <w:r w:rsidR="00AE4BA1">
        <w:rPr>
          <w:lang w:val="en-US"/>
        </w:rPr>
        <w:t>310</w:t>
      </w:r>
      <w:r w:rsidRPr="0008474E">
        <w:rPr>
          <w:lang w:val="en-US"/>
        </w:rPr>
        <w:fldChar w:fldCharType="end"/>
      </w:r>
      <w:r w:rsidRPr="0008474E">
        <w:rPr>
          <w:lang w:val="en-US"/>
        </w:rPr>
        <w:t>, at 33, 017-18.</w:t>
      </w:r>
    </w:p>
  </w:footnote>
  <w:footnote w:id="313">
    <w:p w14:paraId="5B84B1DA"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Id</w:t>
      </w:r>
      <w:r w:rsidRPr="0008474E">
        <w:rPr>
          <w:lang w:val="en-US"/>
        </w:rPr>
        <w:t>. at 33, 017.</w:t>
      </w:r>
    </w:p>
  </w:footnote>
  <w:footnote w:id="314">
    <w:p w14:paraId="0CA7EAC4" w14:textId="6451EC0E" w:rsidR="00953C0F" w:rsidRPr="0008474E" w:rsidRDefault="00953C0F" w:rsidP="006902A2">
      <w:pPr>
        <w:pStyle w:val="FootnoteText"/>
        <w:rPr>
          <w:lang w:val="en-US"/>
        </w:rPr>
      </w:pPr>
      <w:r w:rsidRPr="0008474E">
        <w:rPr>
          <w:rStyle w:val="FootnoteReference"/>
          <w:lang w:val="en-US"/>
        </w:rPr>
        <w:footnoteRef/>
      </w:r>
      <w:r w:rsidRPr="0008474E">
        <w:rPr>
          <w:i/>
          <w:lang w:val="en-US"/>
        </w:rPr>
        <w:t xml:space="preserve"> </w:t>
      </w:r>
      <w:r w:rsidRPr="0008474E">
        <w:rPr>
          <w:i/>
          <w:lang w:val="en-US"/>
        </w:rPr>
        <w:tab/>
      </w:r>
      <w:r w:rsidRPr="0008474E">
        <w:rPr>
          <w:lang w:val="en-US"/>
        </w:rPr>
        <w:t xml:space="preserve">McKinsey report, </w:t>
      </w:r>
      <w:r w:rsidRPr="0008474E">
        <w:rPr>
          <w:i/>
          <w:lang w:val="en-US"/>
        </w:rPr>
        <w:t>supra</w:t>
      </w:r>
      <w:r w:rsidRPr="0008474E">
        <w:rPr>
          <w:lang w:val="en-US"/>
        </w:rPr>
        <w:t xml:space="preserve"> note </w:t>
      </w:r>
      <w:r w:rsidRPr="00316F9D">
        <w:rPr>
          <w:lang w:val="en-US"/>
        </w:rPr>
        <w:fldChar w:fldCharType="begin"/>
      </w:r>
      <w:r w:rsidRPr="00141FF7">
        <w:rPr>
          <w:bCs/>
          <w:lang w:val="en-US"/>
        </w:rPr>
        <w:instrText xml:space="preserve"> NOTEREF _Ref21804339 \h </w:instrText>
      </w:r>
      <w:r w:rsidRPr="00141FF7">
        <w:rPr>
          <w:lang w:val="en-US"/>
        </w:rPr>
        <w:instrText xml:space="preserve"> \* MERGEFORMAT </w:instrText>
      </w:r>
      <w:r w:rsidRPr="00316F9D">
        <w:rPr>
          <w:lang w:val="en-US"/>
        </w:rPr>
      </w:r>
      <w:r w:rsidRPr="00316F9D">
        <w:rPr>
          <w:lang w:val="en-US"/>
        </w:rPr>
        <w:fldChar w:fldCharType="separate"/>
      </w:r>
      <w:r w:rsidR="00AE4BA1">
        <w:rPr>
          <w:bCs/>
          <w:lang w:val="en-US"/>
        </w:rPr>
        <w:t>3</w:t>
      </w:r>
      <w:r w:rsidRPr="00316F9D">
        <w:rPr>
          <w:lang w:val="en-US"/>
        </w:rPr>
        <w:fldChar w:fldCharType="end"/>
      </w:r>
      <w:r w:rsidRPr="0008474E">
        <w:rPr>
          <w:lang w:val="en-US"/>
        </w:rPr>
        <w:t xml:space="preserve">, at 4-5.  The report analyses company progress reports across the world in relation to the composition of their employee structure, demonstrating that companies with higher diversity, in particular at board level, perform better.  </w:t>
      </w:r>
      <w:r w:rsidRPr="0008474E">
        <w:rPr>
          <w:i/>
          <w:lang w:val="en-US"/>
        </w:rPr>
        <w:t>Id</w:t>
      </w:r>
      <w:r w:rsidRPr="0008474E">
        <w:rPr>
          <w:lang w:val="en-US"/>
        </w:rPr>
        <w:t>. at 2-5.  McKinsey</w:t>
      </w:r>
      <w:r>
        <w:rPr>
          <w:lang w:val="en-US"/>
        </w:rPr>
        <w:t>’</w:t>
      </w:r>
      <w:r w:rsidRPr="0008474E">
        <w:rPr>
          <w:lang w:val="en-US"/>
        </w:rPr>
        <w:t xml:space="preserve">s criteria for diversity included gender, ethnicity and experience.  </w:t>
      </w:r>
      <w:r>
        <w:rPr>
          <w:lang w:val="en-US"/>
        </w:rPr>
        <w:t>‘</w:t>
      </w:r>
      <w:r w:rsidRPr="0008474E">
        <w:rPr>
          <w:lang w:val="en-US"/>
        </w:rPr>
        <w:t>American companies</w:t>
      </w:r>
      <w:r>
        <w:rPr>
          <w:lang w:val="en-US"/>
        </w:rPr>
        <w:t>’</w:t>
      </w:r>
      <w:r w:rsidRPr="0008474E">
        <w:rPr>
          <w:lang w:val="en-US"/>
        </w:rPr>
        <w:t xml:space="preserve"> in this instance refers to the selection of 186 U</w:t>
      </w:r>
      <w:r>
        <w:rPr>
          <w:lang w:val="en-US"/>
        </w:rPr>
        <w:t>.</w:t>
      </w:r>
      <w:r w:rsidRPr="0008474E">
        <w:rPr>
          <w:lang w:val="en-US"/>
        </w:rPr>
        <w:t>S</w:t>
      </w:r>
      <w:r>
        <w:rPr>
          <w:lang w:val="en-US"/>
        </w:rPr>
        <w:t>.</w:t>
      </w:r>
      <w:r w:rsidRPr="0008474E">
        <w:rPr>
          <w:lang w:val="en-US"/>
        </w:rPr>
        <w:t xml:space="preserve"> publicly listed companies analy</w:t>
      </w:r>
      <w:r>
        <w:rPr>
          <w:lang w:val="en-US"/>
        </w:rPr>
        <w:t>z</w:t>
      </w:r>
      <w:r w:rsidRPr="0008474E">
        <w:rPr>
          <w:lang w:val="en-US"/>
        </w:rPr>
        <w:t>ed as part of the McKinsey report.</w:t>
      </w:r>
    </w:p>
  </w:footnote>
  <w:footnote w:id="315">
    <w:p w14:paraId="20E60A44"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Marjolein Cuellar et al., </w:t>
      </w:r>
      <w:r w:rsidRPr="0008474E">
        <w:rPr>
          <w:i/>
          <w:lang w:val="en-US"/>
        </w:rPr>
        <w:t>Proven Measures and Hidden Gems for Improving Gender Diversity</w:t>
      </w:r>
      <w:r>
        <w:rPr>
          <w:lang w:val="en-US"/>
        </w:rPr>
        <w:t>, Bos. Consulting Group (Sept.</w:t>
      </w:r>
      <w:r w:rsidRPr="0008474E">
        <w:rPr>
          <w:lang w:val="en-US"/>
        </w:rPr>
        <w:t xml:space="preserve"> 12, 2017), https://www.bcg.com/en-us/publications/2017/people-organization-behavior-culture-proven-measures-hidden-gems-improving-gender-diversity.aspx.</w:t>
      </w:r>
    </w:p>
  </w:footnote>
  <w:footnote w:id="316">
    <w:p w14:paraId="34249ADC"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Employment: Female Share of Seats on Boards of the Largest Publicly Listed Companies</w:t>
      </w:r>
      <w:r w:rsidRPr="0008474E">
        <w:rPr>
          <w:lang w:val="en-US"/>
        </w:rPr>
        <w:t>, OECD [hereinafter OECD Statistics 2017], http://stats.oecd.org/index.aspx?</w:t>
      </w:r>
      <w:r>
        <w:rPr>
          <w:lang w:val="en-US"/>
        </w:rPr>
        <w:t>queryid=54753 (last visited Aug.</w:t>
      </w:r>
      <w:r w:rsidRPr="0008474E">
        <w:rPr>
          <w:lang w:val="en-US"/>
        </w:rPr>
        <w:t xml:space="preserve"> 3, 2019).  According to the OECD, France had 12.3% women on boards in 2010 and 41.2% in 2016; the UK went from 13.3% to 27% and Germany went from 12.6% to 29.5% from 2010 to 2016.</w:t>
      </w:r>
    </w:p>
  </w:footnote>
  <w:footnote w:id="317">
    <w:p w14:paraId="7B55C0AF"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See below for an example from the State of California, which has recently signed into law an act to impose gender quotas in the U</w:t>
      </w:r>
      <w:r>
        <w:rPr>
          <w:lang w:val="en-US"/>
        </w:rPr>
        <w:t>.</w:t>
      </w:r>
      <w:r w:rsidRPr="0008474E">
        <w:rPr>
          <w:lang w:val="en-US"/>
        </w:rPr>
        <w:t>S.</w:t>
      </w:r>
    </w:p>
  </w:footnote>
  <w:footnote w:id="318">
    <w:p w14:paraId="23CE06D1" w14:textId="245722D4"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Comm. for Econ. Dev., </w:t>
      </w:r>
      <w:r w:rsidRPr="0008474E">
        <w:rPr>
          <w:i/>
          <w:lang w:val="en-US"/>
        </w:rPr>
        <w:t xml:space="preserve">Fulfilling the Promise: How More Women on Corporate Boards Would Make America and American Companies More Competitive </w:t>
      </w:r>
      <w:r w:rsidRPr="0008474E">
        <w:rPr>
          <w:lang w:val="en-US"/>
        </w:rPr>
        <w:t xml:space="preserve">17 (2012).  </w:t>
      </w:r>
      <w:r w:rsidRPr="0008474E">
        <w:rPr>
          <w:lang w:val="en-US" w:eastAsia="en-US"/>
        </w:rPr>
        <w:t xml:space="preserve">Some </w:t>
      </w:r>
      <w:r>
        <w:rPr>
          <w:lang w:val="en-US" w:eastAsia="en-US"/>
        </w:rPr>
        <w:t>European</w:t>
      </w:r>
      <w:r w:rsidRPr="0008474E">
        <w:rPr>
          <w:lang w:val="en-US" w:eastAsia="en-US"/>
        </w:rPr>
        <w:t xml:space="preserve"> countries have government quotas, generally with a 30% target for 2020, for women on company boards such as Norway and Germany, and other </w:t>
      </w:r>
      <w:r>
        <w:rPr>
          <w:lang w:val="en-US" w:eastAsia="en-US"/>
        </w:rPr>
        <w:t>European</w:t>
      </w:r>
      <w:r w:rsidRPr="0008474E">
        <w:rPr>
          <w:lang w:val="en-US" w:eastAsia="en-US"/>
        </w:rPr>
        <w:t xml:space="preserve"> states have </w:t>
      </w:r>
      <w:r>
        <w:rPr>
          <w:lang w:val="en-US" w:eastAsia="en-US"/>
        </w:rPr>
        <w:t>targets</w:t>
      </w:r>
      <w:r w:rsidRPr="0008474E">
        <w:rPr>
          <w:lang w:val="en-US" w:eastAsia="en-US"/>
        </w:rPr>
        <w:t xml:space="preserve"> for gender balance such as the UK and France.  </w:t>
      </w:r>
    </w:p>
  </w:footnote>
  <w:footnote w:id="319">
    <w:p w14:paraId="31E8428A" w14:textId="58E16082"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GAO, </w:t>
      </w:r>
      <w:r w:rsidRPr="0008474E">
        <w:rPr>
          <w:i/>
          <w:lang w:val="en-US"/>
        </w:rPr>
        <w:t>Corporate Boards: Strategies</w:t>
      </w:r>
      <w:r w:rsidRPr="0008474E">
        <w:rPr>
          <w:lang w:val="en-US"/>
        </w:rPr>
        <w:t xml:space="preserve">,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_Ref16193546 \h </w:instrText>
      </w:r>
      <w:r>
        <w:rPr>
          <w:lang w:val="en-US"/>
        </w:rPr>
        <w:instrText xml:space="preserve"> \* MERGEFORMAT </w:instrText>
      </w:r>
      <w:r w:rsidRPr="0008474E">
        <w:rPr>
          <w:lang w:val="en-US"/>
        </w:rPr>
      </w:r>
      <w:r w:rsidRPr="0008474E">
        <w:rPr>
          <w:lang w:val="en-US"/>
        </w:rPr>
        <w:fldChar w:fldCharType="separate"/>
      </w:r>
      <w:r w:rsidR="00AE4BA1">
        <w:rPr>
          <w:lang w:val="en-US"/>
        </w:rPr>
        <w:t>307</w:t>
      </w:r>
      <w:r w:rsidRPr="0008474E">
        <w:rPr>
          <w:lang w:val="en-US"/>
        </w:rPr>
        <w:fldChar w:fldCharType="end"/>
      </w:r>
      <w:r w:rsidRPr="0008474E">
        <w:rPr>
          <w:lang w:val="en-US"/>
        </w:rPr>
        <w:t xml:space="preserve">, at </w:t>
      </w:r>
      <w:r w:rsidRPr="00203E75">
        <w:rPr>
          <w:i/>
          <w:lang w:val="en-US"/>
        </w:rPr>
        <w:t>“</w:t>
      </w:r>
      <w:r w:rsidRPr="0008474E">
        <w:rPr>
          <w:lang w:val="en-US"/>
        </w:rPr>
        <w:t>GAO Highlights</w:t>
      </w:r>
      <w:r w:rsidRPr="00203E75">
        <w:rPr>
          <w:i/>
          <w:lang w:val="en-US"/>
        </w:rPr>
        <w:t>”</w:t>
      </w:r>
      <w:r w:rsidRPr="0008474E">
        <w:rPr>
          <w:lang w:val="en-US"/>
        </w:rPr>
        <w:t xml:space="preserve"> page.</w:t>
      </w:r>
    </w:p>
  </w:footnote>
  <w:footnote w:id="320">
    <w:p w14:paraId="364D6DF8"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Id</w:t>
      </w:r>
      <w:r w:rsidRPr="0008474E">
        <w:rPr>
          <w:lang w:val="en-US"/>
        </w:rPr>
        <w:t>. at 21-25.  The report published views and practices from several major stakeholders in major companies, most of which reported that they would like to know more about the diversity criteria of the companies in which they invest and that they would be more willing to invest in companies with higher diversity ratios at board level.</w:t>
      </w:r>
    </w:p>
  </w:footnote>
  <w:footnote w:id="321">
    <w:p w14:paraId="538081A8"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Id</w:t>
      </w:r>
      <w:r w:rsidRPr="0008474E">
        <w:rPr>
          <w:lang w:val="en-US"/>
        </w:rPr>
        <w:t>. at 17.</w:t>
      </w:r>
    </w:p>
  </w:footnote>
  <w:footnote w:id="322">
    <w:p w14:paraId="03FAFD93" w14:textId="33BE8B72"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Id.</w:t>
      </w:r>
      <w:r w:rsidRPr="0008474E">
        <w:rPr>
          <w:lang w:val="en-US"/>
        </w:rPr>
        <w:t xml:space="preserve"> at 18.  The GAO report demonstrated that there are fewer diversity candidates within the </w:t>
      </w:r>
      <w:r w:rsidRPr="00203E75">
        <w:rPr>
          <w:i/>
          <w:lang w:val="en-US"/>
        </w:rPr>
        <w:t>“</w:t>
      </w:r>
      <w:r w:rsidRPr="0008474E">
        <w:rPr>
          <w:i/>
          <w:lang w:val="en-US"/>
        </w:rPr>
        <w:t>traditional pipeline for board positions</w:t>
      </w:r>
      <w:r w:rsidRPr="0008474E">
        <w:rPr>
          <w:lang w:val="en-US"/>
        </w:rPr>
        <w:t>,</w:t>
      </w:r>
      <w:r w:rsidRPr="00203E75">
        <w:rPr>
          <w:i/>
          <w:lang w:val="en-US"/>
        </w:rPr>
        <w:t>”</w:t>
      </w:r>
      <w:r w:rsidRPr="0008474E">
        <w:rPr>
          <w:lang w:val="en-US"/>
        </w:rPr>
        <w:t xml:space="preserve"> </w:t>
      </w:r>
      <w:r w:rsidRPr="0008474E">
        <w:rPr>
          <w:i/>
          <w:lang w:val="en-US"/>
        </w:rPr>
        <w:t>id</w:t>
      </w:r>
      <w:r w:rsidRPr="0008474E">
        <w:rPr>
          <w:lang w:val="en-US"/>
        </w:rPr>
        <w:t>. at 13, and suggested that candidates should be chosen from a wider pool and not only among a selection of CEO candidates.  Selection committees should look for experienced candidates among other senior executive positions, in academic circles</w:t>
      </w:r>
      <w:r>
        <w:rPr>
          <w:lang w:val="en-US"/>
        </w:rPr>
        <w:t xml:space="preserve"> and</w:t>
      </w:r>
      <w:r w:rsidRPr="0008474E">
        <w:rPr>
          <w:lang w:val="en-US"/>
        </w:rPr>
        <w:t xml:space="preserve"> in the non-profit and government sectors in order to increase the number of diversity candidates.  </w:t>
      </w:r>
      <w:r w:rsidRPr="0008474E">
        <w:rPr>
          <w:i/>
          <w:lang w:val="en-US"/>
        </w:rPr>
        <w:t>Id</w:t>
      </w:r>
      <w:r w:rsidRPr="0008474E">
        <w:rPr>
          <w:lang w:val="en-US"/>
        </w:rPr>
        <w:t>. at 18.</w:t>
      </w:r>
    </w:p>
  </w:footnote>
  <w:footnote w:id="323">
    <w:p w14:paraId="4EDEA753"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Id.</w:t>
      </w:r>
      <w:r w:rsidRPr="0008474E">
        <w:rPr>
          <w:lang w:val="en-US"/>
        </w:rPr>
        <w:t xml:space="preserve"> at 19-20.</w:t>
      </w:r>
    </w:p>
  </w:footnote>
  <w:footnote w:id="324">
    <w:p w14:paraId="4EC5FA76"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Gender Diversity in Corporate Leadership Act of 2016, H.R. 4718, 114th Cong. (2016); </w:t>
      </w:r>
      <w:r w:rsidRPr="0008474E">
        <w:rPr>
          <w:i/>
          <w:lang w:val="en-US"/>
        </w:rPr>
        <w:t>Legislation Focuses on Gender Diversity on Corporate Boards</w:t>
      </w:r>
      <w:r w:rsidRPr="0008474E">
        <w:rPr>
          <w:lang w:val="en-US"/>
        </w:rPr>
        <w:t>, A.B.A. Wash. Letter (Am. Ba</w:t>
      </w:r>
      <w:r>
        <w:rPr>
          <w:lang w:val="en-US"/>
        </w:rPr>
        <w:t>r Ass’n, Washington, D.C.), Mar.</w:t>
      </w:r>
      <w:r w:rsidRPr="0008474E">
        <w:rPr>
          <w:lang w:val="en-US"/>
        </w:rPr>
        <w:t xml:space="preserve"> 2016, at 5, 8 (discussing House Bill 4718), https://www.americanbar.org/publications/governmental_affairs_periodicals/washingtonletter/2016/march/corporateboards.html.</w:t>
      </w:r>
    </w:p>
  </w:footnote>
  <w:footnote w:id="325">
    <w:p w14:paraId="1C265C8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Gender Diversity in Corporate Leadership Act of 2017, H.R. 1611, 115th Cong. (2017); Remus Valsan, </w:t>
      </w:r>
      <w:r w:rsidRPr="0008474E">
        <w:rPr>
          <w:i/>
          <w:lang w:val="en-US"/>
        </w:rPr>
        <w:t>US Bill on Gender Diversity in the Boardroom</w:t>
      </w:r>
      <w:r>
        <w:rPr>
          <w:lang w:val="en-US"/>
        </w:rPr>
        <w:t>, ECCLblog (Apr.</w:t>
      </w:r>
      <w:r w:rsidRPr="0008474E">
        <w:rPr>
          <w:lang w:val="en-US"/>
        </w:rPr>
        <w:t xml:space="preserve"> 22, 2016), http://www.ecclblog.law.ed.ac.uk/2016/04/22/us-bill-on-gender-diversity-in-the-boardroom/.</w:t>
      </w:r>
    </w:p>
  </w:footnote>
  <w:footnote w:id="326">
    <w:p w14:paraId="06B7A053"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S. 826, 2017-2018 Reg. Sess. (Cal. 2018)</w:t>
      </w:r>
      <w:r w:rsidRPr="0008474E">
        <w:rPr>
          <w:i/>
          <w:lang w:val="en-US"/>
        </w:rPr>
        <w:t>.</w:t>
      </w:r>
      <w:r w:rsidRPr="0008474E">
        <w:rPr>
          <w:lang w:val="en-US"/>
        </w:rPr>
        <w:t xml:space="preserve">  The Bill states that the principal executive offices of a corporation will be determined in accordance with that corporation</w:t>
      </w:r>
      <w:r>
        <w:rPr>
          <w:lang w:val="en-US"/>
        </w:rPr>
        <w:t>’</w:t>
      </w:r>
      <w:r w:rsidRPr="0008474E">
        <w:rPr>
          <w:lang w:val="en-US"/>
        </w:rPr>
        <w:t>s SEC 10-K form.  Section 301.3(b) of the Bill sets different minimum targets for female directors for 2021 depending on the number of directors in the company; where there are four or fewer directors, there shall be a minimum of one female director; where there are five directors, there shall be a minimum of two female directors; where there are six directors or more, there shall be a minimum of three female directors.</w:t>
      </w:r>
    </w:p>
  </w:footnote>
  <w:footnote w:id="327">
    <w:p w14:paraId="4D8E535D"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Crest v. Padilla, No. 19</w:t>
      </w:r>
      <w:r>
        <w:rPr>
          <w:lang w:val="en-US"/>
        </w:rPr>
        <w:t>STCV27561 (Super. Ct. Filed Aug.</w:t>
      </w:r>
      <w:r w:rsidRPr="0008474E">
        <w:rPr>
          <w:lang w:val="en-US"/>
        </w:rPr>
        <w:t xml:space="preserve"> 6, 2019).</w:t>
      </w:r>
    </w:p>
  </w:footnote>
  <w:footnote w:id="328">
    <w:p w14:paraId="6820EE00" w14:textId="18420FA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McKinsey report, </w:t>
      </w:r>
      <w:r w:rsidRPr="0008474E">
        <w:rPr>
          <w:i/>
          <w:lang w:val="en-US"/>
        </w:rPr>
        <w:t>supra</w:t>
      </w:r>
      <w:r w:rsidRPr="0008474E">
        <w:rPr>
          <w:lang w:val="en-US"/>
        </w:rPr>
        <w:t xml:space="preserve"> note </w:t>
      </w:r>
      <w:r>
        <w:rPr>
          <w:lang w:val="en-US"/>
        </w:rPr>
        <w:fldChar w:fldCharType="begin"/>
      </w:r>
      <w:r>
        <w:rPr>
          <w:lang w:val="en-US"/>
        </w:rPr>
        <w:instrText xml:space="preserve"> NOTEREF _Ref21804339 \h </w:instrText>
      </w:r>
      <w:r w:rsidR="006902A2">
        <w:rPr>
          <w:lang w:val="en-US"/>
        </w:rPr>
        <w:instrText xml:space="preserve"> \* MERGEFORMAT </w:instrText>
      </w:r>
      <w:r>
        <w:rPr>
          <w:lang w:val="en-US"/>
        </w:rPr>
      </w:r>
      <w:r>
        <w:rPr>
          <w:lang w:val="en-US"/>
        </w:rPr>
        <w:fldChar w:fldCharType="separate"/>
      </w:r>
      <w:r w:rsidR="00AE4BA1">
        <w:rPr>
          <w:lang w:val="en-US"/>
        </w:rPr>
        <w:t>3</w:t>
      </w:r>
      <w:r>
        <w:rPr>
          <w:lang w:val="en-US"/>
        </w:rPr>
        <w:fldChar w:fldCharType="end"/>
      </w:r>
      <w:r w:rsidRPr="0008474E">
        <w:rPr>
          <w:lang w:val="en-US"/>
        </w:rPr>
        <w:t xml:space="preserve">; Chris Flood, </w:t>
      </w:r>
      <w:r w:rsidRPr="0008474E">
        <w:rPr>
          <w:i/>
          <w:lang w:val="en-US"/>
        </w:rPr>
        <w:t>Gender-Diverse Companies Are More Productive</w:t>
      </w:r>
      <w:r w:rsidRPr="0008474E">
        <w:rPr>
          <w:lang w:val="en-US"/>
        </w:rPr>
        <w:t>, Fin. Times</w:t>
      </w:r>
      <w:r w:rsidRPr="0008474E">
        <w:rPr>
          <w:i/>
          <w:lang w:val="en-US"/>
        </w:rPr>
        <w:t xml:space="preserve"> </w:t>
      </w:r>
      <w:r>
        <w:rPr>
          <w:lang w:val="en-US"/>
        </w:rPr>
        <w:t>(Mar.</w:t>
      </w:r>
      <w:r w:rsidRPr="0008474E">
        <w:rPr>
          <w:lang w:val="en-US"/>
        </w:rPr>
        <w:t xml:space="preserve"> 11, 2018), https://www.ft.com/content/b83c74f4-2209-11e8-add1-0e8958b189ea (</w:t>
      </w:r>
      <w:r w:rsidRPr="00203E75">
        <w:rPr>
          <w:i/>
          <w:lang w:val="en-US"/>
        </w:rPr>
        <w:t>“</w:t>
      </w:r>
      <w:r w:rsidRPr="0008474E">
        <w:rPr>
          <w:lang w:val="en-US"/>
        </w:rPr>
        <w:t>[A]verage employee productivity growth was higher for companies that employed three or more women at board level between 2012 and 2016 than those that had just a single or no female directors.</w:t>
      </w:r>
      <w:r w:rsidRPr="00203E75">
        <w:rPr>
          <w:i/>
          <w:lang w:val="en-US"/>
        </w:rPr>
        <w:t>”</w:t>
      </w:r>
      <w:r w:rsidRPr="0008474E">
        <w:rPr>
          <w:lang w:val="en-US"/>
        </w:rPr>
        <w:t xml:space="preserve">); Rocío Lorenzo et al., </w:t>
      </w:r>
      <w:r w:rsidRPr="0008474E">
        <w:rPr>
          <w:i/>
          <w:lang w:val="en-US"/>
        </w:rPr>
        <w:t>How Diverse Leadership Teams Boost Innovation</w:t>
      </w:r>
      <w:r>
        <w:rPr>
          <w:lang w:val="en-US"/>
        </w:rPr>
        <w:t>, Bos. Consulting Group (Jan.</w:t>
      </w:r>
      <w:r w:rsidRPr="0008474E">
        <w:rPr>
          <w:lang w:val="en-US"/>
        </w:rPr>
        <w:t xml:space="preserve"> 23, 2018), https://www.bcg.com/en-us/publications/2018/how-diverse-leadership-teams-boost-innovation.aspx (</w:t>
      </w:r>
      <w:r w:rsidRPr="00203E75">
        <w:rPr>
          <w:i/>
          <w:lang w:val="en-US"/>
        </w:rPr>
        <w:t>“</w:t>
      </w:r>
      <w:r w:rsidRPr="0008474E">
        <w:rPr>
          <w:lang w:val="en-US"/>
        </w:rPr>
        <w:t>Companies that reported above-average diversity on their management teams also reported innovation revenue that was 19 percentage points higher than that of companies with below-average leadership diversity</w:t>
      </w:r>
      <w:r>
        <w:rPr>
          <w:lang w:val="en-US"/>
        </w:rPr>
        <w:t>–</w:t>
      </w:r>
      <w:r w:rsidRPr="0008474E">
        <w:rPr>
          <w:lang w:val="en-US"/>
        </w:rPr>
        <w:t>45% of total revenue versus just 26%.</w:t>
      </w:r>
      <w:r w:rsidRPr="00203E75">
        <w:rPr>
          <w:i/>
          <w:lang w:val="en-US"/>
        </w:rPr>
        <w:t>”</w:t>
      </w:r>
      <w:r w:rsidRPr="0008474E">
        <w:rPr>
          <w:lang w:val="en-US"/>
        </w:rPr>
        <w:t>).</w:t>
      </w:r>
    </w:p>
  </w:footnote>
  <w:footnote w:id="329">
    <w:p w14:paraId="52576053"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There are several American non-profit organizations which promote best practices for diversity in the workplace; Catalyst and the 30% Club are two of the most prominent organizations that promote gender diversity at board level.  These organizations give awards to companies who have succeeded in their diversity policies and share best practices with other public and private companies globally.</w:t>
      </w:r>
    </w:p>
  </w:footnote>
  <w:footnote w:id="330">
    <w:p w14:paraId="7D172052" w14:textId="59404360"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GAO, </w:t>
      </w:r>
      <w:r w:rsidRPr="0008474E">
        <w:rPr>
          <w:i/>
          <w:lang w:val="en-US"/>
        </w:rPr>
        <w:t>Corporate Boards: Strategies</w:t>
      </w:r>
      <w:r w:rsidRPr="0008474E">
        <w:rPr>
          <w:lang w:val="en-US"/>
        </w:rPr>
        <w:t xml:space="preserve">,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_Ref16193546 \h </w:instrText>
      </w:r>
      <w:r>
        <w:rPr>
          <w:lang w:val="en-US"/>
        </w:rPr>
        <w:instrText xml:space="preserve"> \* MERGEFORMAT </w:instrText>
      </w:r>
      <w:r w:rsidRPr="0008474E">
        <w:rPr>
          <w:lang w:val="en-US"/>
        </w:rPr>
      </w:r>
      <w:r w:rsidRPr="0008474E">
        <w:rPr>
          <w:lang w:val="en-US"/>
        </w:rPr>
        <w:fldChar w:fldCharType="separate"/>
      </w:r>
      <w:r w:rsidR="00AE4BA1">
        <w:rPr>
          <w:lang w:val="en-US"/>
        </w:rPr>
        <w:t>307</w:t>
      </w:r>
      <w:r w:rsidRPr="0008474E">
        <w:rPr>
          <w:lang w:val="en-US"/>
        </w:rPr>
        <w:fldChar w:fldCharType="end"/>
      </w:r>
      <w:r w:rsidRPr="0008474E">
        <w:rPr>
          <w:lang w:val="en-US"/>
        </w:rPr>
        <w:t>, at 19.  The report suggested this option as a potential strategy to reach better diversity ratios, however, it stated that limiting terms and imposing age limits were the least favored policies according to the stakeholders interviewed.  Most stakeholders were not in favor of limiting tenure.</w:t>
      </w:r>
    </w:p>
  </w:footnote>
  <w:footnote w:id="331">
    <w:p w14:paraId="7B3FF7A0" w14:textId="1D5CBA23"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Id.</w:t>
      </w:r>
      <w:r w:rsidRPr="0008474E">
        <w:rPr>
          <w:lang w:val="en-US"/>
        </w:rPr>
        <w:t xml:space="preserve"> (the report suggested expanding the board size either permanently or temporarily in order to increase representation of diversity candidates).  The GAO report stated that </w:t>
      </w:r>
      <w:r w:rsidRPr="00203E75">
        <w:rPr>
          <w:i/>
          <w:lang w:val="en-US"/>
        </w:rPr>
        <w:t>“</w:t>
      </w:r>
      <w:r w:rsidRPr="0008474E">
        <w:rPr>
          <w:lang w:val="en-US"/>
        </w:rPr>
        <w:t>51 percent of S&amp;P 1500 companies that increased directorships held by women in the last year [2014] did so by increasing board size.</w:t>
      </w:r>
      <w:r w:rsidRPr="00203E75">
        <w:rPr>
          <w:i/>
          <w:lang w:val="en-US"/>
        </w:rPr>
        <w:t>”</w:t>
      </w:r>
      <w:r w:rsidRPr="0008474E">
        <w:rPr>
          <w:lang w:val="en-US"/>
        </w:rPr>
        <w:t xml:space="preserve">  </w:t>
      </w:r>
      <w:r w:rsidRPr="0008474E">
        <w:rPr>
          <w:i/>
          <w:lang w:val="en-US"/>
        </w:rPr>
        <w:t>Id.</w:t>
      </w:r>
      <w:r w:rsidRPr="0008474E">
        <w:rPr>
          <w:lang w:val="en-US"/>
        </w:rPr>
        <w:t xml:space="preserve"> at 19 n.40.</w:t>
      </w:r>
    </w:p>
  </w:footnote>
  <w:footnote w:id="332">
    <w:p w14:paraId="600BAF7B" w14:textId="1165A626"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Cuellar et al.,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_Ref16193584 \h </w:instrText>
      </w:r>
      <w:r>
        <w:rPr>
          <w:lang w:val="en-US"/>
        </w:rPr>
        <w:instrText xml:space="preserve"> \* MERGEFORMAT </w:instrText>
      </w:r>
      <w:r w:rsidRPr="0008474E">
        <w:rPr>
          <w:lang w:val="en-US"/>
        </w:rPr>
      </w:r>
      <w:r w:rsidRPr="0008474E">
        <w:rPr>
          <w:lang w:val="en-US"/>
        </w:rPr>
        <w:fldChar w:fldCharType="separate"/>
      </w:r>
      <w:r w:rsidR="00AE4BA1">
        <w:rPr>
          <w:lang w:val="en-US"/>
        </w:rPr>
        <w:t>314</w:t>
      </w:r>
      <w:r w:rsidRPr="0008474E">
        <w:rPr>
          <w:lang w:val="en-US"/>
        </w:rPr>
        <w:fldChar w:fldCharType="end"/>
      </w:r>
      <w:r w:rsidRPr="0008474E">
        <w:rPr>
          <w:lang w:val="en-US"/>
        </w:rPr>
        <w:t>, at 11 (companies need to carefully select meaningful diversity metrics to gauge their progress in order to actively encourage and monitor diversity efforts).</w:t>
      </w:r>
    </w:p>
  </w:footnote>
  <w:footnote w:id="333">
    <w:p w14:paraId="3B57F35A" w14:textId="03A3C558" w:rsidR="00953C0F" w:rsidRPr="0008474E" w:rsidRDefault="00953C0F" w:rsidP="006902A2">
      <w:pPr>
        <w:pStyle w:val="FootnoteText"/>
        <w:rPr>
          <w:i/>
          <w:lang w:val="en-US"/>
        </w:rPr>
      </w:pPr>
      <w:r w:rsidRPr="0008474E">
        <w:rPr>
          <w:rStyle w:val="FootnoteReference"/>
          <w:lang w:val="en-US"/>
        </w:rPr>
        <w:footnoteRef/>
      </w:r>
      <w:r w:rsidRPr="0008474E">
        <w:rPr>
          <w:lang w:val="en-US"/>
        </w:rPr>
        <w:t xml:space="preserve"> </w:t>
      </w:r>
      <w:r w:rsidRPr="0008474E">
        <w:rPr>
          <w:lang w:val="en-US"/>
        </w:rPr>
        <w:tab/>
        <w:t xml:space="preserve">McKinsey report, </w:t>
      </w:r>
      <w:r w:rsidRPr="0008474E">
        <w:rPr>
          <w:i/>
          <w:lang w:val="en-US"/>
        </w:rPr>
        <w:t>supra</w:t>
      </w:r>
      <w:r w:rsidRPr="0008474E">
        <w:rPr>
          <w:lang w:val="en-US"/>
        </w:rPr>
        <w:t xml:space="preserve"> note </w:t>
      </w:r>
      <w:r w:rsidRPr="00141FF7">
        <w:rPr>
          <w:bCs/>
          <w:lang w:val="en-US"/>
        </w:rPr>
        <w:fldChar w:fldCharType="begin"/>
      </w:r>
      <w:r w:rsidRPr="00141FF7">
        <w:rPr>
          <w:bCs/>
          <w:lang w:val="en-US"/>
        </w:rPr>
        <w:instrText xml:space="preserve"> NOTEREF _Ref21804339 \h </w:instrText>
      </w:r>
      <w:r>
        <w:rPr>
          <w:bCs/>
          <w:lang w:val="en-US"/>
        </w:rPr>
        <w:instrText xml:space="preserve"> \* MERGEFORMAT </w:instrText>
      </w:r>
      <w:r w:rsidRPr="00141FF7">
        <w:rPr>
          <w:bCs/>
          <w:lang w:val="en-US"/>
        </w:rPr>
      </w:r>
      <w:r w:rsidRPr="00141FF7">
        <w:rPr>
          <w:bCs/>
          <w:lang w:val="en-US"/>
        </w:rPr>
        <w:fldChar w:fldCharType="separate"/>
      </w:r>
      <w:r w:rsidR="00AE4BA1">
        <w:rPr>
          <w:bCs/>
          <w:lang w:val="en-US"/>
        </w:rPr>
        <w:t>3</w:t>
      </w:r>
      <w:r w:rsidRPr="00141FF7">
        <w:rPr>
          <w:bCs/>
          <w:lang w:val="en-US"/>
        </w:rPr>
        <w:fldChar w:fldCharType="end"/>
      </w:r>
      <w:r w:rsidRPr="0008474E">
        <w:rPr>
          <w:lang w:val="en-US"/>
        </w:rPr>
        <w:t xml:space="preserve">, at 14.  The report suggested that companies should have </w:t>
      </w:r>
      <w:r w:rsidRPr="00203E75">
        <w:rPr>
          <w:i/>
          <w:lang w:val="en-US"/>
        </w:rPr>
        <w:t>“</w:t>
      </w:r>
      <w:r w:rsidRPr="0008474E">
        <w:rPr>
          <w:lang w:val="en-US"/>
        </w:rPr>
        <w:t>a clear value proposition for having a diverse and inclusive culture[,] [s]et a few clear targets (not quotas) that balance complexity with cohesiveness[,] [c]ontinuously address potential mindset barriers through systematic change management [and] [l]ink diversity to other change management efforts.</w:t>
      </w:r>
      <w:r w:rsidRPr="00203E75">
        <w:rPr>
          <w:i/>
          <w:lang w:val="en-US"/>
        </w:rPr>
        <w:t>”</w:t>
      </w:r>
      <w:r w:rsidRPr="0008474E">
        <w:rPr>
          <w:lang w:val="en-US"/>
        </w:rPr>
        <w:t xml:space="preserve">  </w:t>
      </w:r>
      <w:r w:rsidRPr="0008474E">
        <w:rPr>
          <w:i/>
          <w:lang w:val="en-US"/>
        </w:rPr>
        <w:t>Id.</w:t>
      </w:r>
    </w:p>
  </w:footnote>
  <w:footnote w:id="334">
    <w:p w14:paraId="381F8C3A"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Catalyst, </w:t>
      </w:r>
      <w:r w:rsidRPr="0008474E">
        <w:rPr>
          <w:i/>
          <w:lang w:val="en-US"/>
        </w:rPr>
        <w:t>Case Study: The Boston Consulting Group (BCG) – Women @BCG</w:t>
      </w:r>
      <w:r w:rsidRPr="0008474E">
        <w:rPr>
          <w:lang w:val="en-US"/>
        </w:rPr>
        <w:t>, (Jan. 18, 2018), http://www.catalyst.org/knowledge/boston-consulting-group-bcg-womenbcg (2017 Catalyst award winner for gender diversity).</w:t>
      </w:r>
    </w:p>
  </w:footnote>
  <w:footnote w:id="335">
    <w:p w14:paraId="2D536051"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Id.</w:t>
      </w:r>
    </w:p>
  </w:footnote>
  <w:footnote w:id="336">
    <w:p w14:paraId="72A2D5B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Catalyst, </w:t>
      </w:r>
      <w:r w:rsidRPr="0008474E">
        <w:rPr>
          <w:i/>
          <w:lang w:val="en-US"/>
        </w:rPr>
        <w:t>Case Study:</w:t>
      </w:r>
      <w:r w:rsidRPr="0008474E">
        <w:rPr>
          <w:lang w:val="en-US"/>
        </w:rPr>
        <w:t xml:space="preserve"> </w:t>
      </w:r>
      <w:r w:rsidRPr="0008474E">
        <w:rPr>
          <w:i/>
          <w:lang w:val="en-US"/>
        </w:rPr>
        <w:t>Northrup Grumman Corporation – Building the Best Culture, Leveraging the Power of Women</w:t>
      </w:r>
      <w:r>
        <w:rPr>
          <w:lang w:val="en-US"/>
        </w:rPr>
        <w:t xml:space="preserve"> (Jan.</w:t>
      </w:r>
      <w:r w:rsidRPr="0008474E">
        <w:rPr>
          <w:lang w:val="en-US"/>
        </w:rPr>
        <w:t xml:space="preserve"> 18, 2018), http://www.catalyst.org/knowledge/northrop-grumman-corporation-building-best-culture-leveraging-power-women (Catalyst best practice nominee 2018).</w:t>
      </w:r>
    </w:p>
  </w:footnote>
  <w:footnote w:id="337">
    <w:p w14:paraId="6BECF86F" w14:textId="2CB26D5F"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McKinsey report, </w:t>
      </w:r>
      <w:r w:rsidRPr="0008474E">
        <w:rPr>
          <w:i/>
          <w:lang w:val="en-US"/>
        </w:rPr>
        <w:t>supra</w:t>
      </w:r>
      <w:r w:rsidRPr="0008474E">
        <w:rPr>
          <w:lang w:val="en-US"/>
        </w:rPr>
        <w:t xml:space="preserve"> note </w:t>
      </w:r>
      <w:r w:rsidRPr="00141FF7">
        <w:rPr>
          <w:bCs/>
          <w:lang w:val="en-US"/>
        </w:rPr>
        <w:t>4</w:t>
      </w:r>
      <w:r w:rsidRPr="0008474E">
        <w:rPr>
          <w:lang w:val="en-US"/>
        </w:rPr>
        <w:t xml:space="preserve">, at 14.  The report demonstrated that companies which targeted their diversity initiative policies and mentorship groups achieved better results.  The focus of policies cannot just be on gender and getting female employees to join in the leadership mentoring schemes; in order to increase ethnic and geographic diversity, companies have to tailor their policies to include the diverse pool of candidates necessary for the selection process. </w:t>
      </w:r>
    </w:p>
  </w:footnote>
  <w:footnote w:id="338">
    <w:p w14:paraId="7D03B461" w14:textId="3CD663A9"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Maureen Vontz et al., CMI Women, </w:t>
      </w:r>
      <w:r w:rsidRPr="0008474E">
        <w:rPr>
          <w:i/>
          <w:lang w:val="en-US"/>
        </w:rPr>
        <w:t>A Blueprint for Balance</w:t>
      </w:r>
      <w:r w:rsidRPr="0008474E">
        <w:rPr>
          <w:lang w:val="en-US"/>
        </w:rPr>
        <w:t xml:space="preserve">, 19-20 (2018), https://30percentclub.org/assets/uploads/UK/Third_Party_Reports/ Blueprint_for_Balance_Broken_Windows_Full_Report.pdf; Cuellar et al.,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_Ref16193584 \h </w:instrText>
      </w:r>
      <w:r>
        <w:rPr>
          <w:lang w:val="en-US"/>
        </w:rPr>
        <w:instrText xml:space="preserve"> \* MERGEFORMAT </w:instrText>
      </w:r>
      <w:r w:rsidRPr="0008474E">
        <w:rPr>
          <w:lang w:val="en-US"/>
        </w:rPr>
      </w:r>
      <w:r w:rsidRPr="0008474E">
        <w:rPr>
          <w:lang w:val="en-US"/>
        </w:rPr>
        <w:fldChar w:fldCharType="separate"/>
      </w:r>
      <w:r w:rsidR="00AE4BA1">
        <w:rPr>
          <w:lang w:val="en-US"/>
        </w:rPr>
        <w:t>314</w:t>
      </w:r>
      <w:r w:rsidRPr="0008474E">
        <w:rPr>
          <w:lang w:val="en-US"/>
        </w:rPr>
        <w:fldChar w:fldCharType="end"/>
      </w:r>
      <w:r w:rsidRPr="0008474E">
        <w:rPr>
          <w:lang w:val="en-US"/>
        </w:rPr>
        <w:t>, at 8.  These reports demonstrated that U</w:t>
      </w:r>
      <w:r>
        <w:rPr>
          <w:lang w:val="en-US"/>
        </w:rPr>
        <w:t>.</w:t>
      </w:r>
      <w:r w:rsidRPr="0008474E">
        <w:rPr>
          <w:lang w:val="en-US"/>
        </w:rPr>
        <w:t>S</w:t>
      </w:r>
      <w:r>
        <w:rPr>
          <w:lang w:val="en-US"/>
        </w:rPr>
        <w:t>.</w:t>
      </w:r>
      <w:r w:rsidRPr="0008474E">
        <w:rPr>
          <w:lang w:val="en-US"/>
        </w:rPr>
        <w:t xml:space="preserve"> employees are demanding more flexibility in their work and that promoti</w:t>
      </w:r>
      <w:r>
        <w:rPr>
          <w:lang w:val="en-US"/>
        </w:rPr>
        <w:t>ng more flexible work program</w:t>
      </w:r>
      <w:r w:rsidRPr="0008474E">
        <w:rPr>
          <w:lang w:val="en-US"/>
        </w:rPr>
        <w:t xml:space="preserve">s will help women, in particular, reach higher level management positions, leaving a viable pipeline for future leaders. </w:t>
      </w:r>
    </w:p>
  </w:footnote>
  <w:footnote w:id="339">
    <w:p w14:paraId="122BE966"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An Act to Amend the Canada Business Corporations Act, the Canada Cooperatives Act, the Canada Not-for-Profit Corporations Act and the Competition Act, S.C. 2018, c.8 (Can.) [hereinafter Bill C-25]; Andrew MacDougall et al., </w:t>
      </w:r>
      <w:r w:rsidRPr="0008474E">
        <w:rPr>
          <w:i/>
          <w:lang w:val="en-US"/>
        </w:rPr>
        <w:t>Significant Corporate Governance Changes in Proposed Amendments to the Canada Business Corporations Act</w:t>
      </w:r>
      <w:r w:rsidRPr="0008474E">
        <w:rPr>
          <w:lang w:val="en-US"/>
        </w:rPr>
        <w:t>, Osler Risk Mgmt. &amp; Crisis Response Blog (Oct. 25, 2016), www.osler.com/en/blogs/risk/october-2016/significant-corporate-governance-changes-in-propos.</w:t>
      </w:r>
    </w:p>
  </w:footnote>
  <w:footnote w:id="340">
    <w:p w14:paraId="39A5A0C8"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Tracey Kernahan &amp; Katherine Prusinkiewicz, </w:t>
      </w:r>
      <w:r w:rsidRPr="0008474E">
        <w:rPr>
          <w:i/>
          <w:lang w:val="en-US"/>
        </w:rPr>
        <w:t>Canada Business Corporations Act Has Been Amended</w:t>
      </w:r>
      <w:r w:rsidRPr="0008474E">
        <w:rPr>
          <w:lang w:val="en-US"/>
        </w:rPr>
        <w:t>, Norton Rose Fulbright Knowledge Publications (May 2018), http://www.nortonrosefulbright.com/knowledge/publications/167460/icanada-business-corporations-acti-has-been-amended; Bill C-25 Part XIV.1 § 172.1(1).</w:t>
      </w:r>
    </w:p>
  </w:footnote>
  <w:footnote w:id="341">
    <w:p w14:paraId="2215F160"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Bill C-25 § 107.1.</w:t>
      </w:r>
    </w:p>
  </w:footnote>
  <w:footnote w:id="342">
    <w:p w14:paraId="3ED9A5C0" w14:textId="77777777" w:rsidR="00953C0F" w:rsidRPr="0008474E" w:rsidRDefault="00953C0F" w:rsidP="006902A2">
      <w:pPr>
        <w:pStyle w:val="FootnoteText"/>
        <w:rPr>
          <w:b/>
          <w:lang w:val="en-US"/>
        </w:rPr>
      </w:pPr>
      <w:r w:rsidRPr="0008474E">
        <w:rPr>
          <w:rStyle w:val="FootnoteReference"/>
          <w:lang w:val="en-US"/>
        </w:rPr>
        <w:footnoteRef/>
      </w:r>
      <w:r w:rsidRPr="0008474E">
        <w:rPr>
          <w:b/>
          <w:lang w:val="en-US"/>
        </w:rPr>
        <w:tab/>
      </w:r>
      <w:r w:rsidRPr="0008474E">
        <w:rPr>
          <w:lang w:val="en-US"/>
        </w:rPr>
        <w:t xml:space="preserve">An Act To Establish Gender Equality Week, S.C. 2018 (Can.); Andrew MacDougall et al., </w:t>
      </w:r>
      <w:r w:rsidRPr="0008474E">
        <w:rPr>
          <w:i/>
          <w:lang w:val="en-US"/>
        </w:rPr>
        <w:t>2018 Diversity Disclosure Practices, Women in leadership roles at TSX-listed companies</w:t>
      </w:r>
      <w:r w:rsidRPr="0008474E">
        <w:rPr>
          <w:lang w:val="en-US"/>
        </w:rPr>
        <w:t xml:space="preserve">, Osler (2018) https://www.osler.com/osler/media/Osler/reports/corporate-governance/2018-Diversity-Disclosure-Practices-Women-in-leadership-roles-at-TSX-listed-companies.pdf. </w:t>
      </w:r>
    </w:p>
  </w:footnote>
  <w:footnote w:id="343">
    <w:p w14:paraId="3EB8813B"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Government of Canada, Backgrounder – Government of Canada Announces Investment in Women</w:t>
      </w:r>
      <w:r>
        <w:rPr>
          <w:i/>
          <w:lang w:val="en-US"/>
        </w:rPr>
        <w:t>’</w:t>
      </w:r>
      <w:r w:rsidRPr="0008474E">
        <w:rPr>
          <w:i/>
          <w:lang w:val="en-US"/>
        </w:rPr>
        <w:t xml:space="preserve">s Organizations Across Yukon </w:t>
      </w:r>
      <w:r w:rsidRPr="0008474E">
        <w:rPr>
          <w:lang w:val="en-US"/>
        </w:rPr>
        <w:t>(May 10, 2019),</w:t>
      </w:r>
      <w:r w:rsidRPr="0008474E">
        <w:rPr>
          <w:i/>
          <w:lang w:val="en-US"/>
        </w:rPr>
        <w:t xml:space="preserve"> </w:t>
      </w:r>
      <w:r w:rsidRPr="0008474E">
        <w:rPr>
          <w:lang w:val="en-US"/>
        </w:rPr>
        <w:t>https://www.canada.ca/en/status-women/news/2019/05/backgrounder--government-of-canada-announces-investment-in-womens-organizations-across-yukon.html.</w:t>
      </w:r>
    </w:p>
  </w:footnote>
  <w:footnote w:id="344">
    <w:p w14:paraId="47427D0A"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Act Respecting the Governance of State-Owned Enterprises, C.Q.L.R., c G-1.02 (Qué.).</w:t>
      </w:r>
    </w:p>
  </w:footnote>
  <w:footnote w:id="345">
    <w:p w14:paraId="5CC3C2D8"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Catalyst, </w:t>
      </w:r>
      <w:r w:rsidRPr="0008474E">
        <w:rPr>
          <w:i/>
          <w:iCs/>
          <w:lang w:val="en-US"/>
        </w:rPr>
        <w:t>Gender Diversity on Boards in Canada: Recommendations for Accelerating Progress</w:t>
      </w:r>
      <w:r w:rsidRPr="0008474E">
        <w:rPr>
          <w:lang w:val="en-US"/>
        </w:rPr>
        <w:t xml:space="preserve"> (2016) (commissioned by the Government of Ontario), http://www.catalyst.org/system/files/gender_diversity_on_boards_in_canada_final_pdf_version.pdf; News Release, Office of the Premier (Ont.), </w:t>
      </w:r>
      <w:r w:rsidRPr="0008474E">
        <w:rPr>
          <w:i/>
          <w:lang w:val="en-US"/>
        </w:rPr>
        <w:t>Ontario Sets Gender Diversity Targets</w:t>
      </w:r>
      <w:r w:rsidRPr="0008474E">
        <w:rPr>
          <w:lang w:val="en-US"/>
        </w:rPr>
        <w:t>, Ontario Newsroom (June 7, 2016), https://news.ontario.ca/opo/en/2016/06/ontario-sets-gender-diversity-targets.html.</w:t>
      </w:r>
    </w:p>
  </w:footnote>
  <w:footnote w:id="346">
    <w:p w14:paraId="5D16CCFB"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H. Takhar, </w:t>
      </w:r>
      <w:r w:rsidRPr="0008474E">
        <w:rPr>
          <w:i/>
          <w:lang w:val="en-US"/>
        </w:rPr>
        <w:t>An Act To Amend the Business Corporations Act With Respect to Meetings of Shareholders, the Election of Directors and the Adoption of an Executive Compensation Policy</w:t>
      </w:r>
      <w:r w:rsidRPr="0008474E">
        <w:rPr>
          <w:lang w:val="en-US"/>
        </w:rPr>
        <w:t>, Bill 101 (2017), https://www.ola.org/sites/default/files/node-files/bill/document/pdf/2017/2017-03/bill---text-41-2-en-b101_e.pdf.</w:t>
      </w:r>
    </w:p>
  </w:footnote>
  <w:footnote w:id="347">
    <w:p w14:paraId="4EC2A455"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Press Release, Canadian Securities Administrators, </w:t>
      </w:r>
      <w:r w:rsidRPr="0008474E">
        <w:rPr>
          <w:i/>
          <w:lang w:val="en-US"/>
        </w:rPr>
        <w:t>Canadian Securities Regulators Finalize Rule Amendments Regarding Disclosure of Women on Boards and in Senior Management</w:t>
      </w:r>
      <w:r>
        <w:rPr>
          <w:lang w:val="en-US"/>
        </w:rPr>
        <w:t xml:space="preserve"> (Oct.</w:t>
      </w:r>
      <w:r w:rsidRPr="0008474E">
        <w:rPr>
          <w:lang w:val="en-US"/>
        </w:rPr>
        <w:t xml:space="preserve"> 15, 2014), https://www.securities-administrators.ca/aboutcsa.aspx?id=1285.</w:t>
      </w:r>
    </w:p>
  </w:footnote>
  <w:footnote w:id="348">
    <w:p w14:paraId="1C2720FB"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Id</w:t>
      </w:r>
      <w:r w:rsidRPr="0008474E">
        <w:rPr>
          <w:lang w:val="en-US"/>
        </w:rPr>
        <w:t xml:space="preserve">.; National Instrument 58-101, </w:t>
      </w:r>
      <w:r w:rsidRPr="0008474E">
        <w:rPr>
          <w:i/>
          <w:lang w:val="en-US"/>
        </w:rPr>
        <w:t>Disclosure of Corporate Governance Practices</w:t>
      </w:r>
      <w:r w:rsidRPr="0008474E">
        <w:rPr>
          <w:lang w:val="en-US"/>
        </w:rPr>
        <w:t xml:space="preserve"> § 11, https://www.osc.gov.on.ca/documents/en/Securities-Category5/sn_20170119_58-101_unofficial-consolidation.pdf.</w:t>
      </w:r>
    </w:p>
  </w:footnote>
  <w:footnote w:id="349">
    <w:p w14:paraId="2428F754"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 xml:space="preserve">Report on Fourth Staff Review of Disclosure Regarding Women on Boards and in Executive Officer Positions </w:t>
      </w:r>
      <w:r>
        <w:rPr>
          <w:lang w:val="en-US"/>
        </w:rPr>
        <w:t>(Sept.</w:t>
      </w:r>
      <w:r w:rsidRPr="0008474E">
        <w:rPr>
          <w:lang w:val="en-US"/>
        </w:rPr>
        <w:t xml:space="preserve"> 27, 2018), https://www.osc.gov.on.ca/documents/en/Securities-Category5/sn_20180927_58-310_staff-review-women-on-boards.pdf.</w:t>
      </w:r>
    </w:p>
  </w:footnote>
  <w:footnote w:id="350">
    <w:p w14:paraId="52A5298E" w14:textId="07BA280F" w:rsidR="00953C0F" w:rsidRPr="0008474E" w:rsidRDefault="00953C0F" w:rsidP="006902A2">
      <w:pPr>
        <w:pStyle w:val="FootnoteText"/>
        <w:rPr>
          <w:b/>
          <w:lang w:val="en-US"/>
        </w:rPr>
      </w:pPr>
      <w:r w:rsidRPr="0008474E">
        <w:rPr>
          <w:rStyle w:val="FootnoteReference"/>
          <w:lang w:val="en-US"/>
        </w:rPr>
        <w:footnoteRef/>
      </w:r>
      <w:r w:rsidRPr="0008474E">
        <w:rPr>
          <w:lang w:val="en-US"/>
        </w:rPr>
        <w:t xml:space="preserve"> </w:t>
      </w:r>
      <w:r w:rsidRPr="0008474E">
        <w:rPr>
          <w:b/>
          <w:lang w:val="en-US"/>
        </w:rPr>
        <w:tab/>
      </w:r>
      <w:r w:rsidRPr="0008474E">
        <w:rPr>
          <w:lang w:val="en-US"/>
        </w:rPr>
        <w:t xml:space="preserve">MacDougall, </w:t>
      </w:r>
      <w:r w:rsidRPr="0008474E">
        <w:rPr>
          <w:i/>
          <w:lang w:val="en-US"/>
        </w:rPr>
        <w:t>supra</w:t>
      </w:r>
      <w:r w:rsidRPr="0008474E">
        <w:rPr>
          <w:lang w:val="en-US"/>
        </w:rPr>
        <w:t xml:space="preserve"> note </w:t>
      </w:r>
      <w:r w:rsidRPr="0008474E">
        <w:rPr>
          <w:lang w:val="en-US"/>
        </w:rPr>
        <w:fldChar w:fldCharType="begin"/>
      </w:r>
      <w:r w:rsidRPr="0008474E">
        <w:rPr>
          <w:lang w:val="en-US"/>
        </w:rPr>
        <w:instrText xml:space="preserve"> NOTEREF _Ref16193481 \h </w:instrText>
      </w:r>
      <w:r>
        <w:rPr>
          <w:lang w:val="en-US"/>
        </w:rPr>
        <w:instrText xml:space="preserve"> \* MERGEFORMAT </w:instrText>
      </w:r>
      <w:r w:rsidRPr="0008474E">
        <w:rPr>
          <w:lang w:val="en-US"/>
        </w:rPr>
      </w:r>
      <w:r w:rsidRPr="0008474E">
        <w:rPr>
          <w:lang w:val="en-US"/>
        </w:rPr>
        <w:fldChar w:fldCharType="separate"/>
      </w:r>
      <w:r w:rsidR="00AE4BA1">
        <w:rPr>
          <w:lang w:val="en-US"/>
        </w:rPr>
        <w:t>341</w:t>
      </w:r>
      <w:r w:rsidRPr="0008474E">
        <w:rPr>
          <w:lang w:val="en-US"/>
        </w:rPr>
        <w:fldChar w:fldCharType="end"/>
      </w:r>
      <w:r w:rsidRPr="0008474E">
        <w:rPr>
          <w:lang w:val="en-US"/>
        </w:rPr>
        <w:t>.</w:t>
      </w:r>
    </w:p>
  </w:footnote>
  <w:footnote w:id="351">
    <w:p w14:paraId="253816D6"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30% Club Canadian Investor Group: Statement of Intent</w:t>
      </w:r>
      <w:r>
        <w:rPr>
          <w:lang w:val="en-US"/>
        </w:rPr>
        <w:t xml:space="preserve"> (Sept.</w:t>
      </w:r>
      <w:r w:rsidRPr="0008474E">
        <w:rPr>
          <w:lang w:val="en-US"/>
        </w:rPr>
        <w:t xml:space="preserve"> 2017), https://30percentclub.org/assets/uploads/Canada/PDFs/30_percent_Club_Canadian_Investor_Statement_FINAL_Sept_5_.pdf.</w:t>
      </w:r>
    </w:p>
  </w:footnote>
  <w:footnote w:id="352">
    <w:p w14:paraId="73D0D8F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Ontario Teachers</w:t>
      </w:r>
      <w:r>
        <w:rPr>
          <w:lang w:val="en-US"/>
        </w:rPr>
        <w:t>’</w:t>
      </w:r>
      <w:r w:rsidRPr="0008474E">
        <w:rPr>
          <w:lang w:val="en-US"/>
        </w:rPr>
        <w:t xml:space="preserve"> Pension Plan, </w:t>
      </w:r>
      <w:r w:rsidRPr="0008474E">
        <w:rPr>
          <w:i/>
          <w:lang w:val="en-US"/>
        </w:rPr>
        <w:t>Good Governance is Good Business, Corporate Governance Principles and Proxy Voting Guidelines</w:t>
      </w:r>
      <w:r w:rsidRPr="0008474E">
        <w:rPr>
          <w:lang w:val="en-US"/>
        </w:rPr>
        <w:t xml:space="preserve"> 8 (2019), https://www.otpp.com/documents/10179/20940/TeachersCorpGovE.pdf/cfca9682-9368-4cf4-96ce-fe5381d5647e.</w:t>
      </w:r>
    </w:p>
  </w:footnote>
  <w:footnote w:id="353">
    <w:p w14:paraId="2E1FA783"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t xml:space="preserve">Glass Lewis &amp; Co., </w:t>
      </w:r>
      <w:r w:rsidRPr="0008474E">
        <w:rPr>
          <w:i/>
          <w:lang w:val="en-US"/>
        </w:rPr>
        <w:t>Proxy Paper Guidelines, An Overview of the Glass Lewis Approach to Proxy Advice Canada</w:t>
      </w:r>
      <w:r w:rsidRPr="0008474E">
        <w:rPr>
          <w:lang w:val="en-US"/>
        </w:rPr>
        <w:t xml:space="preserve"> 4 (2019), https://www.glasslewis.com/wp-content/uploads/2018/10/2019_GUIDELINES_Canada.pdf.</w:t>
      </w:r>
    </w:p>
  </w:footnote>
  <w:footnote w:id="354">
    <w:p w14:paraId="0F6A2023"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 xml:space="preserve"> </w:t>
      </w:r>
      <w:r w:rsidRPr="0008474E">
        <w:rPr>
          <w:lang w:val="en-US"/>
        </w:rPr>
        <w:tab/>
      </w:r>
      <w:r w:rsidRPr="0008474E">
        <w:rPr>
          <w:i/>
          <w:lang w:val="en-US"/>
        </w:rPr>
        <w:t>Canada Proxy Voting Guidelines for TSX-Listed Companies</w:t>
      </w:r>
      <w:r w:rsidRPr="0008474E">
        <w:rPr>
          <w:lang w:val="en-US"/>
        </w:rPr>
        <w:t xml:space="preserve"> 14</w:t>
      </w:r>
      <w:r w:rsidRPr="0008474E">
        <w:rPr>
          <w:i/>
          <w:lang w:val="en-US"/>
        </w:rPr>
        <w:t xml:space="preserve"> </w:t>
      </w:r>
      <w:r>
        <w:rPr>
          <w:lang w:val="en-US"/>
        </w:rPr>
        <w:t>(Jan.</w:t>
      </w:r>
      <w:r w:rsidRPr="0008474E">
        <w:rPr>
          <w:lang w:val="en-US"/>
        </w:rPr>
        <w:t xml:space="preserve"> 4, 2018), https://www.issgovernance.com/file/policy/2018/americas/Canada-TSX-Voting-Guidelines.pdf. </w:t>
      </w:r>
    </w:p>
  </w:footnote>
  <w:footnote w:id="355">
    <w:p w14:paraId="755FA67E" w14:textId="5EC7ADFC" w:rsidR="00953C0F" w:rsidRPr="00CD556C" w:rsidRDefault="00953C0F" w:rsidP="006902A2">
      <w:pPr>
        <w:pStyle w:val="FootnoteText"/>
        <w:rPr>
          <w:szCs w:val="16"/>
          <w:lang w:val="en-US"/>
        </w:rPr>
      </w:pPr>
      <w:r>
        <w:rPr>
          <w:rStyle w:val="FootnoteReference"/>
        </w:rPr>
        <w:footnoteRef/>
      </w:r>
      <w:r>
        <w:t xml:space="preserve"> </w:t>
      </w:r>
      <w:r>
        <w:rPr>
          <w:lang w:val="en-US"/>
        </w:rPr>
        <w:tab/>
      </w:r>
      <w:r w:rsidRPr="00CD556C">
        <w:rPr>
          <w:i/>
          <w:lang w:val="en-US"/>
        </w:rPr>
        <w:t xml:space="preserve">Ley </w:t>
      </w:r>
      <w:r>
        <w:rPr>
          <w:i/>
          <w:lang w:val="en-US"/>
        </w:rPr>
        <w:t>Sobre</w:t>
      </w:r>
      <w:r w:rsidRPr="00CD556C">
        <w:rPr>
          <w:i/>
          <w:lang w:val="en-US"/>
        </w:rPr>
        <w:t xml:space="preserve"> Sociedades Anónimas Nr. 18.046</w:t>
      </w:r>
      <w:r w:rsidR="00C065C4">
        <w:rPr>
          <w:lang w:val="en-US"/>
        </w:rPr>
        <w:t xml:space="preserve"> [</w:t>
      </w:r>
      <w:r w:rsidRPr="00CD556C">
        <w:rPr>
          <w:lang w:val="en-US"/>
        </w:rPr>
        <w:t>Chilean Corporations Act</w:t>
      </w:r>
      <w:r w:rsidR="00C065C4">
        <w:rPr>
          <w:lang w:val="en-US"/>
        </w:rPr>
        <w:t>]</w:t>
      </w:r>
      <w:r>
        <w:rPr>
          <w:lang w:val="en-US"/>
        </w:rPr>
        <w:t xml:space="preserve"> </w:t>
      </w:r>
      <w:r w:rsidR="00C065C4">
        <w:rPr>
          <w:lang w:val="en-US"/>
        </w:rPr>
        <w:t>(</w:t>
      </w:r>
      <w:r w:rsidRPr="00CD556C">
        <w:rPr>
          <w:lang w:val="en-US"/>
        </w:rPr>
        <w:t>1981</w:t>
      </w:r>
      <w:r w:rsidR="00C065C4">
        <w:rPr>
          <w:lang w:val="en-US"/>
        </w:rPr>
        <w:t xml:space="preserve">) </w:t>
      </w:r>
      <w:r>
        <w:rPr>
          <w:lang w:val="en-US"/>
        </w:rPr>
        <w:t>(</w:t>
      </w:r>
      <w:r w:rsidRPr="00CD556C">
        <w:rPr>
          <w:lang w:val="en-US"/>
        </w:rPr>
        <w:t>https://www.leychile.cl/Navegar?idNorma=29473</w:t>
      </w:r>
      <w:r>
        <w:rPr>
          <w:lang w:val="en-US"/>
        </w:rPr>
        <w:t>)</w:t>
      </w:r>
      <w:r w:rsidR="00C065C4">
        <w:rPr>
          <w:lang w:val="en-US"/>
        </w:rPr>
        <w:t xml:space="preserve">; </w:t>
      </w:r>
      <w:r w:rsidRPr="00CD556C">
        <w:rPr>
          <w:i/>
          <w:lang w:val="en-US"/>
        </w:rPr>
        <w:t>Reglamento de Sociedades Anónimas</w:t>
      </w:r>
      <w:r w:rsidR="00C065C4">
        <w:rPr>
          <w:i/>
          <w:lang w:val="en-US"/>
        </w:rPr>
        <w:t xml:space="preserve"> </w:t>
      </w:r>
      <w:r w:rsidR="00C065C4">
        <w:rPr>
          <w:lang w:val="en-US"/>
        </w:rPr>
        <w:t xml:space="preserve">[Rules of Corporations] (1982) </w:t>
      </w:r>
      <w:r w:rsidRPr="00CD556C">
        <w:rPr>
          <w:lang w:val="en-US"/>
        </w:rPr>
        <w:t>(https://www.hacienda.cl/mercado-de-capitales/historia-legislativa/reglamentos/reglamento-de-sociedades-anonimas.html)</w:t>
      </w:r>
      <w:r w:rsidR="00C065C4">
        <w:rPr>
          <w:lang w:val="en-US"/>
        </w:rPr>
        <w:t>; D</w:t>
      </w:r>
      <w:r>
        <w:rPr>
          <w:lang w:val="en-US"/>
        </w:rPr>
        <w:t>ec</w:t>
      </w:r>
      <w:r w:rsidR="00C065C4">
        <w:rPr>
          <w:lang w:val="en-US"/>
        </w:rPr>
        <w:t xml:space="preserve">ree 702 of Ministry of Hacienda, </w:t>
      </w:r>
      <w:r>
        <w:rPr>
          <w:lang w:val="en-US"/>
        </w:rPr>
        <w:t xml:space="preserve">2011, </w:t>
      </w:r>
      <w:r w:rsidR="00C065C4">
        <w:rPr>
          <w:i/>
          <w:lang w:val="en-US"/>
        </w:rPr>
        <w:t xml:space="preserve">Nuevo </w:t>
      </w:r>
      <w:r w:rsidR="00C065C4" w:rsidRPr="00CD556C">
        <w:rPr>
          <w:i/>
          <w:lang w:val="en-US"/>
        </w:rPr>
        <w:t>Reglamento de Sociedades Anónimas</w:t>
      </w:r>
      <w:r w:rsidR="00C065C4">
        <w:rPr>
          <w:lang w:val="en-US"/>
        </w:rPr>
        <w:t xml:space="preserve"> [</w:t>
      </w:r>
      <w:r>
        <w:rPr>
          <w:lang w:val="en-US"/>
        </w:rPr>
        <w:t>Rules of Corporations Act (Rules)</w:t>
      </w:r>
      <w:r w:rsidR="00C065C4">
        <w:rPr>
          <w:lang w:val="en-US"/>
        </w:rPr>
        <w:t xml:space="preserve">] </w:t>
      </w:r>
      <w:r>
        <w:rPr>
          <w:lang w:val="en-US"/>
        </w:rPr>
        <w:t>(</w:t>
      </w:r>
      <w:r w:rsidR="00C065C4">
        <w:rPr>
          <w:lang w:val="en-US"/>
        </w:rPr>
        <w:t>2011</w:t>
      </w:r>
      <w:r w:rsidRPr="00CD556C">
        <w:rPr>
          <w:lang w:val="en-US"/>
        </w:rPr>
        <w:t>)</w:t>
      </w:r>
      <w:r>
        <w:rPr>
          <w:lang w:val="en-US"/>
        </w:rPr>
        <w:t xml:space="preserve"> (</w:t>
      </w:r>
      <w:r w:rsidRPr="00AE1B17">
        <w:rPr>
          <w:noProof/>
        </w:rPr>
        <w:t>https://www.svs.cl/portal/principal/605/w3-article-1762.html</w:t>
      </w:r>
      <w:r>
        <w:rPr>
          <w:noProof/>
        </w:rPr>
        <w:t xml:space="preserve">). </w:t>
      </w:r>
    </w:p>
  </w:footnote>
  <w:footnote w:id="356">
    <w:p w14:paraId="7183306C" w14:textId="0B9F7CE0" w:rsidR="00953C0F" w:rsidRPr="00621EDD" w:rsidRDefault="00953C0F" w:rsidP="006902A2">
      <w:pPr>
        <w:pStyle w:val="FootnoteText"/>
        <w:rPr>
          <w:lang w:val="en-US"/>
        </w:rPr>
      </w:pPr>
      <w:r>
        <w:rPr>
          <w:rStyle w:val="FootnoteReference"/>
        </w:rPr>
        <w:footnoteRef/>
      </w:r>
      <w:r>
        <w:t xml:space="preserve"> </w:t>
      </w:r>
      <w:r>
        <w:rPr>
          <w:lang w:val="en-US"/>
        </w:rPr>
        <w:tab/>
        <w:t>General Rule Number 385, dated</w:t>
      </w:r>
      <w:r w:rsidRPr="00621EDD">
        <w:rPr>
          <w:lang w:val="en-US"/>
        </w:rPr>
        <w:t xml:space="preserve"> June</w:t>
      </w:r>
      <w:r>
        <w:rPr>
          <w:lang w:val="en-US"/>
        </w:rPr>
        <w:t xml:space="preserve"> 8,</w:t>
      </w:r>
      <w:r w:rsidRPr="00621EDD">
        <w:rPr>
          <w:lang w:val="en-US"/>
        </w:rPr>
        <w:t xml:space="preserve"> 2015</w:t>
      </w:r>
      <w:r>
        <w:rPr>
          <w:lang w:val="en-US"/>
        </w:rPr>
        <w:t>, issued by the SVS (</w:t>
      </w:r>
      <w:r w:rsidRPr="00AE1B17">
        <w:rPr>
          <w:i/>
          <w:lang w:val="en-US"/>
        </w:rPr>
        <w:t>Norma de Carácter General N°385</w:t>
      </w:r>
      <w:r>
        <w:rPr>
          <w:lang w:val="en-US"/>
        </w:rPr>
        <w:t>) (</w:t>
      </w:r>
      <w:r w:rsidRPr="00AE1B17">
        <w:rPr>
          <w:noProof/>
        </w:rPr>
        <w:t>http://www.cmfchile.cl/normativa/ncg_385_2015.pdf</w:t>
      </w:r>
      <w:r>
        <w:rPr>
          <w:noProof/>
        </w:rPr>
        <w:t>).</w:t>
      </w:r>
    </w:p>
  </w:footnote>
  <w:footnote w:id="357">
    <w:p w14:paraId="50E59ACA" w14:textId="77777777" w:rsidR="00953C0F" w:rsidRPr="0078073D" w:rsidRDefault="00953C0F" w:rsidP="006902A2">
      <w:pPr>
        <w:pStyle w:val="FootnoteText"/>
        <w:rPr>
          <w:lang w:val="en-US"/>
        </w:rPr>
      </w:pPr>
      <w:r>
        <w:rPr>
          <w:rStyle w:val="FootnoteReference"/>
        </w:rPr>
        <w:footnoteRef/>
      </w:r>
      <w:r>
        <w:t xml:space="preserve"> </w:t>
      </w:r>
      <w:r>
        <w:rPr>
          <w:lang w:val="en-US"/>
        </w:rPr>
        <w:tab/>
        <w:t>U</w:t>
      </w:r>
      <w:r w:rsidRPr="0078073D">
        <w:rPr>
          <w:lang w:val="en-US"/>
        </w:rPr>
        <w:t xml:space="preserve">nless otherwise provided </w:t>
      </w:r>
      <w:r>
        <w:rPr>
          <w:lang w:val="en-US"/>
        </w:rPr>
        <w:t xml:space="preserve">for </w:t>
      </w:r>
      <w:r w:rsidRPr="0078073D">
        <w:rPr>
          <w:lang w:val="en-US"/>
        </w:rPr>
        <w:t>in the bylaws or in special sectoral laws (such as in banking)</w:t>
      </w:r>
      <w:r>
        <w:rPr>
          <w:lang w:val="en-US"/>
        </w:rPr>
        <w:t>.</w:t>
      </w:r>
    </w:p>
  </w:footnote>
  <w:footnote w:id="358">
    <w:p w14:paraId="13702575" w14:textId="68EC5F44" w:rsidR="00953C0F" w:rsidRPr="00C77527" w:rsidRDefault="00953C0F" w:rsidP="006902A2">
      <w:pPr>
        <w:pStyle w:val="FootnoteText"/>
        <w:rPr>
          <w:lang w:val="en-US"/>
        </w:rPr>
      </w:pPr>
      <w:r>
        <w:rPr>
          <w:rStyle w:val="FootnoteReference"/>
        </w:rPr>
        <w:footnoteRef/>
      </w:r>
      <w:r>
        <w:t xml:space="preserve"> </w:t>
      </w:r>
      <w:r>
        <w:rPr>
          <w:lang w:val="en-US"/>
        </w:rPr>
        <w:tab/>
        <w:t>Larger corporations (with a market capitalization equal to or higher than approximately US$ 62 million (as of March 2019) and where at least 12.5% of the voting shares are owned by shareholders that individually hold less than 10% of such voting shares) are required to establish a directors’ committee and appoint at least one independent director (i.e., independent of the controlling shareholders).</w:t>
      </w:r>
    </w:p>
  </w:footnote>
  <w:footnote w:id="359">
    <w:p w14:paraId="5059A676" w14:textId="398CF47F" w:rsidR="00953C0F" w:rsidRPr="00FF7421" w:rsidRDefault="00953C0F" w:rsidP="006902A2">
      <w:pPr>
        <w:pStyle w:val="FootnoteText"/>
        <w:rPr>
          <w:lang w:val="en-US"/>
        </w:rPr>
      </w:pPr>
      <w:r>
        <w:rPr>
          <w:rStyle w:val="FootnoteReference"/>
        </w:rPr>
        <w:footnoteRef/>
      </w:r>
      <w:r>
        <w:t xml:space="preserve"> </w:t>
      </w:r>
      <w:r>
        <w:rPr>
          <w:lang w:val="en-US"/>
        </w:rPr>
        <w:tab/>
      </w:r>
      <w:r w:rsidRPr="00621EDD">
        <w:rPr>
          <w:lang w:val="en-US"/>
        </w:rPr>
        <w:t xml:space="preserve">General Rule Number </w:t>
      </w:r>
      <w:r>
        <w:rPr>
          <w:lang w:val="en-US"/>
        </w:rPr>
        <w:t>30</w:t>
      </w:r>
      <w:r w:rsidRPr="00621EDD">
        <w:rPr>
          <w:lang w:val="en-US"/>
        </w:rPr>
        <w:t xml:space="preserve">, dated </w:t>
      </w:r>
      <w:r>
        <w:rPr>
          <w:lang w:val="en-US"/>
        </w:rPr>
        <w:t>November 10, 1989, issued by the SVS (</w:t>
      </w:r>
      <w:r w:rsidRPr="00AE1B17">
        <w:rPr>
          <w:i/>
          <w:lang w:val="en-US"/>
        </w:rPr>
        <w:t>Norma de Carácter General N°3</w:t>
      </w:r>
      <w:r>
        <w:rPr>
          <w:i/>
          <w:lang w:val="en-US"/>
        </w:rPr>
        <w:t>0</w:t>
      </w:r>
      <w:r>
        <w:rPr>
          <w:lang w:val="en-US"/>
        </w:rPr>
        <w:t>) (</w:t>
      </w:r>
      <w:r w:rsidRPr="00F458A4">
        <w:rPr>
          <w:noProof/>
        </w:rPr>
        <w:t>http://www.svs.cl/normativa/ncg_30_1989.pdf</w:t>
      </w:r>
      <w:r>
        <w:rPr>
          <w:noProof/>
        </w:rPr>
        <w:t>.</w:t>
      </w:r>
    </w:p>
  </w:footnote>
  <w:footnote w:id="360">
    <w:p w14:paraId="1A53D61C" w14:textId="395F2F51" w:rsidR="00953C0F" w:rsidRPr="009F66A6" w:rsidRDefault="00953C0F" w:rsidP="006902A2">
      <w:pPr>
        <w:pStyle w:val="FootnoteText"/>
        <w:rPr>
          <w:lang w:val="en-US"/>
        </w:rPr>
      </w:pPr>
      <w:r>
        <w:rPr>
          <w:rStyle w:val="FootnoteReference"/>
        </w:rPr>
        <w:footnoteRef/>
      </w:r>
      <w:r>
        <w:t xml:space="preserve"> </w:t>
      </w:r>
      <w:r>
        <w:rPr>
          <w:lang w:val="en-US"/>
        </w:rPr>
        <w:tab/>
      </w:r>
      <w:r w:rsidRPr="00621EDD">
        <w:rPr>
          <w:lang w:val="en-US"/>
        </w:rPr>
        <w:t xml:space="preserve">General Rule Number </w:t>
      </w:r>
      <w:r>
        <w:rPr>
          <w:lang w:val="en-US"/>
        </w:rPr>
        <w:t xml:space="preserve">385, </w:t>
      </w:r>
      <w:r>
        <w:rPr>
          <w:i/>
          <w:lang w:val="en-US"/>
        </w:rPr>
        <w:t xml:space="preserve">supra </w:t>
      </w:r>
      <w:r>
        <w:rPr>
          <w:lang w:val="en-US"/>
        </w:rPr>
        <w:t xml:space="preserve">note </w:t>
      </w:r>
      <w:r>
        <w:rPr>
          <w:lang w:val="en-US"/>
        </w:rPr>
        <w:fldChar w:fldCharType="begin"/>
      </w:r>
      <w:r>
        <w:rPr>
          <w:lang w:val="en-US"/>
        </w:rPr>
        <w:instrText xml:space="preserve"> NOTEREF _Ref22050168 \h </w:instrText>
      </w:r>
      <w:r w:rsidR="006902A2">
        <w:rPr>
          <w:lang w:val="en-US"/>
        </w:rPr>
        <w:instrText xml:space="preserve"> \* MERGEFORMAT </w:instrText>
      </w:r>
      <w:r>
        <w:rPr>
          <w:lang w:val="en-US"/>
        </w:rPr>
      </w:r>
      <w:r>
        <w:rPr>
          <w:lang w:val="en-US"/>
        </w:rPr>
        <w:fldChar w:fldCharType="separate"/>
      </w:r>
      <w:r w:rsidR="00AE4BA1">
        <w:rPr>
          <w:lang w:val="en-US"/>
        </w:rPr>
        <w:t>355</w:t>
      </w:r>
      <w:r>
        <w:rPr>
          <w:lang w:val="en-US"/>
        </w:rPr>
        <w:fldChar w:fldCharType="end"/>
      </w:r>
      <w:r>
        <w:rPr>
          <w:lang w:val="en-US"/>
        </w:rPr>
        <w:t xml:space="preserve">. </w:t>
      </w:r>
    </w:p>
  </w:footnote>
  <w:footnote w:id="361">
    <w:p w14:paraId="5FD1CC68" w14:textId="5B6974AD" w:rsidR="00953C0F" w:rsidRDefault="00953C0F" w:rsidP="006902A2">
      <w:pPr>
        <w:pStyle w:val="FootnoteText"/>
      </w:pPr>
      <w:r>
        <w:rPr>
          <w:rStyle w:val="FootnoteReference"/>
        </w:rPr>
        <w:footnoteRef/>
      </w:r>
      <w:r>
        <w:t xml:space="preserve"> </w:t>
      </w:r>
      <w:r>
        <w:tab/>
      </w:r>
      <w:r w:rsidRPr="00E55CD1">
        <w:rPr>
          <w:lang w:val="en-US"/>
        </w:rPr>
        <w:t xml:space="preserve">Deloitte Global Ctr. for Corp. Governance, </w:t>
      </w:r>
      <w:r w:rsidRPr="00E55CD1">
        <w:rPr>
          <w:i/>
          <w:lang w:val="en-US"/>
        </w:rPr>
        <w:t>Women in the boardroom: A global perspective</w:t>
      </w:r>
      <w:r>
        <w:rPr>
          <w:lang w:val="en-US"/>
        </w:rPr>
        <w:t xml:space="preserve"> </w:t>
      </w:r>
      <w:r w:rsidRPr="00E55CD1">
        <w:rPr>
          <w:lang w:val="en-US"/>
        </w:rPr>
        <w:t>(5th ed. 2017) (</w:t>
      </w:r>
      <w:r>
        <w:rPr>
          <w:lang w:val="en-US"/>
        </w:rPr>
        <w:t>see Chile, page 16</w:t>
      </w:r>
      <w:r w:rsidRPr="00E55CD1">
        <w:rPr>
          <w:lang w:val="en-US"/>
        </w:rPr>
        <w:t>),</w:t>
      </w:r>
      <w:r>
        <w:rPr>
          <w:lang w:val="en-US"/>
        </w:rPr>
        <w:t xml:space="preserve"> </w:t>
      </w:r>
      <w:r w:rsidRPr="00E55CD1">
        <w:rPr>
          <w:lang w:val="en-US"/>
        </w:rPr>
        <w:t>https://www2.deloitte.com/content/dam/Deloitte/global/Documents/Risk/Women%20in%20the%20boardroom%20a%20global%20perspective%20fifth%20edition.pdf.</w:t>
      </w:r>
    </w:p>
  </w:footnote>
  <w:footnote w:id="362">
    <w:p w14:paraId="325A5384" w14:textId="77777777" w:rsidR="00953C0F" w:rsidRPr="00203E75" w:rsidRDefault="00953C0F" w:rsidP="006902A2">
      <w:pPr>
        <w:pStyle w:val="FootnoteText"/>
        <w:rPr>
          <w:lang w:val="pt-BR"/>
        </w:rPr>
      </w:pPr>
      <w:r>
        <w:rPr>
          <w:rStyle w:val="FootnoteReference"/>
        </w:rPr>
        <w:footnoteRef/>
      </w:r>
      <w:r w:rsidRPr="00203E75">
        <w:rPr>
          <w:lang w:val="pt-BR"/>
        </w:rPr>
        <w:t xml:space="preserve"> </w:t>
      </w:r>
      <w:r w:rsidRPr="00203E75">
        <w:rPr>
          <w:lang w:val="pt-BR"/>
        </w:rPr>
        <w:tab/>
      </w:r>
      <w:r w:rsidRPr="00203E75">
        <w:rPr>
          <w:i/>
          <w:lang w:val="pt-BR"/>
        </w:rPr>
        <w:t>C</w:t>
      </w:r>
      <w:r w:rsidRPr="00203E75">
        <w:rPr>
          <w:rFonts w:cstheme="minorHAnsi"/>
          <w:i/>
          <w:lang w:val="pt-BR"/>
        </w:rPr>
        <w:t>á</w:t>
      </w:r>
      <w:r w:rsidRPr="00203E75">
        <w:rPr>
          <w:i/>
          <w:lang w:val="pt-BR"/>
        </w:rPr>
        <w:t>mara Disputados de la Rep</w:t>
      </w:r>
      <w:r w:rsidRPr="00203E75">
        <w:rPr>
          <w:rFonts w:cstheme="minorHAnsi"/>
          <w:i/>
          <w:lang w:val="pt-BR"/>
        </w:rPr>
        <w:t>ú</w:t>
      </w:r>
      <w:r w:rsidRPr="00203E75">
        <w:rPr>
          <w:i/>
          <w:lang w:val="pt-BR"/>
        </w:rPr>
        <w:t>blica de Chile, Bolet</w:t>
      </w:r>
      <w:r w:rsidRPr="00203E75">
        <w:rPr>
          <w:rFonts w:cstheme="minorHAnsi"/>
          <w:i/>
          <w:lang w:val="pt-BR"/>
        </w:rPr>
        <w:t>í</w:t>
      </w:r>
      <w:r w:rsidRPr="00203E75">
        <w:rPr>
          <w:i/>
          <w:lang w:val="pt-BR"/>
        </w:rPr>
        <w:t>n No 9554-07</w:t>
      </w:r>
      <w:r w:rsidRPr="00203E75">
        <w:rPr>
          <w:lang w:val="pt-BR"/>
        </w:rPr>
        <w:t xml:space="preserve"> and </w:t>
      </w:r>
      <w:r w:rsidRPr="00203E75">
        <w:rPr>
          <w:i/>
          <w:lang w:val="pt-BR"/>
        </w:rPr>
        <w:t>Senado de la Rep</w:t>
      </w:r>
      <w:r w:rsidRPr="00203E75">
        <w:rPr>
          <w:rFonts w:cstheme="minorHAnsi"/>
          <w:i/>
          <w:lang w:val="pt-BR"/>
        </w:rPr>
        <w:t>ú</w:t>
      </w:r>
      <w:r w:rsidRPr="00203E75">
        <w:rPr>
          <w:i/>
          <w:lang w:val="pt-BR"/>
        </w:rPr>
        <w:t>blica de Chile, Bolet</w:t>
      </w:r>
      <w:r w:rsidRPr="00203E75">
        <w:rPr>
          <w:rFonts w:cstheme="minorHAnsi"/>
          <w:i/>
          <w:lang w:val="pt-BR"/>
        </w:rPr>
        <w:t>í</w:t>
      </w:r>
      <w:r w:rsidRPr="00203E75">
        <w:rPr>
          <w:i/>
          <w:lang w:val="pt-BR"/>
        </w:rPr>
        <w:t>n No 9858-03</w:t>
      </w:r>
      <w:r w:rsidRPr="00203E75">
        <w:rPr>
          <w:lang w:val="pt-BR"/>
        </w:rPr>
        <w:t>.</w:t>
      </w:r>
    </w:p>
  </w:footnote>
  <w:footnote w:id="363">
    <w:p w14:paraId="4E42B084" w14:textId="77777777" w:rsidR="00953C0F" w:rsidRPr="00203E75" w:rsidRDefault="00953C0F" w:rsidP="006902A2">
      <w:pPr>
        <w:pStyle w:val="FootnoteText"/>
        <w:rPr>
          <w:lang w:val="pt-BR"/>
        </w:rPr>
      </w:pPr>
      <w:r>
        <w:rPr>
          <w:rStyle w:val="FootnoteReference"/>
        </w:rPr>
        <w:footnoteRef/>
      </w:r>
      <w:r>
        <w:t xml:space="preserve"> </w:t>
      </w:r>
      <w:r>
        <w:rPr>
          <w:lang w:val="en-US"/>
        </w:rPr>
        <w:tab/>
        <w:t xml:space="preserve">The law mandates that no more than 60% of all candidates on the ballot of every district are of the same gender.  </w:t>
      </w:r>
      <w:r w:rsidRPr="00203E75">
        <w:rPr>
          <w:lang w:val="pt-BR"/>
        </w:rPr>
        <w:t xml:space="preserve">Law No. 18700, </w:t>
      </w:r>
      <w:r w:rsidRPr="00203E75">
        <w:rPr>
          <w:i/>
          <w:lang w:val="pt-BR"/>
        </w:rPr>
        <w:t xml:space="preserve">Ley Organica Constitucional Sobre Votaciones Populares y Escrutinios, </w:t>
      </w:r>
      <w:r w:rsidRPr="00203E75">
        <w:rPr>
          <w:lang w:val="pt-BR"/>
        </w:rPr>
        <w:t xml:space="preserve">https://www.leychile.cl/Navegar?idNorma=1077039&amp;buscar=2015, article 3, as amended by article 1 of Law No. 20840, </w:t>
      </w:r>
      <w:r w:rsidRPr="00203E75">
        <w:rPr>
          <w:i/>
          <w:lang w:val="pt-BR"/>
        </w:rPr>
        <w:t>Sustituye el Sistema Electoral Binominal Por Uno De Carácter Proporcional Inclusivo y Fortalece la Representatividad Del Congreso Nacional</w:t>
      </w:r>
      <w:r w:rsidRPr="00203E75">
        <w:rPr>
          <w:lang w:val="pt-BR"/>
        </w:rPr>
        <w:t>.</w:t>
      </w:r>
    </w:p>
    <w:p w14:paraId="6F7A8F51" w14:textId="77777777" w:rsidR="00953C0F" w:rsidRPr="00203E75" w:rsidRDefault="00953C0F" w:rsidP="006902A2">
      <w:pPr>
        <w:pStyle w:val="FootnoteText"/>
        <w:ind w:firstLine="0"/>
        <w:rPr>
          <w:lang w:val="pt-BR"/>
        </w:rPr>
      </w:pPr>
      <w:r w:rsidRPr="00203E75">
        <w:rPr>
          <w:lang w:val="pt-BR"/>
        </w:rPr>
        <w:t>https://www.leychile.cl/Navegar?idNorma=1077039&amp;buscar=2015.</w:t>
      </w:r>
    </w:p>
  </w:footnote>
  <w:footnote w:id="364">
    <w:p w14:paraId="4BD90EAF" w14:textId="4C1512F8" w:rsidR="00953C0F" w:rsidRPr="00F47610" w:rsidRDefault="00953C0F" w:rsidP="006902A2">
      <w:pPr>
        <w:pStyle w:val="FootnoteText"/>
        <w:rPr>
          <w:lang w:val="en-US"/>
        </w:rPr>
      </w:pPr>
      <w:r>
        <w:rPr>
          <w:rStyle w:val="FootnoteReference"/>
        </w:rPr>
        <w:footnoteRef/>
      </w:r>
      <w:r>
        <w:t xml:space="preserve"> </w:t>
      </w:r>
      <w:r>
        <w:rPr>
          <w:lang w:val="en-US"/>
        </w:rPr>
        <w:tab/>
        <w:t xml:space="preserve">Gender Quota Database, Chile, as at October 4, 2019, published by IDEA, the International Institute for Democracy and Electoral Assistance, </w:t>
      </w:r>
      <w:r w:rsidRPr="009C77E2">
        <w:rPr>
          <w:lang w:val="en-US"/>
        </w:rPr>
        <w:t>https://www.idea.int/news-media/news/gender-quotes-strengthening-participation-women-chile</w:t>
      </w:r>
      <w:r>
        <w:rPr>
          <w:lang w:val="en-US"/>
        </w:rPr>
        <w:t>.</w:t>
      </w:r>
    </w:p>
  </w:footnote>
  <w:footnote w:id="365">
    <w:p w14:paraId="61153DF1" w14:textId="41EA8275" w:rsidR="00953C0F" w:rsidRPr="004D18A9" w:rsidRDefault="00953C0F" w:rsidP="006902A2">
      <w:pPr>
        <w:pStyle w:val="FootnoteText"/>
        <w:rPr>
          <w:lang w:val="en-US"/>
        </w:rPr>
      </w:pPr>
      <w:r>
        <w:rPr>
          <w:rStyle w:val="FootnoteReference"/>
        </w:rPr>
        <w:footnoteRef/>
      </w:r>
      <w:r>
        <w:t xml:space="preserve"> </w:t>
      </w:r>
      <w:r>
        <w:rPr>
          <w:lang w:val="en-US"/>
        </w:rPr>
        <w:tab/>
      </w:r>
      <w:r w:rsidRPr="00203E75">
        <w:rPr>
          <w:i/>
          <w:lang w:val="en-US"/>
        </w:rPr>
        <w:t>“</w:t>
      </w:r>
      <w:r>
        <w:rPr>
          <w:lang w:val="en-US"/>
        </w:rPr>
        <w:t>Women’s Representation in Chile,</w:t>
      </w:r>
      <w:r w:rsidRPr="00203E75">
        <w:rPr>
          <w:i/>
          <w:lang w:val="en-US"/>
        </w:rPr>
        <w:t>”</w:t>
      </w:r>
      <w:r>
        <w:rPr>
          <w:lang w:val="en-US"/>
        </w:rPr>
        <w:t xml:space="preserve"> article by Andrea Rebolledo, dated July 29, 2019. </w:t>
      </w:r>
      <w:r w:rsidRPr="004D18A9">
        <w:rPr>
          <w:lang w:val="en-US"/>
        </w:rPr>
        <w:t>https://www.representwomen.org/women_s_representation_in_chile</w:t>
      </w:r>
      <w:r>
        <w:rPr>
          <w:lang w:val="en-US"/>
        </w:rPr>
        <w:t>.</w:t>
      </w:r>
    </w:p>
  </w:footnote>
  <w:footnote w:id="366">
    <w:p w14:paraId="06F635C0" w14:textId="0B0FD713" w:rsidR="00953C0F" w:rsidRPr="009C77E2" w:rsidRDefault="00953C0F" w:rsidP="006902A2">
      <w:pPr>
        <w:pStyle w:val="FootnoteText"/>
        <w:rPr>
          <w:lang w:val="en-US"/>
        </w:rPr>
      </w:pPr>
      <w:r>
        <w:rPr>
          <w:rStyle w:val="FootnoteReference"/>
        </w:rPr>
        <w:footnoteRef/>
      </w:r>
      <w:r>
        <w:t xml:space="preserve"> </w:t>
      </w:r>
      <w:r>
        <w:rPr>
          <w:lang w:val="en-US"/>
        </w:rPr>
        <w:tab/>
      </w:r>
      <w:r w:rsidRPr="00203E75">
        <w:rPr>
          <w:i/>
          <w:lang w:val="en-US"/>
        </w:rPr>
        <w:t>“</w:t>
      </w:r>
      <w:r>
        <w:rPr>
          <w:lang w:val="en-US"/>
        </w:rPr>
        <w:t>More women, more money: why Chile’s firms are hiring female execs,</w:t>
      </w:r>
      <w:r w:rsidRPr="00203E75">
        <w:rPr>
          <w:i/>
          <w:lang w:val="en-US"/>
        </w:rPr>
        <w:t>”</w:t>
      </w:r>
      <w:r>
        <w:rPr>
          <w:lang w:val="en-US"/>
        </w:rPr>
        <w:t xml:space="preserve"> Case study dated September 25, 2017, by Odette Chalaby, apolitical.co. </w:t>
      </w:r>
      <w:r w:rsidRPr="00B560D5">
        <w:rPr>
          <w:lang w:val="en-US"/>
        </w:rPr>
        <w:t>https://apolitical.co/solution_article/women-money-chiles-firms-hiring-female-execs/</w:t>
      </w:r>
      <w:r>
        <w:rPr>
          <w:lang w:val="en-US"/>
        </w:rPr>
        <w:t>.</w:t>
      </w:r>
    </w:p>
  </w:footnote>
  <w:footnote w:id="367">
    <w:p w14:paraId="65FDB23A" w14:textId="54185D84" w:rsidR="00953C0F" w:rsidRPr="00240A7A" w:rsidRDefault="00953C0F" w:rsidP="006902A2">
      <w:pPr>
        <w:pStyle w:val="FootnoteText"/>
        <w:rPr>
          <w:lang w:val="en-US"/>
        </w:rPr>
      </w:pPr>
      <w:r>
        <w:rPr>
          <w:rStyle w:val="FootnoteReference"/>
        </w:rPr>
        <w:footnoteRef/>
      </w:r>
      <w:r>
        <w:t xml:space="preserve"> </w:t>
      </w:r>
      <w:r>
        <w:rPr>
          <w:lang w:val="en-US"/>
        </w:rPr>
        <w:tab/>
        <w:t xml:space="preserve">News release dated December 6, 2016, </w:t>
      </w:r>
      <w:r w:rsidRPr="00203E75">
        <w:rPr>
          <w:i/>
          <w:lang w:val="en-US"/>
        </w:rPr>
        <w:t>“</w:t>
      </w:r>
      <w:r>
        <w:rPr>
          <w:lang w:val="en-US"/>
        </w:rPr>
        <w:t xml:space="preserve">Chile launches first </w:t>
      </w:r>
      <w:r w:rsidRPr="00203E75">
        <w:rPr>
          <w:i/>
          <w:lang w:val="en-US"/>
        </w:rPr>
        <w:t>“</w:t>
      </w:r>
      <w:r>
        <w:rPr>
          <w:lang w:val="en-US"/>
        </w:rPr>
        <w:t>Gender Parity Initiative</w:t>
      </w:r>
      <w:r w:rsidRPr="00203E75">
        <w:rPr>
          <w:i/>
          <w:lang w:val="en-US"/>
        </w:rPr>
        <w:t>”</w:t>
      </w:r>
      <w:r>
        <w:rPr>
          <w:lang w:val="en-US"/>
        </w:rPr>
        <w:t xml:space="preserve"> with </w:t>
      </w:r>
      <w:r w:rsidRPr="00D6109D">
        <w:rPr>
          <w:lang w:val="en-US"/>
        </w:rPr>
        <w:t>Inter-American Development Bank and the World Economic Forum</w:t>
      </w:r>
      <w:r>
        <w:rPr>
          <w:lang w:val="en-US"/>
        </w:rPr>
        <w:t xml:space="preserve"> support,</w:t>
      </w:r>
      <w:r w:rsidRPr="00203E75">
        <w:rPr>
          <w:i/>
          <w:lang w:val="en-US"/>
        </w:rPr>
        <w:t>”</w:t>
      </w:r>
      <w:r>
        <w:rPr>
          <w:lang w:val="en-US"/>
        </w:rPr>
        <w:t xml:space="preserve"> </w:t>
      </w:r>
      <w:r w:rsidRPr="00240A7A">
        <w:rPr>
          <w:lang w:val="en-US"/>
        </w:rPr>
        <w:t>https://www.iadb.org/en/news/chile-launches-first-gender-parity-initiative-inter-american-development-bank-and-world</w:t>
      </w:r>
      <w:r>
        <w:rPr>
          <w:lang w:val="en-US"/>
        </w:rPr>
        <w:t>.</w:t>
      </w:r>
    </w:p>
  </w:footnote>
  <w:footnote w:id="368">
    <w:p w14:paraId="50AB4757" w14:textId="76917CAB" w:rsidR="00953C0F" w:rsidRPr="009C77E2" w:rsidRDefault="00953C0F" w:rsidP="006902A2">
      <w:pPr>
        <w:pStyle w:val="FootnoteText"/>
        <w:rPr>
          <w:lang w:val="en-US"/>
        </w:rPr>
      </w:pPr>
      <w:r>
        <w:rPr>
          <w:rStyle w:val="FootnoteReference"/>
        </w:rPr>
        <w:footnoteRef/>
      </w:r>
      <w:r>
        <w:t xml:space="preserve"> </w:t>
      </w:r>
      <w:r>
        <w:rPr>
          <w:lang w:val="en-US"/>
        </w:rPr>
        <w:tab/>
      </w:r>
      <w:r w:rsidRPr="00203E75">
        <w:rPr>
          <w:i/>
          <w:lang w:val="en-US"/>
        </w:rPr>
        <w:t>“</w:t>
      </w:r>
      <w:r>
        <w:rPr>
          <w:lang w:val="en-US"/>
        </w:rPr>
        <w:t>More women, more money: why Chile’s firms are hiring female execs,</w:t>
      </w:r>
      <w:r w:rsidRPr="00203E75">
        <w:rPr>
          <w:i/>
          <w:lang w:val="en-US"/>
        </w:rPr>
        <w:t>”</w:t>
      </w:r>
      <w:r>
        <w:rPr>
          <w:lang w:val="en-US"/>
        </w:rPr>
        <w:t xml:space="preserve"> </w:t>
      </w:r>
      <w:r w:rsidRPr="00793742">
        <w:rPr>
          <w:i/>
          <w:lang w:val="en-US"/>
        </w:rPr>
        <w:t>supra</w:t>
      </w:r>
      <w:r>
        <w:rPr>
          <w:lang w:val="en-US"/>
        </w:rPr>
        <w:t xml:space="preserve"> note 8.</w:t>
      </w:r>
    </w:p>
  </w:footnote>
  <w:footnote w:id="369">
    <w:p w14:paraId="55DCC080" w14:textId="3EC6CB1D" w:rsidR="00953C0F" w:rsidRPr="00205DFD" w:rsidRDefault="00953C0F" w:rsidP="006902A2">
      <w:pPr>
        <w:pStyle w:val="FootnoteText"/>
        <w:rPr>
          <w:lang w:val="en-US"/>
        </w:rPr>
      </w:pPr>
      <w:r>
        <w:rPr>
          <w:rStyle w:val="FootnoteReference"/>
        </w:rPr>
        <w:footnoteRef/>
      </w:r>
      <w:r>
        <w:t xml:space="preserve"> </w:t>
      </w:r>
      <w:r>
        <w:rPr>
          <w:lang w:val="en-US"/>
        </w:rPr>
        <w:tab/>
        <w:t xml:space="preserve">OECD Economic Surveys: Chile 2013, </w:t>
      </w:r>
      <w:r w:rsidRPr="00057CD2">
        <w:rPr>
          <w:lang w:val="en-US"/>
        </w:rPr>
        <w:t>https://books.google.co.uk/books?id=OQySAQAAQBAJ&amp;pg=PA31&amp;lpg=PA31&amp;dq=chilean+government+legislation+companies+with+20+female+employees+should+pay+for+daycare&amp;source=bl&amp;ots=xDof8KA2ZN&amp;sig=ACfU3U1GbEb6D3y_5xjS4iQCUKiSla-5xw&amp;hl=en&amp;sa=X&amp;ved=2ahUKEwj-69_SyJ7lAhVNThUIHbNWCT8Q6AEwDnoECAgQAQ#v=onepage&amp;q=chilean%20government%20legislation%20companies%20with%2020%20female%20employees%20should%20pay%20for%20daycare&amp;f=false</w:t>
      </w:r>
      <w:r>
        <w:rPr>
          <w:lang w:val="en-US"/>
        </w:rPr>
        <w:t>.</w:t>
      </w:r>
    </w:p>
  </w:footnote>
  <w:footnote w:id="370">
    <w:p w14:paraId="10D1DDEC" w14:textId="6379AC1B" w:rsidR="00953C0F" w:rsidRPr="008760A9" w:rsidRDefault="00953C0F" w:rsidP="006902A2">
      <w:pPr>
        <w:pStyle w:val="FootnoteText"/>
        <w:rPr>
          <w:lang w:val="en-US"/>
        </w:rPr>
      </w:pPr>
      <w:r>
        <w:rPr>
          <w:rStyle w:val="FootnoteReference"/>
        </w:rPr>
        <w:footnoteRef/>
      </w:r>
      <w:r>
        <w:t xml:space="preserve"> </w:t>
      </w:r>
      <w:r>
        <w:rPr>
          <w:lang w:val="en-US"/>
        </w:rPr>
        <w:tab/>
      </w:r>
      <w:r w:rsidRPr="00203E75">
        <w:rPr>
          <w:i/>
          <w:lang w:val="en-US"/>
        </w:rPr>
        <w:t>“</w:t>
      </w:r>
      <w:r>
        <w:rPr>
          <w:lang w:val="en-US"/>
        </w:rPr>
        <w:t>Need Female Board Members?  Chile’s Government Has a List for You,</w:t>
      </w:r>
      <w:r w:rsidRPr="00203E75">
        <w:rPr>
          <w:i/>
          <w:lang w:val="en-US"/>
        </w:rPr>
        <w:t>”</w:t>
      </w:r>
      <w:r>
        <w:rPr>
          <w:lang w:val="en-US"/>
        </w:rPr>
        <w:t xml:space="preserve"> article by Laura Millan Lombrana and Maria Jose Campano, May 11, 2019, Bloomberg. </w:t>
      </w:r>
    </w:p>
  </w:footnote>
  <w:footnote w:id="371">
    <w:p w14:paraId="79892903" w14:textId="11E8075F" w:rsidR="00953C0F" w:rsidRPr="0043468C" w:rsidRDefault="00953C0F" w:rsidP="006902A2">
      <w:pPr>
        <w:pStyle w:val="FootnoteText"/>
        <w:rPr>
          <w:i/>
          <w:lang w:val="en-US"/>
        </w:rPr>
      </w:pPr>
      <w:r>
        <w:rPr>
          <w:rStyle w:val="FootnoteReference"/>
        </w:rPr>
        <w:footnoteRef/>
      </w:r>
      <w:r>
        <w:t xml:space="preserve"> </w:t>
      </w:r>
      <w:r>
        <w:rPr>
          <w:lang w:val="en-US"/>
        </w:rPr>
        <w:tab/>
      </w:r>
      <w:r>
        <w:rPr>
          <w:i/>
          <w:lang w:val="en-US"/>
        </w:rPr>
        <w:t>Id.</w:t>
      </w:r>
    </w:p>
  </w:footnote>
  <w:footnote w:id="372">
    <w:p w14:paraId="5E3B5E08"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Companies Act (Act 10 of 2004) [hereinafter Jamaica Companies Act 2004], https://www.wipo.int/edocs/lexdocs/laws/en/jm/jm043en.pdf; Employment (Equal Pay for Men and Women) Act (Act 34 of 1975), http://www.ilo.org/dyn/natlex/docs/ELECTRONIC/31019/69481/F-166592874/JAM31019.pdf; Private Sector Org. of Jamaica, PSOJ Corporate Governance Code 2016 (2016), http://psoj.org/wp-content/uploads/2016/12/PSOJ-CG-Code-2016-Final-11302016.pdf; Private Sector Org. of Jamaica, PSOJ Corporate Governance Code for Micro, Small or Medium-Sized Enterprises 2016 (2016), https://psoj.org/wp-content/uploads/2015/07/PSOJ-MSME-Corp-Gov-Code-Final-February-4-2016.pdf.</w:t>
      </w:r>
    </w:p>
  </w:footnote>
  <w:footnote w:id="373">
    <w:p w14:paraId="269334B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See</w:t>
      </w:r>
      <w:r w:rsidRPr="0008474E">
        <w:rPr>
          <w:lang w:val="en-US"/>
        </w:rPr>
        <w:t xml:space="preserve"> Jamaica Companies Act 2004 (Act 10 of 2004), at § 172(1).</w:t>
      </w:r>
    </w:p>
  </w:footnote>
  <w:footnote w:id="374">
    <w:p w14:paraId="785957B1"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PSOJ Corporate Governance Code 2016, ¶ B.2.1.</w:t>
      </w:r>
    </w:p>
  </w:footnote>
  <w:footnote w:id="375">
    <w:p w14:paraId="16862900" w14:textId="6B6AEF80"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PSOJ Corporate Governance Code 2016, ¶ B.2, </w:t>
      </w:r>
      <w:r>
        <w:rPr>
          <w:lang w:val="en-US"/>
        </w:rPr>
        <w:t>‘</w:t>
      </w:r>
      <w:r w:rsidRPr="0008474E">
        <w:rPr>
          <w:lang w:val="en-US"/>
        </w:rPr>
        <w:t>Main Principle</w:t>
      </w:r>
      <w:r>
        <w:rPr>
          <w:lang w:val="en-US"/>
        </w:rPr>
        <w:t>.’</w:t>
      </w:r>
    </w:p>
  </w:footnote>
  <w:footnote w:id="376">
    <w:p w14:paraId="33DF96AE" w14:textId="2AC0B110"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PSOJ Corporate Governance Code 2016, </w:t>
      </w:r>
      <w:r w:rsidRPr="00203E75">
        <w:rPr>
          <w:i/>
          <w:lang w:val="en-US"/>
        </w:rPr>
        <w:t>“</w:t>
      </w:r>
      <w:r w:rsidRPr="0008474E">
        <w:rPr>
          <w:lang w:val="en-US"/>
        </w:rPr>
        <w:t>The Code on Corporate Governance – Best Practice.</w:t>
      </w:r>
      <w:r w:rsidRPr="00203E75">
        <w:rPr>
          <w:i/>
          <w:lang w:val="en-US"/>
        </w:rPr>
        <w:t>”</w:t>
      </w:r>
    </w:p>
  </w:footnote>
  <w:footnote w:id="377">
    <w:p w14:paraId="23A45519"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PSOJ Corporate Governance Code 2016, ¶ A.1.1.</w:t>
      </w:r>
    </w:p>
  </w:footnote>
  <w:footnote w:id="378">
    <w:p w14:paraId="72616949"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PSOJ Corporate Governance Code 2016, ¶ B.2.</w:t>
      </w:r>
    </w:p>
  </w:footnote>
  <w:footnote w:id="379">
    <w:p w14:paraId="1E11011E"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Int</w:t>
      </w:r>
      <w:r>
        <w:rPr>
          <w:lang w:val="en-US"/>
        </w:rPr>
        <w:t>’</w:t>
      </w:r>
      <w:r w:rsidRPr="0008474E">
        <w:rPr>
          <w:lang w:val="en-US"/>
        </w:rPr>
        <w:t xml:space="preserve">l Labour Org., </w:t>
      </w:r>
      <w:r w:rsidRPr="0008474E">
        <w:rPr>
          <w:i/>
          <w:lang w:val="en-US"/>
        </w:rPr>
        <w:t>Women in Business and Management: Gaining momentum in Latin America an</w:t>
      </w:r>
      <w:r>
        <w:rPr>
          <w:i/>
          <w:lang w:val="en-US"/>
        </w:rPr>
        <w:t>d</w:t>
      </w:r>
      <w:r w:rsidRPr="0008474E">
        <w:rPr>
          <w:i/>
          <w:lang w:val="en-US"/>
        </w:rPr>
        <w:t xml:space="preserve"> the Caribbean </w:t>
      </w:r>
      <w:r>
        <w:rPr>
          <w:lang w:val="en-US"/>
        </w:rPr>
        <w:t>(Oct.</w:t>
      </w:r>
      <w:r w:rsidRPr="0008474E">
        <w:rPr>
          <w:lang w:val="en-US"/>
        </w:rPr>
        <w:t xml:space="preserve"> 6, 2017) http://www.ilo.org/caribbean/newsroom/WCMS_583703/lang--en/index.htm. </w:t>
      </w:r>
    </w:p>
  </w:footnote>
  <w:footnote w:id="380">
    <w:p w14:paraId="0D64AF7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UN Women, </w:t>
      </w:r>
      <w:r w:rsidRPr="0008474E">
        <w:rPr>
          <w:i/>
          <w:lang w:val="en-US"/>
        </w:rPr>
        <w:t>Women shareholders in Jamaica</w:t>
      </w:r>
      <w:r>
        <w:rPr>
          <w:i/>
          <w:lang w:val="en-US"/>
        </w:rPr>
        <w:t>’</w:t>
      </w:r>
      <w:r w:rsidRPr="0008474E">
        <w:rPr>
          <w:i/>
          <w:lang w:val="en-US"/>
        </w:rPr>
        <w:t>s board rooms are ready to achieve their fair share</w:t>
      </w:r>
      <w:r>
        <w:rPr>
          <w:lang w:val="en-US"/>
        </w:rPr>
        <w:t xml:space="preserve"> (Sept.</w:t>
      </w:r>
      <w:r w:rsidRPr="0008474E">
        <w:rPr>
          <w:lang w:val="en-US"/>
        </w:rPr>
        <w:t xml:space="preserve"> 7, 2012), http://www.unwomen.org/en/news/stories/2012/9/women-shareholders-in-jamaica-s-board-rooms-are-ready-to-achieve-their-fair-share.</w:t>
      </w:r>
    </w:p>
  </w:footnote>
  <w:footnote w:id="381">
    <w:p w14:paraId="6AAB7031"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r>
      <w:r w:rsidRPr="0008474E">
        <w:rPr>
          <w:i/>
          <w:lang w:val="en-US"/>
        </w:rPr>
        <w:t>See</w:t>
      </w:r>
      <w:r w:rsidRPr="0008474E">
        <w:rPr>
          <w:lang w:val="en-US"/>
        </w:rPr>
        <w:t xml:space="preserve"> Rawwida Baksh and Linnette Vassell, </w:t>
      </w:r>
      <w:r w:rsidRPr="0008474E">
        <w:rPr>
          <w:i/>
          <w:lang w:val="en-US"/>
        </w:rPr>
        <w:t>Women</w:t>
      </w:r>
      <w:r>
        <w:rPr>
          <w:i/>
          <w:lang w:val="en-US"/>
        </w:rPr>
        <w:t>’</w:t>
      </w:r>
      <w:r w:rsidRPr="0008474E">
        <w:rPr>
          <w:i/>
          <w:lang w:val="en-US"/>
        </w:rPr>
        <w:t>s citizenship in the democracies of the Americas: The English-speaking Caribbean</w:t>
      </w:r>
      <w:r>
        <w:rPr>
          <w:lang w:val="en-US"/>
        </w:rPr>
        <w:t xml:space="preserve"> 75 (Aug.</w:t>
      </w:r>
      <w:r w:rsidRPr="0008474E">
        <w:rPr>
          <w:lang w:val="en-US"/>
        </w:rPr>
        <w:t xml:space="preserve"> 2013), https://www.oas.org/en/CIM/docs/CiudadaniaMujeresDemocracia-Caribbean-EN.pdf.</w:t>
      </w:r>
    </w:p>
  </w:footnote>
  <w:footnote w:id="382">
    <w:p w14:paraId="4DFC0874"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UN Women, </w:t>
      </w:r>
      <w:r w:rsidRPr="0008474E">
        <w:rPr>
          <w:i/>
          <w:lang w:val="en-US"/>
        </w:rPr>
        <w:t>Quotas for Women</w:t>
      </w:r>
      <w:r>
        <w:rPr>
          <w:i/>
          <w:lang w:val="en-US"/>
        </w:rPr>
        <w:t>’</w:t>
      </w:r>
      <w:r w:rsidRPr="0008474E">
        <w:rPr>
          <w:i/>
          <w:lang w:val="en-US"/>
        </w:rPr>
        <w:t>s Transformational Leadership and Participation in Jamaica</w:t>
      </w:r>
      <w:r>
        <w:rPr>
          <w:lang w:val="en-US"/>
        </w:rPr>
        <w:t xml:space="preserve"> (Apr.</w:t>
      </w:r>
      <w:r w:rsidRPr="0008474E">
        <w:rPr>
          <w:lang w:val="en-US"/>
        </w:rPr>
        <w:t xml:space="preserve"> 4, 2012), http://caribbean.unwomen.org/en/news-and-events/stories/2012/4/quotas-for-womens-transformational-leadership-and-participation-in-jamaica.</w:t>
      </w:r>
    </w:p>
  </w:footnote>
  <w:footnote w:id="383">
    <w:p w14:paraId="58DD1F42" w14:textId="77777777" w:rsidR="00953C0F" w:rsidRPr="0008474E" w:rsidRDefault="00953C0F" w:rsidP="006902A2">
      <w:pPr>
        <w:pStyle w:val="FootnoteText"/>
        <w:rPr>
          <w:lang w:val="en-US"/>
        </w:rPr>
      </w:pPr>
      <w:r w:rsidRPr="0008474E">
        <w:rPr>
          <w:rStyle w:val="FootnoteReference"/>
          <w:lang w:val="en-US"/>
        </w:rPr>
        <w:footnoteRef/>
      </w:r>
      <w:r w:rsidRPr="0008474E">
        <w:rPr>
          <w:lang w:val="en-US"/>
        </w:rPr>
        <w:tab/>
        <w:t xml:space="preserve">United Nations Democracy Fund 2011, </w:t>
      </w:r>
      <w:r w:rsidRPr="0008474E">
        <w:rPr>
          <w:i/>
          <w:lang w:val="en-US"/>
        </w:rPr>
        <w:t>Evaluation Report: UDF-JAM-07-209-Strengthening Women</w:t>
      </w:r>
      <w:r>
        <w:rPr>
          <w:i/>
          <w:lang w:val="en-US"/>
        </w:rPr>
        <w:t>’</w:t>
      </w:r>
      <w:r w:rsidRPr="0008474E">
        <w:rPr>
          <w:i/>
          <w:lang w:val="en-US"/>
        </w:rPr>
        <w:t>s Leadership in Jamaica</w:t>
      </w:r>
      <w:r>
        <w:rPr>
          <w:lang w:val="en-US"/>
        </w:rPr>
        <w:t xml:space="preserve"> 17 (Sept.</w:t>
      </w:r>
      <w:r w:rsidRPr="0008474E">
        <w:rPr>
          <w:lang w:val="en-US"/>
        </w:rPr>
        <w:t xml:space="preserve"> 21, 2011), https://www.un.org/democracyfund/sites/www.un.org.democracyfund/files/jamaica_-_udf-07-209-jam_-_evaluation_report_0.pdf.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FE5C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5CBA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4447B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AE1AC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6A63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44D3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7CA6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DCAC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F2B2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BFE6E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26AA"/>
    <w:multiLevelType w:val="multilevel"/>
    <w:tmpl w:val="04A22D5E"/>
    <w:name w:val="OutlineListTemplate"/>
    <w:lvl w:ilvl="0">
      <w:start w:val="1"/>
      <w:numFmt w:val="upperRoman"/>
      <w:lvlText w:val="SECTION %1."/>
      <w:lvlJc w:val="left"/>
      <w:pPr>
        <w:ind w:left="2160" w:hanging="2160"/>
      </w:pPr>
      <w:rPr>
        <w:caps/>
        <w:smallCaps w:val="0"/>
        <w:color w:val="000000"/>
        <w:sz w:val="22"/>
      </w:rPr>
    </w:lvl>
    <w:lvl w:ilvl="1">
      <w:start w:val="1"/>
      <w:numFmt w:val="upperLetter"/>
      <w:lvlText w:val="%2."/>
      <w:lvlJc w:val="left"/>
      <w:pPr>
        <w:tabs>
          <w:tab w:val="num" w:pos="1440"/>
        </w:tabs>
        <w:ind w:left="1440" w:hanging="720"/>
      </w:pPr>
      <w:rPr>
        <w:rFonts w:hint="default"/>
        <w:color w:val="000000"/>
      </w:rPr>
    </w:lvl>
    <w:lvl w:ilvl="2">
      <w:start w:val="1"/>
      <w:numFmt w:val="decimal"/>
      <w:lvlText w:val="%3."/>
      <w:lvlJc w:val="left"/>
      <w:pPr>
        <w:tabs>
          <w:tab w:val="num" w:pos="2160"/>
        </w:tabs>
        <w:ind w:left="2160" w:hanging="720"/>
      </w:pPr>
      <w:rPr>
        <w:rFonts w:hint="default"/>
        <w:color w:val="000000"/>
      </w:rPr>
    </w:lvl>
    <w:lvl w:ilvl="3">
      <w:start w:val="1"/>
      <w:numFmt w:val="lowerLetter"/>
      <w:lvlText w:val="(%4)"/>
      <w:lvlJc w:val="left"/>
      <w:pPr>
        <w:tabs>
          <w:tab w:val="num" w:pos="2880"/>
        </w:tabs>
        <w:ind w:left="2880" w:hanging="720"/>
      </w:pPr>
      <w:rPr>
        <w:rFonts w:hint="default"/>
        <w:color w:val="000000"/>
      </w:rPr>
    </w:lvl>
    <w:lvl w:ilvl="4">
      <w:start w:val="1"/>
      <w:numFmt w:val="lowerRoman"/>
      <w:lvlText w:val="(%5)"/>
      <w:lvlJc w:val="left"/>
      <w:pPr>
        <w:tabs>
          <w:tab w:val="num" w:pos="3600"/>
        </w:tabs>
        <w:ind w:left="3600" w:hanging="720"/>
      </w:pPr>
      <w:rPr>
        <w:rFonts w:hint="default"/>
        <w:color w:val="000000"/>
      </w:rPr>
    </w:lvl>
    <w:lvl w:ilvl="5">
      <w:start w:val="1"/>
      <w:numFmt w:val="decimal"/>
      <w:lvlText w:val="(%6)"/>
      <w:lvlJc w:val="left"/>
      <w:pPr>
        <w:tabs>
          <w:tab w:val="num" w:pos="4320"/>
        </w:tabs>
        <w:ind w:left="4320" w:hanging="720"/>
      </w:pPr>
      <w:rPr>
        <w:rFonts w:hint="default"/>
        <w:color w:val="000000"/>
      </w:rPr>
    </w:lvl>
    <w:lvl w:ilvl="6">
      <w:start w:val="1"/>
      <w:numFmt w:val="upperLetter"/>
      <w:lvlText w:val="(%7)"/>
      <w:lvlJc w:val="left"/>
      <w:pPr>
        <w:tabs>
          <w:tab w:val="num" w:pos="5040"/>
        </w:tabs>
        <w:ind w:left="5040" w:hanging="720"/>
      </w:pPr>
      <w:rPr>
        <w:rFonts w:hint="default"/>
        <w:color w:val="000000"/>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0269360C"/>
    <w:multiLevelType w:val="multilevel"/>
    <w:tmpl w:val="D884C2EE"/>
    <w:name w:val="LegalComboListTemplate"/>
    <w:lvl w:ilvl="0">
      <w:start w:val="1"/>
      <w:numFmt w:val="upperRoman"/>
      <w:lvlRestart w:val="0"/>
      <w:lvlText w:val="SECTION %1."/>
      <w:lvlJc w:val="left"/>
      <w:pPr>
        <w:tabs>
          <w:tab w:val="num" w:pos="720"/>
        </w:tabs>
        <w:ind w:left="720" w:hanging="720"/>
      </w:pPr>
      <w:rPr>
        <w:rFonts w:hint="default"/>
        <w:b/>
        <w:sz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decimal"/>
      <w:lvlText w:val="(%6)"/>
      <w:lvlJc w:val="left"/>
      <w:pPr>
        <w:tabs>
          <w:tab w:val="num" w:pos="2880"/>
        </w:tabs>
        <w:ind w:left="2880" w:hanging="720"/>
      </w:pPr>
      <w:rPr>
        <w:rFonts w:hint="default"/>
      </w:rPr>
    </w:lvl>
    <w:lvl w:ilvl="6">
      <w:start w:val="1"/>
      <w:numFmt w:val="upperLetter"/>
      <w:lvlText w:val="(%7)"/>
      <w:lvlJc w:val="left"/>
      <w:pPr>
        <w:tabs>
          <w:tab w:val="num" w:pos="3600"/>
        </w:tabs>
        <w:ind w:left="3600" w:hanging="720"/>
      </w:pPr>
      <w:rPr>
        <w:rFonts w:hint="default"/>
      </w:rPr>
    </w:lvl>
    <w:lvl w:ilvl="7">
      <w:start w:val="24"/>
      <w:numFmt w:val="lowerLetter"/>
      <w:lvlRestart w:val="3"/>
      <w:lvlText w:val="(%8)"/>
      <w:lvlJc w:val="left"/>
      <w:pPr>
        <w:tabs>
          <w:tab w:val="num" w:pos="1440"/>
        </w:tabs>
        <w:ind w:left="1440" w:hanging="720"/>
      </w:pPr>
      <w:rPr>
        <w:rFonts w:hint="default"/>
      </w:rPr>
    </w:lvl>
    <w:lvl w:ilvl="8">
      <w:start w:val="1"/>
      <w:numFmt w:val="bullet"/>
      <w:lvlRestart w:val="0"/>
      <w:lvlText w:val=""/>
      <w:lvlJc w:val="left"/>
      <w:pPr>
        <w:tabs>
          <w:tab w:val="num" w:pos="1800"/>
        </w:tabs>
        <w:ind w:left="1800" w:hanging="360"/>
      </w:pPr>
      <w:rPr>
        <w:rFonts w:ascii="Symbol" w:hAnsi="Symbol" w:hint="default"/>
      </w:rPr>
    </w:lvl>
  </w:abstractNum>
  <w:abstractNum w:abstractNumId="12" w15:restartNumberingAfterBreak="0">
    <w:nsid w:val="06A347FF"/>
    <w:multiLevelType w:val="multilevel"/>
    <w:tmpl w:val="CFC070A8"/>
    <w:name w:val="FlatBulletsListTemplate"/>
    <w:styleLink w:val="FlatBulletsList"/>
    <w:lvl w:ilvl="0">
      <w:start w:val="1"/>
      <w:numFmt w:val="bullet"/>
      <w:pStyle w:val="BulletPara"/>
      <w:lvlText w:val=""/>
      <w:lvlJc w:val="left"/>
      <w:pPr>
        <w:tabs>
          <w:tab w:val="num" w:pos="1440"/>
        </w:tabs>
        <w:ind w:left="1440" w:hanging="360"/>
      </w:pPr>
      <w:rPr>
        <w:rFonts w:ascii="Symbol" w:hAnsi="Symbol" w:hint="default"/>
      </w:rPr>
    </w:lvl>
    <w:lvl w:ilvl="1">
      <w:start w:val="1"/>
      <w:numFmt w:val="bullet"/>
      <w:lvlRestart w:val="0"/>
      <w:pStyle w:val="BulletPara2"/>
      <w:lvlText w:val="○"/>
      <w:lvlJc w:val="left"/>
      <w:pPr>
        <w:tabs>
          <w:tab w:val="num" w:pos="1800"/>
        </w:tabs>
        <w:ind w:left="1800" w:hanging="360"/>
      </w:pPr>
      <w:rPr>
        <w:rFonts w:ascii="Times New Roman" w:hAnsi="Times New Roman" w:cs="Times New Roman" w:hint="default"/>
        <w:color w:val="auto"/>
      </w:rPr>
    </w:lvl>
    <w:lvl w:ilvl="2">
      <w:start w:val="1"/>
      <w:numFmt w:val="bullet"/>
      <w:lvlRestart w:val="0"/>
      <w:pStyle w:val="BulletParaAlt"/>
      <w:lvlText w:val=""/>
      <w:lvlJc w:val="left"/>
      <w:pPr>
        <w:tabs>
          <w:tab w:val="num" w:pos="2160"/>
        </w:tabs>
        <w:ind w:left="2160" w:hanging="360"/>
      </w:pPr>
      <w:rPr>
        <w:rFonts w:ascii="Symbol" w:hAnsi="Symbol" w:hint="default"/>
        <w:color w:val="auto"/>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b/>
        <w:i w:val="0"/>
      </w:rPr>
    </w:lvl>
    <w:lvl w:ilvl="5">
      <w:start w:val="1"/>
      <w:numFmt w:val="none"/>
      <w:lvlRestart w:val="0"/>
      <w:suff w:val="nothing"/>
      <w:lvlText w:val=""/>
      <w:lvlJc w:val="left"/>
      <w:pPr>
        <w:ind w:left="0" w:firstLine="0"/>
      </w:pPr>
      <w:rPr>
        <w:rFonts w:hint="default"/>
        <w:b/>
        <w:i w: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9"/>
      <w:lvlJc w:val="left"/>
      <w:pPr>
        <w:ind w:left="0" w:firstLine="0"/>
      </w:pPr>
      <w:rPr>
        <w:rFonts w:hint="default"/>
      </w:rPr>
    </w:lvl>
  </w:abstractNum>
  <w:abstractNum w:abstractNumId="13" w15:restartNumberingAfterBreak="0">
    <w:nsid w:val="1096088A"/>
    <w:multiLevelType w:val="hybridMultilevel"/>
    <w:tmpl w:val="BF989C48"/>
    <w:lvl w:ilvl="0" w:tplc="09041EE6">
      <w:start w:val="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27084"/>
    <w:multiLevelType w:val="multilevel"/>
    <w:tmpl w:val="1638BB58"/>
    <w:name w:val="ShortOutlineListTemplate"/>
    <w:styleLink w:val="ShortOutlineList"/>
    <w:lvl w:ilvl="0">
      <w:start w:val="1"/>
      <w:numFmt w:val="decimal"/>
      <w:pStyle w:val="ShortOutline1"/>
      <w:lvlText w:val="%1."/>
      <w:lvlJc w:val="left"/>
      <w:pPr>
        <w:tabs>
          <w:tab w:val="num" w:pos="720"/>
        </w:tabs>
        <w:ind w:left="720" w:hanging="720"/>
      </w:pPr>
      <w:rPr>
        <w:color w:val="000000"/>
        <w:sz w:val="22"/>
      </w:rPr>
    </w:lvl>
    <w:lvl w:ilvl="1">
      <w:start w:val="1"/>
      <w:numFmt w:val="lowerLetter"/>
      <w:pStyle w:val="ShortOutline2"/>
      <w:lvlText w:val="(%2)"/>
      <w:lvlJc w:val="left"/>
      <w:pPr>
        <w:tabs>
          <w:tab w:val="num" w:pos="1440"/>
        </w:tabs>
        <w:ind w:left="1440" w:hanging="720"/>
      </w:pPr>
      <w:rPr>
        <w:color w:val="000000"/>
      </w:rPr>
    </w:lvl>
    <w:lvl w:ilvl="2">
      <w:start w:val="1"/>
      <w:numFmt w:val="lowerRoman"/>
      <w:pStyle w:val="ShortOutline3"/>
      <w:lvlText w:val="(%3)"/>
      <w:lvlJc w:val="left"/>
      <w:pPr>
        <w:tabs>
          <w:tab w:val="num" w:pos="2160"/>
        </w:tabs>
        <w:ind w:left="2160" w:hanging="720"/>
      </w:pPr>
      <w:rPr>
        <w:color w:val="000000"/>
      </w:rPr>
    </w:lvl>
    <w:lvl w:ilvl="3">
      <w:start w:val="1"/>
      <w:numFmt w:val="decimal"/>
      <w:pStyle w:val="ShortOutline4"/>
      <w:lvlText w:val="(%4)"/>
      <w:lvlJc w:val="left"/>
      <w:pPr>
        <w:tabs>
          <w:tab w:val="num" w:pos="2880"/>
        </w:tabs>
        <w:ind w:left="2880" w:hanging="720"/>
      </w:pPr>
      <w:rPr>
        <w:color w:val="000000"/>
      </w:rPr>
    </w:lvl>
    <w:lvl w:ilvl="4">
      <w:start w:val="1"/>
      <w:numFmt w:val="upperLetter"/>
      <w:pStyle w:val="ShortOutline5"/>
      <w:lvlText w:val="(%5)"/>
      <w:lvlJc w:val="left"/>
      <w:pPr>
        <w:tabs>
          <w:tab w:val="num" w:pos="3600"/>
        </w:tabs>
        <w:ind w:left="3600" w:hanging="720"/>
      </w:pPr>
      <w:rPr>
        <w:color w:val="000000"/>
      </w:r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5" w15:restartNumberingAfterBreak="0">
    <w:nsid w:val="264A22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94670C"/>
    <w:multiLevelType w:val="multilevel"/>
    <w:tmpl w:val="EFF2C24A"/>
    <w:name w:val="TableFootnotesListTemplate"/>
    <w:styleLink w:val="TableFootnotesList"/>
    <w:lvl w:ilvl="0">
      <w:start w:val="1"/>
      <w:numFmt w:val="none"/>
      <w:pStyle w:val="TableFootnoteLine"/>
      <w:suff w:val="nothing"/>
      <w:lvlText w:val=""/>
      <w:lvlJc w:val="left"/>
      <w:pPr>
        <w:ind w:left="0" w:firstLine="0"/>
      </w:pPr>
      <w:rPr>
        <w:rFonts w:hint="default"/>
        <w:u w:val="none"/>
      </w:rPr>
    </w:lvl>
    <w:lvl w:ilvl="1">
      <w:start w:val="1"/>
      <w:numFmt w:val="decimal"/>
      <w:pStyle w:val="TableFootnote"/>
      <w:lvlText w:val="(%2)"/>
      <w:lvlJc w:val="left"/>
      <w:pPr>
        <w:ind w:left="360" w:hanging="360"/>
      </w:pPr>
      <w:rPr>
        <w:rFonts w:hint="default"/>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3B98722D"/>
    <w:multiLevelType w:val="multilevel"/>
    <w:tmpl w:val="04090023"/>
    <w:styleLink w:val="ArticleSection"/>
    <w:lvl w:ilvl="0">
      <w:start w:val="1"/>
      <w:numFmt w:val="upperRoman"/>
      <w:pStyle w:val="Heading1"/>
      <w:lvlText w:val="Article %1."/>
      <w:lvlJc w:val="left"/>
      <w:pPr>
        <w:ind w:left="0" w:firstLine="0"/>
      </w:pPr>
      <w:rPr>
        <w:sz w:val="22"/>
      </w:r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4070546D"/>
    <w:multiLevelType w:val="hybridMultilevel"/>
    <w:tmpl w:val="281ADE90"/>
    <w:name w:val="LegalFlushListTemplate22"/>
    <w:lvl w:ilvl="0" w:tplc="85745B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B418C6"/>
    <w:multiLevelType w:val="hybridMultilevel"/>
    <w:tmpl w:val="52143450"/>
    <w:name w:val="LegalFlushListTemplate2"/>
    <w:lvl w:ilvl="0" w:tplc="B1BCE7A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16F3C"/>
    <w:multiLevelType w:val="multilevel"/>
    <w:tmpl w:val="D902B938"/>
    <w:styleLink w:val="LegalComboList"/>
    <w:lvl w:ilvl="0">
      <w:start w:val="1"/>
      <w:numFmt w:val="upperRoman"/>
      <w:lvlRestart w:val="0"/>
      <w:pStyle w:val="LegalCombo1"/>
      <w:lvlText w:val="SECTION %1."/>
      <w:lvlJc w:val="left"/>
      <w:pPr>
        <w:tabs>
          <w:tab w:val="num" w:pos="1800"/>
        </w:tabs>
        <w:ind w:left="1800" w:hanging="1800"/>
      </w:pPr>
      <w:rPr>
        <w:rFonts w:hint="default"/>
        <w:b/>
        <w:sz w:val="22"/>
      </w:rPr>
    </w:lvl>
    <w:lvl w:ilvl="1">
      <w:start w:val="1"/>
      <w:numFmt w:val="decimal"/>
      <w:pStyle w:val="LegalCombo2"/>
      <w:lvlText w:val="%2."/>
      <w:lvlJc w:val="left"/>
      <w:pPr>
        <w:tabs>
          <w:tab w:val="num" w:pos="720"/>
        </w:tabs>
        <w:ind w:left="720" w:hanging="720"/>
      </w:pPr>
      <w:rPr>
        <w:rFonts w:hint="default"/>
        <w:b/>
        <w:i w:val="0"/>
      </w:rPr>
    </w:lvl>
    <w:lvl w:ilvl="2">
      <w:start w:val="1"/>
      <w:numFmt w:val="decimal"/>
      <w:pStyle w:val="LegalCombo3"/>
      <w:lvlText w:val="%2.%3"/>
      <w:lvlJc w:val="left"/>
      <w:pPr>
        <w:tabs>
          <w:tab w:val="num" w:pos="720"/>
        </w:tabs>
        <w:ind w:left="720" w:hanging="720"/>
      </w:pPr>
      <w:rPr>
        <w:rFonts w:hint="default"/>
      </w:rPr>
    </w:lvl>
    <w:lvl w:ilvl="3">
      <w:start w:val="1"/>
      <w:numFmt w:val="decimal"/>
      <w:pStyle w:val="LegalCombo4"/>
      <w:lvlText w:val="%2.%3.%4"/>
      <w:lvlJc w:val="left"/>
      <w:pPr>
        <w:tabs>
          <w:tab w:val="num" w:pos="720"/>
        </w:tabs>
        <w:ind w:left="720" w:hanging="720"/>
      </w:pPr>
      <w:rPr>
        <w:rFonts w:hint="default"/>
      </w:rPr>
    </w:lvl>
    <w:lvl w:ilvl="4">
      <w:start w:val="1"/>
      <w:numFmt w:val="lowerLetter"/>
      <w:pStyle w:val="LegalCombo5"/>
      <w:lvlText w:val="(%5)"/>
      <w:lvlJc w:val="left"/>
      <w:pPr>
        <w:tabs>
          <w:tab w:val="num" w:pos="1800"/>
        </w:tabs>
        <w:ind w:left="1800" w:hanging="720"/>
      </w:pPr>
      <w:rPr>
        <w:rFonts w:hint="default"/>
      </w:rPr>
    </w:lvl>
    <w:lvl w:ilvl="5">
      <w:start w:val="1"/>
      <w:numFmt w:val="lowerRoman"/>
      <w:pStyle w:val="LegalCombo6"/>
      <w:lvlText w:val="(%6)"/>
      <w:lvlJc w:val="left"/>
      <w:pPr>
        <w:tabs>
          <w:tab w:val="num" w:pos="2520"/>
        </w:tabs>
        <w:ind w:left="2520" w:hanging="720"/>
      </w:pPr>
      <w:rPr>
        <w:rFonts w:hint="default"/>
      </w:rPr>
    </w:lvl>
    <w:lvl w:ilvl="6">
      <w:start w:val="1"/>
      <w:numFmt w:val="upperLetter"/>
      <w:pStyle w:val="LegalCombo7"/>
      <w:lvlText w:val="(%7)"/>
      <w:lvlJc w:val="left"/>
      <w:pPr>
        <w:tabs>
          <w:tab w:val="num" w:pos="3600"/>
        </w:tabs>
        <w:ind w:left="3600" w:hanging="720"/>
      </w:pPr>
      <w:rPr>
        <w:rFonts w:hint="default"/>
      </w:rPr>
    </w:lvl>
    <w:lvl w:ilvl="7">
      <w:start w:val="24"/>
      <w:numFmt w:val="lowerLetter"/>
      <w:lvlRestart w:val="3"/>
      <w:pStyle w:val="LegalCombo8"/>
      <w:lvlText w:val="(%8)"/>
      <w:lvlJc w:val="left"/>
      <w:pPr>
        <w:tabs>
          <w:tab w:val="num" w:pos="1440"/>
        </w:tabs>
        <w:ind w:left="1440" w:hanging="720"/>
      </w:pPr>
      <w:rPr>
        <w:rFonts w:hint="default"/>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21" w15:restartNumberingAfterBreak="0">
    <w:nsid w:val="69220B32"/>
    <w:multiLevelType w:val="hybridMultilevel"/>
    <w:tmpl w:val="E21CF59E"/>
    <w:name w:val="LegalComboListTemplate2"/>
    <w:lvl w:ilvl="0" w:tplc="75745F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984231"/>
    <w:multiLevelType w:val="hybridMultilevel"/>
    <w:tmpl w:val="4580BC78"/>
    <w:lvl w:ilvl="0" w:tplc="F9888538">
      <w:start w:val="1"/>
      <w:numFmt w:val="bullet"/>
      <w:pStyle w:val="ListParagraph2"/>
      <w:lvlText w:val="o"/>
      <w:lvlJc w:val="left"/>
      <w:pPr>
        <w:ind w:left="742" w:hanging="360"/>
      </w:pPr>
      <w:rPr>
        <w:rFonts w:ascii="Courier New" w:hAnsi="Courier New" w:cs="Courier New"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3" w15:restartNumberingAfterBreak="0">
    <w:nsid w:val="6EC8379C"/>
    <w:multiLevelType w:val="multilevel"/>
    <w:tmpl w:val="B8566272"/>
    <w:name w:val="LegalFlushListTemplate"/>
    <w:lvl w:ilvl="0">
      <w:start w:val="1"/>
      <w:numFmt w:val="decimal"/>
      <w:lvlRestart w:val="0"/>
      <w:lvlText w:val="%1."/>
      <w:lvlJc w:val="left"/>
      <w:pPr>
        <w:tabs>
          <w:tab w:val="num" w:pos="720"/>
        </w:tabs>
        <w:ind w:left="720" w:hanging="720"/>
      </w:pPr>
      <w:rPr>
        <w:sz w:val="22"/>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lowerLetter"/>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decimal"/>
      <w:lvlText w:val="(%7)"/>
      <w:lvlJc w:val="left"/>
      <w:pPr>
        <w:tabs>
          <w:tab w:val="num" w:pos="2880"/>
        </w:tabs>
        <w:ind w:left="2880" w:hanging="720"/>
      </w:pPr>
    </w:lvl>
    <w:lvl w:ilvl="7">
      <w:start w:val="1"/>
      <w:numFmt w:val="upperLetter"/>
      <w:lvlText w:val="(%8)"/>
      <w:lvlJc w:val="left"/>
      <w:pPr>
        <w:tabs>
          <w:tab w:val="num" w:pos="3600"/>
        </w:tabs>
        <w:ind w:left="3600" w:hanging="720"/>
      </w:pPr>
    </w:lvl>
    <w:lvl w:ilvl="8">
      <w:start w:val="1"/>
      <w:numFmt w:val="none"/>
      <w:lvlText w:val=""/>
      <w:lvlJc w:val="left"/>
      <w:pPr>
        <w:ind w:left="3240" w:hanging="360"/>
      </w:pPr>
    </w:lvl>
  </w:abstractNum>
  <w:abstractNum w:abstractNumId="24" w15:restartNumberingAfterBreak="0">
    <w:nsid w:val="78B80A10"/>
    <w:multiLevelType w:val="multilevel"/>
    <w:tmpl w:val="7E1ED764"/>
    <w:name w:val="FlatNumbersListTemplate"/>
    <w:styleLink w:val="FlatNumbersList"/>
    <w:lvl w:ilvl="0">
      <w:start w:val="1"/>
      <w:numFmt w:val="decimal"/>
      <w:pStyle w:val="ListSinglePara"/>
      <w:lvlText w:val="%1."/>
      <w:lvlJc w:val="left"/>
      <w:pPr>
        <w:tabs>
          <w:tab w:val="num" w:pos="720"/>
        </w:tabs>
        <w:ind w:left="1080" w:hanging="360"/>
      </w:pPr>
      <w:rPr>
        <w:rFonts w:hint="default"/>
      </w:rPr>
    </w:lvl>
    <w:lvl w:ilvl="1">
      <w:start w:val="1"/>
      <w:numFmt w:val="decimal"/>
      <w:lvlRestart w:val="0"/>
      <w:pStyle w:val="ListDoublePara"/>
      <w:lvlText w:val="%2."/>
      <w:lvlJc w:val="left"/>
      <w:pPr>
        <w:ind w:left="0" w:firstLine="720"/>
      </w:pPr>
      <w:rPr>
        <w:rFonts w:hint="default"/>
      </w:rPr>
    </w:lvl>
    <w:lvl w:ilvl="2">
      <w:start w:val="1"/>
      <w:numFmt w:val="lowerLetter"/>
      <w:lvlRestart w:val="0"/>
      <w:pStyle w:val="abc"/>
      <w:lvlText w:val="(%3)"/>
      <w:lvlJc w:val="left"/>
      <w:pPr>
        <w:ind w:left="0" w:firstLine="720"/>
      </w:pPr>
      <w:rPr>
        <w:rFonts w:hint="default"/>
      </w:rPr>
    </w:lvl>
    <w:lvl w:ilvl="3">
      <w:start w:val="1"/>
      <w:numFmt w:val="lowerRoman"/>
      <w:lvlRestart w:val="0"/>
      <w:pStyle w:val="iiiiii"/>
      <w:lvlText w:val="(%4)"/>
      <w:lvlJc w:val="left"/>
      <w:pPr>
        <w:ind w:left="0" w:firstLine="720"/>
      </w:pPr>
      <w:rPr>
        <w:rFonts w:hint="default"/>
      </w:rPr>
    </w:lvl>
    <w:lvl w:ilvl="4">
      <w:start w:val="1"/>
      <w:numFmt w:val="ordinalText"/>
      <w:lvlRestart w:val="0"/>
      <w:pStyle w:val="OrdinalPara"/>
      <w:suff w:val="space"/>
      <w:lvlText w:val="%5,"/>
      <w:lvlJc w:val="left"/>
      <w:pPr>
        <w:ind w:left="0" w:firstLine="720"/>
      </w:pPr>
      <w:rPr>
        <w:rFonts w:hint="default"/>
      </w:rPr>
    </w:lvl>
    <w:lvl w:ilvl="5">
      <w:start w:val="1"/>
      <w:numFmt w:val="none"/>
      <w:lvlRestart w:val="0"/>
      <w:pStyle w:val="Question"/>
      <w:lvlText w:val="Q:"/>
      <w:lvlJc w:val="left"/>
      <w:pPr>
        <w:ind w:left="1440" w:hanging="720"/>
      </w:pPr>
      <w:rPr>
        <w:rFonts w:hint="default"/>
      </w:rPr>
    </w:lvl>
    <w:lvl w:ilvl="6">
      <w:start w:val="1"/>
      <w:numFmt w:val="none"/>
      <w:lvlRestart w:val="0"/>
      <w:pStyle w:val="Answer"/>
      <w:lvlText w:val="A:"/>
      <w:lvlJc w:val="left"/>
      <w:pPr>
        <w:ind w:left="1440" w:hanging="720"/>
      </w:pPr>
      <w:rPr>
        <w:rFonts w:hint="default"/>
      </w:rPr>
    </w:lvl>
    <w:lvl w:ilvl="7">
      <w:start w:val="1"/>
      <w:numFmt w:val="decimal"/>
      <w:lvlRestart w:val="0"/>
      <w:pStyle w:val="Parties"/>
      <w:lvlText w:val="(%8)"/>
      <w:lvlJc w:val="left"/>
      <w:pPr>
        <w:ind w:left="720" w:hanging="720"/>
      </w:pPr>
      <w:rPr>
        <w:rFonts w:hint="default"/>
        <w:b/>
        <w:i w:val="0"/>
      </w:rPr>
    </w:lvl>
    <w:lvl w:ilvl="8">
      <w:start w:val="1"/>
      <w:numFmt w:val="upperLetter"/>
      <w:lvlRestart w:val="0"/>
      <w:pStyle w:val="Recitals"/>
      <w:lvlText w:val="(%9)"/>
      <w:lvlJc w:val="left"/>
      <w:pPr>
        <w:ind w:left="720" w:hanging="720"/>
      </w:pPr>
      <w:rPr>
        <w:rFonts w:hint="default"/>
        <w:b/>
        <w:i w:val="0"/>
      </w:rPr>
    </w:lvl>
  </w:abstractNum>
  <w:abstractNum w:abstractNumId="25" w15:restartNumberingAfterBreak="0">
    <w:nsid w:val="7D0B6852"/>
    <w:multiLevelType w:val="hybridMultilevel"/>
    <w:tmpl w:val="CCDA3C60"/>
    <w:name w:val="LegalFlushListTemplate222"/>
    <w:lvl w:ilvl="0" w:tplc="A05693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2"/>
  </w:num>
  <w:num w:numId="3">
    <w:abstractNumId w:val="16"/>
  </w:num>
  <w:num w:numId="4">
    <w:abstractNumId w:val="14"/>
  </w:num>
  <w:num w:numId="5">
    <w:abstractNumId w:val="13"/>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20"/>
  </w:num>
  <w:num w:numId="19">
    <w:abstractNumId w:val="20"/>
    <w:lvlOverride w:ilvl="0">
      <w:lvl w:ilvl="0">
        <w:start w:val="1"/>
        <w:numFmt w:val="upperRoman"/>
        <w:lvlRestart w:val="0"/>
        <w:pStyle w:val="LegalCombo1"/>
        <w:lvlText w:val="SECTION %1."/>
        <w:lvlJc w:val="left"/>
        <w:pPr>
          <w:tabs>
            <w:tab w:val="num" w:pos="1800"/>
          </w:tabs>
          <w:ind w:left="1800" w:hanging="1800"/>
        </w:pPr>
        <w:rPr>
          <w:rFonts w:hint="default"/>
          <w:b/>
          <w:sz w:val="22"/>
        </w:rPr>
      </w:lvl>
    </w:lvlOverride>
    <w:lvlOverride w:ilvl="1">
      <w:lvl w:ilvl="1">
        <w:start w:val="1"/>
        <w:numFmt w:val="decimal"/>
        <w:pStyle w:val="LegalCombo2"/>
        <w:lvlText w:val="%2."/>
        <w:lvlJc w:val="left"/>
        <w:pPr>
          <w:tabs>
            <w:tab w:val="num" w:pos="720"/>
          </w:tabs>
          <w:ind w:left="720" w:hanging="720"/>
        </w:pPr>
        <w:rPr>
          <w:rFonts w:hint="default"/>
          <w:b/>
          <w:i w:val="0"/>
        </w:rPr>
      </w:lvl>
    </w:lvlOverride>
    <w:lvlOverride w:ilvl="2">
      <w:lvl w:ilvl="2">
        <w:start w:val="1"/>
        <w:numFmt w:val="decimal"/>
        <w:pStyle w:val="LegalCombo3"/>
        <w:lvlText w:val="%2.%3"/>
        <w:lvlJc w:val="left"/>
        <w:pPr>
          <w:tabs>
            <w:tab w:val="num" w:pos="720"/>
          </w:tabs>
          <w:ind w:left="720" w:hanging="720"/>
        </w:pPr>
        <w:rPr>
          <w:rFonts w:hint="default"/>
        </w:rPr>
      </w:lvl>
    </w:lvlOverride>
    <w:lvlOverride w:ilvl="3">
      <w:lvl w:ilvl="3">
        <w:start w:val="1"/>
        <w:numFmt w:val="decimal"/>
        <w:pStyle w:val="LegalCombo4"/>
        <w:lvlText w:val="%2.%3.%4"/>
        <w:lvlJc w:val="left"/>
        <w:pPr>
          <w:tabs>
            <w:tab w:val="num" w:pos="720"/>
          </w:tabs>
          <w:ind w:left="720" w:hanging="720"/>
        </w:pPr>
        <w:rPr>
          <w:rFonts w:hint="default"/>
          <w:b w:val="0"/>
        </w:rPr>
      </w:lvl>
    </w:lvlOverride>
    <w:lvlOverride w:ilvl="4">
      <w:lvl w:ilvl="4">
        <w:start w:val="1"/>
        <w:numFmt w:val="lowerLetter"/>
        <w:pStyle w:val="LegalCombo5"/>
        <w:lvlText w:val="(%5)"/>
        <w:lvlJc w:val="left"/>
        <w:pPr>
          <w:tabs>
            <w:tab w:val="num" w:pos="1800"/>
          </w:tabs>
          <w:ind w:left="1800" w:hanging="720"/>
        </w:pPr>
        <w:rPr>
          <w:rFonts w:hint="default"/>
        </w:rPr>
      </w:lvl>
    </w:lvlOverride>
    <w:lvlOverride w:ilvl="5">
      <w:lvl w:ilvl="5">
        <w:start w:val="1"/>
        <w:numFmt w:val="lowerRoman"/>
        <w:pStyle w:val="LegalCombo6"/>
        <w:lvlText w:val="(%6)"/>
        <w:lvlJc w:val="left"/>
        <w:pPr>
          <w:tabs>
            <w:tab w:val="num" w:pos="2520"/>
          </w:tabs>
          <w:ind w:left="2520" w:hanging="720"/>
        </w:pPr>
        <w:rPr>
          <w:rFonts w:hint="default"/>
        </w:rPr>
      </w:lvl>
    </w:lvlOverride>
    <w:lvlOverride w:ilvl="6">
      <w:lvl w:ilvl="6">
        <w:start w:val="1"/>
        <w:numFmt w:val="upperLetter"/>
        <w:pStyle w:val="LegalCombo7"/>
        <w:lvlText w:val="(%7)"/>
        <w:lvlJc w:val="left"/>
        <w:pPr>
          <w:tabs>
            <w:tab w:val="num" w:pos="3600"/>
          </w:tabs>
          <w:ind w:left="3600" w:hanging="720"/>
        </w:pPr>
        <w:rPr>
          <w:rFonts w:hint="default"/>
        </w:rPr>
      </w:lvl>
    </w:lvlOverride>
    <w:lvlOverride w:ilvl="7">
      <w:lvl w:ilvl="7">
        <w:start w:val="24"/>
        <w:numFmt w:val="lowerLetter"/>
        <w:lvlRestart w:val="3"/>
        <w:pStyle w:val="LegalCombo8"/>
        <w:lvlText w:val="(%8)"/>
        <w:lvlJc w:val="left"/>
        <w:pPr>
          <w:tabs>
            <w:tab w:val="num" w:pos="1440"/>
          </w:tabs>
          <w:ind w:left="1440" w:hanging="720"/>
        </w:pPr>
        <w:rPr>
          <w:rFonts w:hint="default"/>
        </w:rPr>
      </w:lvl>
    </w:lvlOverride>
    <w:lvlOverride w:ilvl="8">
      <w:lvl w:ilvl="8">
        <w:start w:val="1"/>
        <w:numFmt w:val="bullet"/>
        <w:lvlRestart w:val="0"/>
        <w:pStyle w:val="LegalCombo9"/>
        <w:lvlText w:val=""/>
        <w:lvlJc w:val="left"/>
        <w:pPr>
          <w:tabs>
            <w:tab w:val="num" w:pos="1800"/>
          </w:tabs>
          <w:ind w:left="1800" w:hanging="360"/>
        </w:pPr>
        <w:rPr>
          <w:rFonts w:ascii="Symbol" w:hAnsi="Symbol" w:hint="default"/>
        </w:rPr>
      </w:lvl>
    </w:lvlOverride>
  </w:num>
  <w:num w:numId="20">
    <w:abstractNumId w:val="2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4"/>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4"/>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4"/>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4"/>
    </w:lvlOverride>
    <w:lvlOverride w:ilvl="8">
      <w:startOverride w:val="1"/>
    </w:lvlOverride>
  </w:num>
  <w:num w:numId="25">
    <w:abstractNumId w:val="20"/>
    <w:lvlOverride w:ilvl="2">
      <w:lvl w:ilvl="2">
        <w:start w:val="1"/>
        <w:numFmt w:val="decimal"/>
        <w:pStyle w:val="LegalCombo3"/>
        <w:lvlText w:val="%2.%3"/>
        <w:lvlJc w:val="left"/>
        <w:pPr>
          <w:tabs>
            <w:tab w:val="num" w:pos="720"/>
          </w:tabs>
          <w:ind w:left="720" w:hanging="720"/>
        </w:pPr>
        <w:rPr>
          <w:rFonts w:hint="default"/>
          <w:b w:val="0"/>
        </w:rPr>
      </w:lvl>
    </w:lvlOverride>
  </w:num>
  <w:num w:numId="26">
    <w:abstractNumId w:val="15"/>
  </w:num>
  <w:num w:numId="27">
    <w:abstractNumId w:val="20"/>
    <w:lvlOverride w:ilvl="0">
      <w:startOverride w:val="1"/>
      <w:lvl w:ilvl="0">
        <w:start w:val="1"/>
        <w:numFmt w:val="decimal"/>
        <w:pStyle w:val="LegalCombo1"/>
        <w:lvlText w:val=""/>
        <w:lvlJc w:val="left"/>
      </w:lvl>
    </w:lvlOverride>
    <w:lvlOverride w:ilvl="1">
      <w:startOverride w:val="1"/>
      <w:lvl w:ilvl="1">
        <w:start w:val="1"/>
        <w:numFmt w:val="decimal"/>
        <w:pStyle w:val="LegalCombo2"/>
        <w:lvlText w:val=""/>
        <w:lvlJc w:val="left"/>
      </w:lvl>
    </w:lvlOverride>
    <w:lvlOverride w:ilvl="2">
      <w:startOverride w:val="1"/>
      <w:lvl w:ilvl="2">
        <w:start w:val="1"/>
        <w:numFmt w:val="decimal"/>
        <w:pStyle w:val="LegalCombo3"/>
        <w:lvlText w:val="%2.%3"/>
        <w:lvlJc w:val="left"/>
        <w:pPr>
          <w:tabs>
            <w:tab w:val="num" w:pos="720"/>
          </w:tabs>
          <w:ind w:left="720" w:hanging="720"/>
        </w:pPr>
        <w:rPr>
          <w:rFonts w:hint="default"/>
          <w:b/>
        </w:rPr>
      </w:lvl>
    </w:lvlOverride>
    <w:lvlOverride w:ilvl="3">
      <w:startOverride w:val="1"/>
      <w:lvl w:ilvl="3">
        <w:start w:val="1"/>
        <w:numFmt w:val="decimal"/>
        <w:pStyle w:val="LegalCombo4"/>
        <w:lvlText w:val="%2.%3.%4"/>
        <w:lvlJc w:val="left"/>
        <w:pPr>
          <w:tabs>
            <w:tab w:val="num" w:pos="720"/>
          </w:tabs>
          <w:ind w:left="720" w:hanging="720"/>
        </w:pPr>
        <w:rPr>
          <w:rFonts w:hint="default"/>
          <w:b w:val="0"/>
        </w:rPr>
      </w:lvl>
    </w:lvlOverride>
    <w:lvlOverride w:ilvl="4">
      <w:startOverride w:val="1"/>
      <w:lvl w:ilvl="4">
        <w:start w:val="1"/>
        <w:numFmt w:val="decimal"/>
        <w:pStyle w:val="LegalCombo5"/>
        <w:lvlText w:val=""/>
        <w:lvlJc w:val="left"/>
      </w:lvl>
    </w:lvlOverride>
    <w:lvlOverride w:ilvl="5">
      <w:startOverride w:val="1"/>
      <w:lvl w:ilvl="5">
        <w:start w:val="1"/>
        <w:numFmt w:val="decimal"/>
        <w:pStyle w:val="LegalCombo6"/>
        <w:lvlText w:val=""/>
        <w:lvlJc w:val="left"/>
      </w:lvl>
    </w:lvlOverride>
    <w:lvlOverride w:ilvl="6">
      <w:startOverride w:val="1"/>
      <w:lvl w:ilvl="6">
        <w:start w:val="1"/>
        <w:numFmt w:val="decimal"/>
        <w:pStyle w:val="LegalCombo7"/>
        <w:lvlText w:val=""/>
        <w:lvlJc w:val="left"/>
      </w:lvl>
    </w:lvlOverride>
    <w:lvlOverride w:ilvl="7">
      <w:startOverride w:val="24"/>
      <w:lvl w:ilvl="7">
        <w:start w:val="24"/>
        <w:numFmt w:val="decimal"/>
        <w:pStyle w:val="LegalCombo8"/>
        <w:lvlText w:val=""/>
        <w:lvlJc w:val="left"/>
      </w:lvl>
    </w:lvlOverride>
    <w:lvlOverride w:ilvl="8">
      <w:startOverride w:val="1"/>
      <w:lvl w:ilvl="8">
        <w:start w:val="1"/>
        <w:numFmt w:val="decimal"/>
        <w:pStyle w:val="LegalCombo9"/>
        <w:lvlText w:val=""/>
        <w:lvlJc w:val="left"/>
      </w:lvl>
    </w:lvlOverride>
  </w:num>
  <w:num w:numId="28">
    <w:abstractNumId w:val="20"/>
    <w:lvlOverride w:ilvl="0">
      <w:startOverride w:val="1"/>
      <w:lvl w:ilvl="0">
        <w:start w:val="1"/>
        <w:numFmt w:val="decimal"/>
        <w:pStyle w:val="LegalCombo1"/>
        <w:lvlText w:val=""/>
        <w:lvlJc w:val="left"/>
      </w:lvl>
    </w:lvlOverride>
    <w:lvlOverride w:ilvl="1">
      <w:startOverride w:val="1"/>
      <w:lvl w:ilvl="1">
        <w:start w:val="1"/>
        <w:numFmt w:val="decimal"/>
        <w:pStyle w:val="LegalCombo2"/>
        <w:lvlText w:val=""/>
        <w:lvlJc w:val="left"/>
      </w:lvl>
    </w:lvlOverride>
    <w:lvlOverride w:ilvl="2">
      <w:startOverride w:val="1"/>
      <w:lvl w:ilvl="2">
        <w:start w:val="1"/>
        <w:numFmt w:val="decimal"/>
        <w:pStyle w:val="LegalCombo3"/>
        <w:lvlText w:val="%2.%3"/>
        <w:lvlJc w:val="left"/>
        <w:pPr>
          <w:tabs>
            <w:tab w:val="num" w:pos="720"/>
          </w:tabs>
          <w:ind w:left="720" w:hanging="720"/>
        </w:pPr>
        <w:rPr>
          <w:rFonts w:hint="default"/>
          <w:b/>
        </w:rPr>
      </w:lvl>
    </w:lvlOverride>
    <w:lvlOverride w:ilvl="3">
      <w:startOverride w:val="1"/>
      <w:lvl w:ilvl="3">
        <w:start w:val="1"/>
        <w:numFmt w:val="decimal"/>
        <w:pStyle w:val="LegalCombo4"/>
        <w:lvlText w:val="%2.%3.%4"/>
        <w:lvlJc w:val="left"/>
        <w:pPr>
          <w:tabs>
            <w:tab w:val="num" w:pos="720"/>
          </w:tabs>
          <w:ind w:left="720" w:hanging="720"/>
        </w:pPr>
        <w:rPr>
          <w:rFonts w:hint="default"/>
          <w:b w:val="0"/>
        </w:rPr>
      </w:lvl>
    </w:lvlOverride>
    <w:lvlOverride w:ilvl="4">
      <w:startOverride w:val="1"/>
      <w:lvl w:ilvl="4">
        <w:start w:val="1"/>
        <w:numFmt w:val="decimal"/>
        <w:pStyle w:val="LegalCombo5"/>
        <w:lvlText w:val=""/>
        <w:lvlJc w:val="left"/>
      </w:lvl>
    </w:lvlOverride>
    <w:lvlOverride w:ilvl="5">
      <w:startOverride w:val="1"/>
      <w:lvl w:ilvl="5">
        <w:start w:val="1"/>
        <w:numFmt w:val="decimal"/>
        <w:pStyle w:val="LegalCombo6"/>
        <w:lvlText w:val=""/>
        <w:lvlJc w:val="left"/>
      </w:lvl>
    </w:lvlOverride>
    <w:lvlOverride w:ilvl="6">
      <w:startOverride w:val="1"/>
      <w:lvl w:ilvl="6">
        <w:start w:val="1"/>
        <w:numFmt w:val="decimal"/>
        <w:pStyle w:val="LegalCombo7"/>
        <w:lvlText w:val=""/>
        <w:lvlJc w:val="left"/>
      </w:lvl>
    </w:lvlOverride>
    <w:lvlOverride w:ilvl="7">
      <w:startOverride w:val="24"/>
      <w:lvl w:ilvl="7">
        <w:start w:val="24"/>
        <w:numFmt w:val="decimal"/>
        <w:pStyle w:val="LegalCombo8"/>
        <w:lvlText w:val=""/>
        <w:lvlJc w:val="left"/>
      </w:lvl>
    </w:lvlOverride>
    <w:lvlOverride w:ilvl="8">
      <w:startOverride w:val="1"/>
      <w:lvl w:ilvl="8">
        <w:start w:val="1"/>
        <w:numFmt w:val="decimal"/>
        <w:pStyle w:val="LegalCombo9"/>
        <w:lvlText w:val=""/>
        <w:lvlJc w:val="left"/>
      </w:lvl>
    </w:lvlOverride>
  </w:num>
  <w:num w:numId="29">
    <w:abstractNumId w:val="20"/>
    <w:lvlOverride w:ilvl="2">
      <w:lvl w:ilvl="2">
        <w:start w:val="1"/>
        <w:numFmt w:val="decimal"/>
        <w:pStyle w:val="LegalCombo3"/>
        <w:lvlText w:val="%2.%3"/>
        <w:lvlJc w:val="left"/>
        <w:pPr>
          <w:tabs>
            <w:tab w:val="num" w:pos="720"/>
          </w:tabs>
          <w:ind w:left="720" w:hanging="720"/>
        </w:pPr>
        <w:rPr>
          <w:rFonts w:hint="default"/>
          <w:b/>
        </w:rPr>
      </w:lvl>
    </w:lvlOverride>
    <w:lvlOverride w:ilvl="3">
      <w:lvl w:ilvl="3">
        <w:start w:val="1"/>
        <w:numFmt w:val="decimal"/>
        <w:pStyle w:val="LegalCombo4"/>
        <w:lvlText w:val="%2.%3.%4"/>
        <w:lvlJc w:val="left"/>
        <w:pPr>
          <w:tabs>
            <w:tab w:val="num" w:pos="720"/>
          </w:tabs>
          <w:ind w:left="720" w:hanging="720"/>
        </w:pPr>
        <w:rPr>
          <w:rFonts w:hint="default"/>
          <w:b w:val="0"/>
        </w:rPr>
      </w:lvl>
    </w:lvlOverride>
  </w:num>
  <w:num w:numId="30">
    <w:abstractNumId w:val="21"/>
  </w:num>
  <w:num w:numId="31">
    <w:abstractNumId w:val="20"/>
    <w:lvlOverride w:ilvl="0">
      <w:startOverride w:val="1"/>
      <w:lvl w:ilvl="0">
        <w:start w:val="1"/>
        <w:numFmt w:val="upperRoman"/>
        <w:lvlRestart w:val="0"/>
        <w:pStyle w:val="LegalCombo1"/>
        <w:lvlText w:val="SECTION %1."/>
        <w:lvlJc w:val="left"/>
        <w:pPr>
          <w:tabs>
            <w:tab w:val="num" w:pos="1800"/>
          </w:tabs>
          <w:ind w:left="1800" w:hanging="1800"/>
        </w:pPr>
        <w:rPr>
          <w:rFonts w:hint="default"/>
          <w:b/>
          <w:sz w:val="22"/>
        </w:rPr>
      </w:lvl>
    </w:lvlOverride>
    <w:lvlOverride w:ilvl="1">
      <w:startOverride w:val="1"/>
      <w:lvl w:ilvl="1">
        <w:start w:val="1"/>
        <w:numFmt w:val="decimal"/>
        <w:pStyle w:val="LegalCombo2"/>
        <w:lvlText w:val="%2."/>
        <w:lvlJc w:val="left"/>
        <w:pPr>
          <w:tabs>
            <w:tab w:val="num" w:pos="720"/>
          </w:tabs>
          <w:ind w:left="720" w:hanging="720"/>
        </w:pPr>
        <w:rPr>
          <w:rFonts w:hint="default"/>
          <w:b/>
          <w:i w:val="0"/>
        </w:rPr>
      </w:lvl>
    </w:lvlOverride>
    <w:lvlOverride w:ilvl="2">
      <w:startOverride w:val="1"/>
      <w:lvl w:ilvl="2">
        <w:start w:val="1"/>
        <w:numFmt w:val="decimal"/>
        <w:pStyle w:val="LegalCombo3"/>
        <w:lvlText w:val="%2.%3"/>
        <w:lvlJc w:val="left"/>
        <w:pPr>
          <w:tabs>
            <w:tab w:val="num" w:pos="720"/>
          </w:tabs>
          <w:ind w:left="720" w:hanging="720"/>
        </w:pPr>
        <w:rPr>
          <w:rFonts w:hint="default"/>
        </w:rPr>
      </w:lvl>
    </w:lvlOverride>
    <w:lvlOverride w:ilvl="3">
      <w:startOverride w:val="1"/>
      <w:lvl w:ilvl="3">
        <w:start w:val="1"/>
        <w:numFmt w:val="decimal"/>
        <w:pStyle w:val="LegalCombo4"/>
        <w:lvlText w:val="%2.%3.%4"/>
        <w:lvlJc w:val="left"/>
        <w:pPr>
          <w:tabs>
            <w:tab w:val="num" w:pos="720"/>
          </w:tabs>
          <w:ind w:left="720" w:hanging="720"/>
        </w:pPr>
        <w:rPr>
          <w:rFonts w:hint="default"/>
        </w:rPr>
      </w:lvl>
    </w:lvlOverride>
    <w:lvlOverride w:ilvl="4">
      <w:startOverride w:val="1"/>
      <w:lvl w:ilvl="4">
        <w:start w:val="1"/>
        <w:numFmt w:val="lowerLetter"/>
        <w:pStyle w:val="LegalCombo5"/>
        <w:lvlText w:val="(%5)"/>
        <w:lvlJc w:val="left"/>
        <w:pPr>
          <w:tabs>
            <w:tab w:val="num" w:pos="1800"/>
          </w:tabs>
          <w:ind w:left="1800" w:hanging="720"/>
        </w:pPr>
        <w:rPr>
          <w:rFonts w:hint="default"/>
        </w:rPr>
      </w:lvl>
    </w:lvlOverride>
    <w:lvlOverride w:ilvl="5">
      <w:startOverride w:val="1"/>
      <w:lvl w:ilvl="5">
        <w:start w:val="1"/>
        <w:numFmt w:val="lowerRoman"/>
        <w:pStyle w:val="LegalCombo6"/>
        <w:lvlText w:val="(%6)"/>
        <w:lvlJc w:val="left"/>
        <w:pPr>
          <w:tabs>
            <w:tab w:val="num" w:pos="2520"/>
          </w:tabs>
          <w:ind w:left="2520" w:hanging="720"/>
        </w:pPr>
        <w:rPr>
          <w:rFonts w:hint="default"/>
        </w:rPr>
      </w:lvl>
    </w:lvlOverride>
    <w:lvlOverride w:ilvl="6">
      <w:startOverride w:val="1"/>
      <w:lvl w:ilvl="6">
        <w:start w:val="1"/>
        <w:numFmt w:val="upperLetter"/>
        <w:pStyle w:val="LegalCombo7"/>
        <w:lvlText w:val="(%7)"/>
        <w:lvlJc w:val="left"/>
        <w:pPr>
          <w:tabs>
            <w:tab w:val="num" w:pos="3600"/>
          </w:tabs>
          <w:ind w:left="3600" w:hanging="720"/>
        </w:pPr>
        <w:rPr>
          <w:rFonts w:hint="default"/>
        </w:rPr>
      </w:lvl>
    </w:lvlOverride>
    <w:lvlOverride w:ilvl="7">
      <w:startOverride w:val="24"/>
      <w:lvl w:ilvl="7">
        <w:start w:val="24"/>
        <w:numFmt w:val="lowerLetter"/>
        <w:lvlRestart w:val="3"/>
        <w:pStyle w:val="LegalCombo8"/>
        <w:lvlText w:val="(%8)"/>
        <w:lvlJc w:val="left"/>
        <w:pPr>
          <w:tabs>
            <w:tab w:val="num" w:pos="1440"/>
          </w:tabs>
          <w:ind w:left="1440" w:hanging="720"/>
        </w:pPr>
        <w:rPr>
          <w:rFonts w:hint="default"/>
        </w:rPr>
      </w:lvl>
    </w:lvlOverride>
    <w:lvlOverride w:ilvl="8">
      <w:startOverride w:val="1"/>
      <w:lvl w:ilvl="8">
        <w:start w:val="1"/>
        <w:numFmt w:val="bullet"/>
        <w:lvlRestart w:val="0"/>
        <w:pStyle w:val="LegalCombo9"/>
        <w:lvlText w:val=""/>
        <w:lvlJc w:val="left"/>
        <w:pPr>
          <w:tabs>
            <w:tab w:val="num" w:pos="1800"/>
          </w:tabs>
          <w:ind w:left="1800" w:hanging="360"/>
        </w:pPr>
        <w:rPr>
          <w:rFonts w:ascii="Symbol" w:hAnsi="Symbol"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zh-CN" w:vendorID="64" w:dllVersion="5"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fr-CH" w:vendorID="64" w:dllVersion="4096" w:nlCheck="1" w:checkStyle="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Pr>
  <w:compat>
    <w:doNotExpandShiftReturn/>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1C"/>
    <w:rsid w:val="0000274C"/>
    <w:rsid w:val="00003159"/>
    <w:rsid w:val="00003E2B"/>
    <w:rsid w:val="00007D20"/>
    <w:rsid w:val="0001260D"/>
    <w:rsid w:val="00012BF1"/>
    <w:rsid w:val="0001305C"/>
    <w:rsid w:val="00016418"/>
    <w:rsid w:val="00016605"/>
    <w:rsid w:val="00017651"/>
    <w:rsid w:val="00020468"/>
    <w:rsid w:val="000218BF"/>
    <w:rsid w:val="000222B1"/>
    <w:rsid w:val="0002487F"/>
    <w:rsid w:val="000264AD"/>
    <w:rsid w:val="0002780B"/>
    <w:rsid w:val="00027A8D"/>
    <w:rsid w:val="00030945"/>
    <w:rsid w:val="00030AB4"/>
    <w:rsid w:val="0003167E"/>
    <w:rsid w:val="0003213E"/>
    <w:rsid w:val="00032CED"/>
    <w:rsid w:val="000330BF"/>
    <w:rsid w:val="000330EC"/>
    <w:rsid w:val="0003532A"/>
    <w:rsid w:val="00035A4B"/>
    <w:rsid w:val="00036ABC"/>
    <w:rsid w:val="00040769"/>
    <w:rsid w:val="00040B9D"/>
    <w:rsid w:val="00040D0F"/>
    <w:rsid w:val="000422C6"/>
    <w:rsid w:val="00042366"/>
    <w:rsid w:val="00042C8A"/>
    <w:rsid w:val="00042E1A"/>
    <w:rsid w:val="00042E7C"/>
    <w:rsid w:val="0004339D"/>
    <w:rsid w:val="000466C1"/>
    <w:rsid w:val="00051C32"/>
    <w:rsid w:val="000524D9"/>
    <w:rsid w:val="00054E55"/>
    <w:rsid w:val="00055B5A"/>
    <w:rsid w:val="000561B4"/>
    <w:rsid w:val="00056D1C"/>
    <w:rsid w:val="00057CD2"/>
    <w:rsid w:val="00057DDF"/>
    <w:rsid w:val="000613B0"/>
    <w:rsid w:val="00062145"/>
    <w:rsid w:val="000623F4"/>
    <w:rsid w:val="00062D49"/>
    <w:rsid w:val="00063249"/>
    <w:rsid w:val="0006442F"/>
    <w:rsid w:val="00066203"/>
    <w:rsid w:val="00067555"/>
    <w:rsid w:val="00070948"/>
    <w:rsid w:val="00071454"/>
    <w:rsid w:val="00072814"/>
    <w:rsid w:val="00072F5F"/>
    <w:rsid w:val="00073413"/>
    <w:rsid w:val="00074179"/>
    <w:rsid w:val="00074443"/>
    <w:rsid w:val="0007459E"/>
    <w:rsid w:val="0007794D"/>
    <w:rsid w:val="0008032C"/>
    <w:rsid w:val="00080E7D"/>
    <w:rsid w:val="000821FA"/>
    <w:rsid w:val="0008361D"/>
    <w:rsid w:val="0008474E"/>
    <w:rsid w:val="00084EA1"/>
    <w:rsid w:val="00084ED2"/>
    <w:rsid w:val="000852EC"/>
    <w:rsid w:val="00086BB4"/>
    <w:rsid w:val="000877D1"/>
    <w:rsid w:val="0009176D"/>
    <w:rsid w:val="00092738"/>
    <w:rsid w:val="0009336C"/>
    <w:rsid w:val="00094B2A"/>
    <w:rsid w:val="0009628A"/>
    <w:rsid w:val="000A09A8"/>
    <w:rsid w:val="000A334C"/>
    <w:rsid w:val="000A5468"/>
    <w:rsid w:val="000A5D9A"/>
    <w:rsid w:val="000A5F23"/>
    <w:rsid w:val="000A6C18"/>
    <w:rsid w:val="000A6F7C"/>
    <w:rsid w:val="000A796B"/>
    <w:rsid w:val="000B0153"/>
    <w:rsid w:val="000B2F8A"/>
    <w:rsid w:val="000B507A"/>
    <w:rsid w:val="000B6001"/>
    <w:rsid w:val="000C058A"/>
    <w:rsid w:val="000C112B"/>
    <w:rsid w:val="000C2394"/>
    <w:rsid w:val="000C2C77"/>
    <w:rsid w:val="000C3135"/>
    <w:rsid w:val="000C3684"/>
    <w:rsid w:val="000C5561"/>
    <w:rsid w:val="000C64E3"/>
    <w:rsid w:val="000C6BF1"/>
    <w:rsid w:val="000C6EA2"/>
    <w:rsid w:val="000D396C"/>
    <w:rsid w:val="000D3C20"/>
    <w:rsid w:val="000D5BCF"/>
    <w:rsid w:val="000D61B9"/>
    <w:rsid w:val="000D7F0E"/>
    <w:rsid w:val="000E1A61"/>
    <w:rsid w:val="000E2266"/>
    <w:rsid w:val="000E2583"/>
    <w:rsid w:val="000E25B8"/>
    <w:rsid w:val="000E3D2D"/>
    <w:rsid w:val="000E441C"/>
    <w:rsid w:val="000E45E2"/>
    <w:rsid w:val="000E5E4A"/>
    <w:rsid w:val="000E5FEF"/>
    <w:rsid w:val="000E62A9"/>
    <w:rsid w:val="000E7911"/>
    <w:rsid w:val="000F01AF"/>
    <w:rsid w:val="000F3716"/>
    <w:rsid w:val="000F401B"/>
    <w:rsid w:val="000F55A0"/>
    <w:rsid w:val="000F6397"/>
    <w:rsid w:val="000F65DF"/>
    <w:rsid w:val="000F6D7F"/>
    <w:rsid w:val="000F7651"/>
    <w:rsid w:val="00101645"/>
    <w:rsid w:val="00101870"/>
    <w:rsid w:val="00104951"/>
    <w:rsid w:val="00105D46"/>
    <w:rsid w:val="00107D0F"/>
    <w:rsid w:val="0011224A"/>
    <w:rsid w:val="0011246E"/>
    <w:rsid w:val="00114EAB"/>
    <w:rsid w:val="001155B8"/>
    <w:rsid w:val="0011593A"/>
    <w:rsid w:val="00116556"/>
    <w:rsid w:val="0011795F"/>
    <w:rsid w:val="001205D9"/>
    <w:rsid w:val="0012096E"/>
    <w:rsid w:val="00120B86"/>
    <w:rsid w:val="00122163"/>
    <w:rsid w:val="0012770F"/>
    <w:rsid w:val="00127CD7"/>
    <w:rsid w:val="00130808"/>
    <w:rsid w:val="0013169E"/>
    <w:rsid w:val="00131ACA"/>
    <w:rsid w:val="00132D04"/>
    <w:rsid w:val="001339AA"/>
    <w:rsid w:val="00133B71"/>
    <w:rsid w:val="00134220"/>
    <w:rsid w:val="001344B1"/>
    <w:rsid w:val="001352BF"/>
    <w:rsid w:val="001353C2"/>
    <w:rsid w:val="001363B5"/>
    <w:rsid w:val="0014068F"/>
    <w:rsid w:val="00141FF7"/>
    <w:rsid w:val="001431A6"/>
    <w:rsid w:val="00143310"/>
    <w:rsid w:val="00144C93"/>
    <w:rsid w:val="001464CB"/>
    <w:rsid w:val="001478EA"/>
    <w:rsid w:val="00147F2D"/>
    <w:rsid w:val="00150E04"/>
    <w:rsid w:val="0015126F"/>
    <w:rsid w:val="0015281C"/>
    <w:rsid w:val="00154AF9"/>
    <w:rsid w:val="00157C99"/>
    <w:rsid w:val="00160255"/>
    <w:rsid w:val="00161DB3"/>
    <w:rsid w:val="001622DD"/>
    <w:rsid w:val="00163923"/>
    <w:rsid w:val="00164285"/>
    <w:rsid w:val="00165BD2"/>
    <w:rsid w:val="0016790E"/>
    <w:rsid w:val="00167D92"/>
    <w:rsid w:val="0017115E"/>
    <w:rsid w:val="00173109"/>
    <w:rsid w:val="00173E35"/>
    <w:rsid w:val="0017620C"/>
    <w:rsid w:val="00176664"/>
    <w:rsid w:val="00180524"/>
    <w:rsid w:val="001816F9"/>
    <w:rsid w:val="00182706"/>
    <w:rsid w:val="00182C78"/>
    <w:rsid w:val="00183072"/>
    <w:rsid w:val="0018328E"/>
    <w:rsid w:val="00183ADF"/>
    <w:rsid w:val="00184280"/>
    <w:rsid w:val="00184A09"/>
    <w:rsid w:val="00185470"/>
    <w:rsid w:val="0018648B"/>
    <w:rsid w:val="001877C9"/>
    <w:rsid w:val="00187A85"/>
    <w:rsid w:val="001912C4"/>
    <w:rsid w:val="00191E6E"/>
    <w:rsid w:val="00194369"/>
    <w:rsid w:val="001943B9"/>
    <w:rsid w:val="00194C76"/>
    <w:rsid w:val="001951D8"/>
    <w:rsid w:val="0019589B"/>
    <w:rsid w:val="00195C9E"/>
    <w:rsid w:val="00196234"/>
    <w:rsid w:val="00196C86"/>
    <w:rsid w:val="001A07F6"/>
    <w:rsid w:val="001A2497"/>
    <w:rsid w:val="001A46A2"/>
    <w:rsid w:val="001A5773"/>
    <w:rsid w:val="001A5F1F"/>
    <w:rsid w:val="001A6409"/>
    <w:rsid w:val="001A65AB"/>
    <w:rsid w:val="001B0122"/>
    <w:rsid w:val="001B2447"/>
    <w:rsid w:val="001B38C8"/>
    <w:rsid w:val="001B4C1F"/>
    <w:rsid w:val="001B4C38"/>
    <w:rsid w:val="001C0028"/>
    <w:rsid w:val="001C18E2"/>
    <w:rsid w:val="001C2946"/>
    <w:rsid w:val="001C3446"/>
    <w:rsid w:val="001C3DD2"/>
    <w:rsid w:val="001C52BA"/>
    <w:rsid w:val="001C60C6"/>
    <w:rsid w:val="001D11B8"/>
    <w:rsid w:val="001D1FE3"/>
    <w:rsid w:val="001D2826"/>
    <w:rsid w:val="001D31DF"/>
    <w:rsid w:val="001D4CE1"/>
    <w:rsid w:val="001D5D4D"/>
    <w:rsid w:val="001E0396"/>
    <w:rsid w:val="001E0836"/>
    <w:rsid w:val="001E1ADB"/>
    <w:rsid w:val="001E33D9"/>
    <w:rsid w:val="001E5348"/>
    <w:rsid w:val="001E6776"/>
    <w:rsid w:val="001E7054"/>
    <w:rsid w:val="001F2725"/>
    <w:rsid w:val="001F419C"/>
    <w:rsid w:val="001F7174"/>
    <w:rsid w:val="001F7A39"/>
    <w:rsid w:val="0020030E"/>
    <w:rsid w:val="00200928"/>
    <w:rsid w:val="00200962"/>
    <w:rsid w:val="002009F1"/>
    <w:rsid w:val="002009F2"/>
    <w:rsid w:val="00201E4E"/>
    <w:rsid w:val="00202252"/>
    <w:rsid w:val="0020367B"/>
    <w:rsid w:val="00203E75"/>
    <w:rsid w:val="00204712"/>
    <w:rsid w:val="00205DF7"/>
    <w:rsid w:val="0020623E"/>
    <w:rsid w:val="00206EF3"/>
    <w:rsid w:val="00206FF1"/>
    <w:rsid w:val="0020704C"/>
    <w:rsid w:val="0020728B"/>
    <w:rsid w:val="002074A0"/>
    <w:rsid w:val="00210AA9"/>
    <w:rsid w:val="002125ED"/>
    <w:rsid w:val="00213735"/>
    <w:rsid w:val="00213737"/>
    <w:rsid w:val="00213B31"/>
    <w:rsid w:val="00216389"/>
    <w:rsid w:val="0022040A"/>
    <w:rsid w:val="0022307D"/>
    <w:rsid w:val="00223A86"/>
    <w:rsid w:val="00223EA8"/>
    <w:rsid w:val="0022477B"/>
    <w:rsid w:val="00224D37"/>
    <w:rsid w:val="00227BC3"/>
    <w:rsid w:val="00231551"/>
    <w:rsid w:val="002321C3"/>
    <w:rsid w:val="002327BB"/>
    <w:rsid w:val="0023390A"/>
    <w:rsid w:val="00234F0D"/>
    <w:rsid w:val="00236E78"/>
    <w:rsid w:val="002376B9"/>
    <w:rsid w:val="00243CDB"/>
    <w:rsid w:val="002441A9"/>
    <w:rsid w:val="002448CB"/>
    <w:rsid w:val="00245222"/>
    <w:rsid w:val="00245722"/>
    <w:rsid w:val="002457CA"/>
    <w:rsid w:val="00245BB6"/>
    <w:rsid w:val="00245C42"/>
    <w:rsid w:val="002461AE"/>
    <w:rsid w:val="0024627F"/>
    <w:rsid w:val="00247479"/>
    <w:rsid w:val="00247A7E"/>
    <w:rsid w:val="0025016D"/>
    <w:rsid w:val="00251A1C"/>
    <w:rsid w:val="002537CE"/>
    <w:rsid w:val="00256E47"/>
    <w:rsid w:val="00261A0E"/>
    <w:rsid w:val="00261DA4"/>
    <w:rsid w:val="002628A5"/>
    <w:rsid w:val="00266CBB"/>
    <w:rsid w:val="00270CBF"/>
    <w:rsid w:val="00271EDD"/>
    <w:rsid w:val="00272258"/>
    <w:rsid w:val="00273BD1"/>
    <w:rsid w:val="00274077"/>
    <w:rsid w:val="00274DEC"/>
    <w:rsid w:val="00274F37"/>
    <w:rsid w:val="0027511C"/>
    <w:rsid w:val="00275919"/>
    <w:rsid w:val="00275973"/>
    <w:rsid w:val="00276C2E"/>
    <w:rsid w:val="00276C7E"/>
    <w:rsid w:val="00283116"/>
    <w:rsid w:val="002877E6"/>
    <w:rsid w:val="00290028"/>
    <w:rsid w:val="00290DEF"/>
    <w:rsid w:val="00291865"/>
    <w:rsid w:val="00292992"/>
    <w:rsid w:val="0029333B"/>
    <w:rsid w:val="00293AA6"/>
    <w:rsid w:val="002942F9"/>
    <w:rsid w:val="00296A47"/>
    <w:rsid w:val="00297FDB"/>
    <w:rsid w:val="002A0FD0"/>
    <w:rsid w:val="002A104D"/>
    <w:rsid w:val="002A1793"/>
    <w:rsid w:val="002A20D0"/>
    <w:rsid w:val="002A2C9F"/>
    <w:rsid w:val="002A5C1B"/>
    <w:rsid w:val="002A6133"/>
    <w:rsid w:val="002A62F8"/>
    <w:rsid w:val="002A69D1"/>
    <w:rsid w:val="002A7B22"/>
    <w:rsid w:val="002B06F0"/>
    <w:rsid w:val="002B1956"/>
    <w:rsid w:val="002B2C2C"/>
    <w:rsid w:val="002B366F"/>
    <w:rsid w:val="002B3674"/>
    <w:rsid w:val="002B5EC6"/>
    <w:rsid w:val="002B6654"/>
    <w:rsid w:val="002C03D4"/>
    <w:rsid w:val="002C15F7"/>
    <w:rsid w:val="002C221E"/>
    <w:rsid w:val="002C38FA"/>
    <w:rsid w:val="002C68B6"/>
    <w:rsid w:val="002C6ABC"/>
    <w:rsid w:val="002C6EA5"/>
    <w:rsid w:val="002C7172"/>
    <w:rsid w:val="002D0E6B"/>
    <w:rsid w:val="002D1554"/>
    <w:rsid w:val="002D1CB2"/>
    <w:rsid w:val="002D269E"/>
    <w:rsid w:val="002D2B9A"/>
    <w:rsid w:val="002D2DBC"/>
    <w:rsid w:val="002D31F5"/>
    <w:rsid w:val="002D6ED2"/>
    <w:rsid w:val="002E149A"/>
    <w:rsid w:val="002E2076"/>
    <w:rsid w:val="002E2084"/>
    <w:rsid w:val="002E40BD"/>
    <w:rsid w:val="002E5273"/>
    <w:rsid w:val="002E54D5"/>
    <w:rsid w:val="002E5711"/>
    <w:rsid w:val="002E680F"/>
    <w:rsid w:val="002F21FB"/>
    <w:rsid w:val="002F3009"/>
    <w:rsid w:val="002F4CB8"/>
    <w:rsid w:val="002F58CA"/>
    <w:rsid w:val="002F621D"/>
    <w:rsid w:val="002F6D1B"/>
    <w:rsid w:val="002F7DE5"/>
    <w:rsid w:val="0030198F"/>
    <w:rsid w:val="00301DAC"/>
    <w:rsid w:val="003021D9"/>
    <w:rsid w:val="003029FD"/>
    <w:rsid w:val="0030354E"/>
    <w:rsid w:val="00303816"/>
    <w:rsid w:val="0030411F"/>
    <w:rsid w:val="003050BE"/>
    <w:rsid w:val="0030662E"/>
    <w:rsid w:val="00307094"/>
    <w:rsid w:val="00307C06"/>
    <w:rsid w:val="00310935"/>
    <w:rsid w:val="003112FA"/>
    <w:rsid w:val="00312AD2"/>
    <w:rsid w:val="00312EB0"/>
    <w:rsid w:val="00313FE1"/>
    <w:rsid w:val="003142DB"/>
    <w:rsid w:val="00316147"/>
    <w:rsid w:val="003165CC"/>
    <w:rsid w:val="00316F9D"/>
    <w:rsid w:val="00317545"/>
    <w:rsid w:val="003214F5"/>
    <w:rsid w:val="003217CD"/>
    <w:rsid w:val="00321A63"/>
    <w:rsid w:val="003229DA"/>
    <w:rsid w:val="00325FD0"/>
    <w:rsid w:val="00330739"/>
    <w:rsid w:val="00331871"/>
    <w:rsid w:val="00333249"/>
    <w:rsid w:val="003334AE"/>
    <w:rsid w:val="00334071"/>
    <w:rsid w:val="003347B8"/>
    <w:rsid w:val="003354B9"/>
    <w:rsid w:val="00335D26"/>
    <w:rsid w:val="00342397"/>
    <w:rsid w:val="003434DE"/>
    <w:rsid w:val="00344870"/>
    <w:rsid w:val="00345C54"/>
    <w:rsid w:val="00346473"/>
    <w:rsid w:val="003467F8"/>
    <w:rsid w:val="0034799A"/>
    <w:rsid w:val="0035130E"/>
    <w:rsid w:val="00352443"/>
    <w:rsid w:val="003612FF"/>
    <w:rsid w:val="00361EBE"/>
    <w:rsid w:val="00362C48"/>
    <w:rsid w:val="0036405C"/>
    <w:rsid w:val="0036514F"/>
    <w:rsid w:val="00365D7B"/>
    <w:rsid w:val="00367128"/>
    <w:rsid w:val="00367437"/>
    <w:rsid w:val="00367E5D"/>
    <w:rsid w:val="003703DB"/>
    <w:rsid w:val="0037607D"/>
    <w:rsid w:val="0037610B"/>
    <w:rsid w:val="00377035"/>
    <w:rsid w:val="00377B20"/>
    <w:rsid w:val="003849C1"/>
    <w:rsid w:val="0038661D"/>
    <w:rsid w:val="00387267"/>
    <w:rsid w:val="0038727D"/>
    <w:rsid w:val="00387AB0"/>
    <w:rsid w:val="0039261D"/>
    <w:rsid w:val="0039297B"/>
    <w:rsid w:val="0039415B"/>
    <w:rsid w:val="003950DD"/>
    <w:rsid w:val="003950E8"/>
    <w:rsid w:val="003951C6"/>
    <w:rsid w:val="00396928"/>
    <w:rsid w:val="00396D62"/>
    <w:rsid w:val="003973C4"/>
    <w:rsid w:val="003A05AC"/>
    <w:rsid w:val="003A15C8"/>
    <w:rsid w:val="003A1737"/>
    <w:rsid w:val="003A1E5C"/>
    <w:rsid w:val="003A24F9"/>
    <w:rsid w:val="003A2659"/>
    <w:rsid w:val="003A552C"/>
    <w:rsid w:val="003B1DCF"/>
    <w:rsid w:val="003B3517"/>
    <w:rsid w:val="003B586E"/>
    <w:rsid w:val="003B5C2B"/>
    <w:rsid w:val="003B7F62"/>
    <w:rsid w:val="003C0B9B"/>
    <w:rsid w:val="003C1C07"/>
    <w:rsid w:val="003C1FB0"/>
    <w:rsid w:val="003C372E"/>
    <w:rsid w:val="003C48F8"/>
    <w:rsid w:val="003C7FDB"/>
    <w:rsid w:val="003D370D"/>
    <w:rsid w:val="003D6505"/>
    <w:rsid w:val="003D73F4"/>
    <w:rsid w:val="003D7D92"/>
    <w:rsid w:val="003E1373"/>
    <w:rsid w:val="003E22D7"/>
    <w:rsid w:val="003E2332"/>
    <w:rsid w:val="003E4C35"/>
    <w:rsid w:val="003E68C2"/>
    <w:rsid w:val="003E76C9"/>
    <w:rsid w:val="003F0FF6"/>
    <w:rsid w:val="003F15C1"/>
    <w:rsid w:val="003F2660"/>
    <w:rsid w:val="003F32DA"/>
    <w:rsid w:val="003F3F4B"/>
    <w:rsid w:val="003F58CB"/>
    <w:rsid w:val="003F6912"/>
    <w:rsid w:val="00400D6A"/>
    <w:rsid w:val="00403D41"/>
    <w:rsid w:val="00404114"/>
    <w:rsid w:val="00404865"/>
    <w:rsid w:val="00405D46"/>
    <w:rsid w:val="004068DC"/>
    <w:rsid w:val="00407168"/>
    <w:rsid w:val="00411231"/>
    <w:rsid w:val="00412C25"/>
    <w:rsid w:val="00413280"/>
    <w:rsid w:val="00413919"/>
    <w:rsid w:val="004140A2"/>
    <w:rsid w:val="0041456C"/>
    <w:rsid w:val="00420397"/>
    <w:rsid w:val="004210F8"/>
    <w:rsid w:val="00421A35"/>
    <w:rsid w:val="00421CEB"/>
    <w:rsid w:val="00422BEE"/>
    <w:rsid w:val="00423366"/>
    <w:rsid w:val="00423A22"/>
    <w:rsid w:val="00423ECB"/>
    <w:rsid w:val="004245A3"/>
    <w:rsid w:val="00424A1D"/>
    <w:rsid w:val="00425B06"/>
    <w:rsid w:val="00425E87"/>
    <w:rsid w:val="0042754A"/>
    <w:rsid w:val="004279C9"/>
    <w:rsid w:val="0043098A"/>
    <w:rsid w:val="00431EB4"/>
    <w:rsid w:val="00431EDC"/>
    <w:rsid w:val="004327B1"/>
    <w:rsid w:val="00433A6F"/>
    <w:rsid w:val="0043468C"/>
    <w:rsid w:val="004357A6"/>
    <w:rsid w:val="004419B0"/>
    <w:rsid w:val="00441F74"/>
    <w:rsid w:val="00444303"/>
    <w:rsid w:val="00444956"/>
    <w:rsid w:val="0044570D"/>
    <w:rsid w:val="0044606D"/>
    <w:rsid w:val="00446822"/>
    <w:rsid w:val="00450CA1"/>
    <w:rsid w:val="0045298B"/>
    <w:rsid w:val="00453B83"/>
    <w:rsid w:val="00456A2E"/>
    <w:rsid w:val="00460B0F"/>
    <w:rsid w:val="00461154"/>
    <w:rsid w:val="004614FA"/>
    <w:rsid w:val="0046301C"/>
    <w:rsid w:val="00463583"/>
    <w:rsid w:val="004652AE"/>
    <w:rsid w:val="004660F4"/>
    <w:rsid w:val="0046620C"/>
    <w:rsid w:val="00467C7A"/>
    <w:rsid w:val="00471FCE"/>
    <w:rsid w:val="00472BD8"/>
    <w:rsid w:val="00472F39"/>
    <w:rsid w:val="00473ABE"/>
    <w:rsid w:val="00474CB0"/>
    <w:rsid w:val="00477162"/>
    <w:rsid w:val="00477352"/>
    <w:rsid w:val="00484137"/>
    <w:rsid w:val="00484E42"/>
    <w:rsid w:val="004854FC"/>
    <w:rsid w:val="0048584E"/>
    <w:rsid w:val="004864B1"/>
    <w:rsid w:val="00487EFC"/>
    <w:rsid w:val="00491692"/>
    <w:rsid w:val="00492E67"/>
    <w:rsid w:val="00493389"/>
    <w:rsid w:val="00493BC6"/>
    <w:rsid w:val="0049631C"/>
    <w:rsid w:val="00496A0E"/>
    <w:rsid w:val="004A0BA7"/>
    <w:rsid w:val="004A0DBD"/>
    <w:rsid w:val="004A1CC1"/>
    <w:rsid w:val="004A1D68"/>
    <w:rsid w:val="004A2A90"/>
    <w:rsid w:val="004A422F"/>
    <w:rsid w:val="004A4FA3"/>
    <w:rsid w:val="004A5C88"/>
    <w:rsid w:val="004A7B63"/>
    <w:rsid w:val="004B1FCA"/>
    <w:rsid w:val="004B391F"/>
    <w:rsid w:val="004B57C4"/>
    <w:rsid w:val="004B6300"/>
    <w:rsid w:val="004B6F56"/>
    <w:rsid w:val="004B709D"/>
    <w:rsid w:val="004C0B7F"/>
    <w:rsid w:val="004C0CA2"/>
    <w:rsid w:val="004C1890"/>
    <w:rsid w:val="004C1B2C"/>
    <w:rsid w:val="004C31B3"/>
    <w:rsid w:val="004C596A"/>
    <w:rsid w:val="004C5DDF"/>
    <w:rsid w:val="004C6A4C"/>
    <w:rsid w:val="004C6BAF"/>
    <w:rsid w:val="004D0006"/>
    <w:rsid w:val="004D0911"/>
    <w:rsid w:val="004D30E4"/>
    <w:rsid w:val="004D345E"/>
    <w:rsid w:val="004D39A9"/>
    <w:rsid w:val="004D3FD2"/>
    <w:rsid w:val="004D54A4"/>
    <w:rsid w:val="004D55A7"/>
    <w:rsid w:val="004D5734"/>
    <w:rsid w:val="004D5A74"/>
    <w:rsid w:val="004D5B97"/>
    <w:rsid w:val="004D6D55"/>
    <w:rsid w:val="004D7AF4"/>
    <w:rsid w:val="004E0571"/>
    <w:rsid w:val="004E4F98"/>
    <w:rsid w:val="004E54D0"/>
    <w:rsid w:val="004E69D2"/>
    <w:rsid w:val="004E7005"/>
    <w:rsid w:val="004E7701"/>
    <w:rsid w:val="004F1BD1"/>
    <w:rsid w:val="004F285F"/>
    <w:rsid w:val="004F2997"/>
    <w:rsid w:val="004F2CE3"/>
    <w:rsid w:val="004F7EDC"/>
    <w:rsid w:val="005001A8"/>
    <w:rsid w:val="00500615"/>
    <w:rsid w:val="00502ADF"/>
    <w:rsid w:val="00503E2D"/>
    <w:rsid w:val="00505783"/>
    <w:rsid w:val="00506182"/>
    <w:rsid w:val="005073BE"/>
    <w:rsid w:val="005076E5"/>
    <w:rsid w:val="005102FD"/>
    <w:rsid w:val="00511AC2"/>
    <w:rsid w:val="00511D78"/>
    <w:rsid w:val="00512BEA"/>
    <w:rsid w:val="00513021"/>
    <w:rsid w:val="00513898"/>
    <w:rsid w:val="00513DFC"/>
    <w:rsid w:val="0051447A"/>
    <w:rsid w:val="005146C8"/>
    <w:rsid w:val="00516507"/>
    <w:rsid w:val="00517F56"/>
    <w:rsid w:val="00520511"/>
    <w:rsid w:val="00522E6C"/>
    <w:rsid w:val="0052379A"/>
    <w:rsid w:val="005257DB"/>
    <w:rsid w:val="005271E1"/>
    <w:rsid w:val="00536059"/>
    <w:rsid w:val="00536588"/>
    <w:rsid w:val="00536A01"/>
    <w:rsid w:val="00536D69"/>
    <w:rsid w:val="00537A03"/>
    <w:rsid w:val="00540B43"/>
    <w:rsid w:val="00540F57"/>
    <w:rsid w:val="0054102B"/>
    <w:rsid w:val="00542B0D"/>
    <w:rsid w:val="00547170"/>
    <w:rsid w:val="00550FCF"/>
    <w:rsid w:val="00551182"/>
    <w:rsid w:val="00551D86"/>
    <w:rsid w:val="005523B4"/>
    <w:rsid w:val="00552F63"/>
    <w:rsid w:val="005530E8"/>
    <w:rsid w:val="00553AAE"/>
    <w:rsid w:val="005560A0"/>
    <w:rsid w:val="00556429"/>
    <w:rsid w:val="00557A0F"/>
    <w:rsid w:val="005628A3"/>
    <w:rsid w:val="00564869"/>
    <w:rsid w:val="00565E47"/>
    <w:rsid w:val="0056709D"/>
    <w:rsid w:val="00567436"/>
    <w:rsid w:val="00567FE9"/>
    <w:rsid w:val="00571633"/>
    <w:rsid w:val="00572642"/>
    <w:rsid w:val="00575E9C"/>
    <w:rsid w:val="00577442"/>
    <w:rsid w:val="00577DB2"/>
    <w:rsid w:val="00580744"/>
    <w:rsid w:val="00581564"/>
    <w:rsid w:val="00583136"/>
    <w:rsid w:val="00585D4A"/>
    <w:rsid w:val="00586AE3"/>
    <w:rsid w:val="0059013B"/>
    <w:rsid w:val="005903E0"/>
    <w:rsid w:val="005908DB"/>
    <w:rsid w:val="005909D5"/>
    <w:rsid w:val="00590E51"/>
    <w:rsid w:val="0059179C"/>
    <w:rsid w:val="005918C0"/>
    <w:rsid w:val="00591C2B"/>
    <w:rsid w:val="00593F1F"/>
    <w:rsid w:val="0059401C"/>
    <w:rsid w:val="00594AA1"/>
    <w:rsid w:val="00594C74"/>
    <w:rsid w:val="00594CAD"/>
    <w:rsid w:val="005A1521"/>
    <w:rsid w:val="005A1AE4"/>
    <w:rsid w:val="005A1FAA"/>
    <w:rsid w:val="005A2167"/>
    <w:rsid w:val="005A21D8"/>
    <w:rsid w:val="005A5367"/>
    <w:rsid w:val="005A7FB2"/>
    <w:rsid w:val="005B04F8"/>
    <w:rsid w:val="005B0FC1"/>
    <w:rsid w:val="005B2684"/>
    <w:rsid w:val="005B2E9A"/>
    <w:rsid w:val="005B3A31"/>
    <w:rsid w:val="005B56EC"/>
    <w:rsid w:val="005B5C0F"/>
    <w:rsid w:val="005B7540"/>
    <w:rsid w:val="005B7CE7"/>
    <w:rsid w:val="005C17B5"/>
    <w:rsid w:val="005C62F8"/>
    <w:rsid w:val="005C6869"/>
    <w:rsid w:val="005C7BDD"/>
    <w:rsid w:val="005D191B"/>
    <w:rsid w:val="005D192D"/>
    <w:rsid w:val="005D1DEA"/>
    <w:rsid w:val="005D1F5A"/>
    <w:rsid w:val="005D21F3"/>
    <w:rsid w:val="005D6644"/>
    <w:rsid w:val="005D6FAE"/>
    <w:rsid w:val="005D755C"/>
    <w:rsid w:val="005E0B35"/>
    <w:rsid w:val="005E18C4"/>
    <w:rsid w:val="005E223A"/>
    <w:rsid w:val="005E2280"/>
    <w:rsid w:val="005E3C32"/>
    <w:rsid w:val="005E3F44"/>
    <w:rsid w:val="005E5FA8"/>
    <w:rsid w:val="005E6F9B"/>
    <w:rsid w:val="005F07CD"/>
    <w:rsid w:val="005F16A6"/>
    <w:rsid w:val="005F1A46"/>
    <w:rsid w:val="005F1DDA"/>
    <w:rsid w:val="005F79D6"/>
    <w:rsid w:val="0060109E"/>
    <w:rsid w:val="00602E39"/>
    <w:rsid w:val="006046C5"/>
    <w:rsid w:val="0060488D"/>
    <w:rsid w:val="006048A6"/>
    <w:rsid w:val="00605E6C"/>
    <w:rsid w:val="006062F6"/>
    <w:rsid w:val="006074F9"/>
    <w:rsid w:val="00607CC8"/>
    <w:rsid w:val="00610490"/>
    <w:rsid w:val="00610A00"/>
    <w:rsid w:val="00610BAB"/>
    <w:rsid w:val="006116EA"/>
    <w:rsid w:val="00614D1A"/>
    <w:rsid w:val="00615710"/>
    <w:rsid w:val="00615774"/>
    <w:rsid w:val="00617DBD"/>
    <w:rsid w:val="006217D8"/>
    <w:rsid w:val="00623C41"/>
    <w:rsid w:val="00624910"/>
    <w:rsid w:val="006250F7"/>
    <w:rsid w:val="00626A23"/>
    <w:rsid w:val="00632405"/>
    <w:rsid w:val="00632749"/>
    <w:rsid w:val="00632A78"/>
    <w:rsid w:val="0063308B"/>
    <w:rsid w:val="00633439"/>
    <w:rsid w:val="006336E5"/>
    <w:rsid w:val="00635EC0"/>
    <w:rsid w:val="00635FA6"/>
    <w:rsid w:val="00636194"/>
    <w:rsid w:val="006365C2"/>
    <w:rsid w:val="00637E6E"/>
    <w:rsid w:val="00640C7C"/>
    <w:rsid w:val="00641C6A"/>
    <w:rsid w:val="006424A8"/>
    <w:rsid w:val="00643671"/>
    <w:rsid w:val="00650DE4"/>
    <w:rsid w:val="0065144F"/>
    <w:rsid w:val="00655444"/>
    <w:rsid w:val="0065759C"/>
    <w:rsid w:val="00657D37"/>
    <w:rsid w:val="006609DF"/>
    <w:rsid w:val="00660D34"/>
    <w:rsid w:val="00660D98"/>
    <w:rsid w:val="00661A0D"/>
    <w:rsid w:val="00665E33"/>
    <w:rsid w:val="00667200"/>
    <w:rsid w:val="006715DD"/>
    <w:rsid w:val="00672898"/>
    <w:rsid w:val="00672A82"/>
    <w:rsid w:val="006731C4"/>
    <w:rsid w:val="00673920"/>
    <w:rsid w:val="00674783"/>
    <w:rsid w:val="006751AB"/>
    <w:rsid w:val="00675819"/>
    <w:rsid w:val="00677248"/>
    <w:rsid w:val="006775A2"/>
    <w:rsid w:val="00680B60"/>
    <w:rsid w:val="00680D0C"/>
    <w:rsid w:val="00684556"/>
    <w:rsid w:val="006847AD"/>
    <w:rsid w:val="00687DCA"/>
    <w:rsid w:val="006902A2"/>
    <w:rsid w:val="006911F3"/>
    <w:rsid w:val="006924ED"/>
    <w:rsid w:val="00692DB4"/>
    <w:rsid w:val="00693F8D"/>
    <w:rsid w:val="00694AB6"/>
    <w:rsid w:val="006960A5"/>
    <w:rsid w:val="00696FF5"/>
    <w:rsid w:val="00697662"/>
    <w:rsid w:val="006A104C"/>
    <w:rsid w:val="006A177B"/>
    <w:rsid w:val="006A37C0"/>
    <w:rsid w:val="006A3B72"/>
    <w:rsid w:val="006A491A"/>
    <w:rsid w:val="006A4B5D"/>
    <w:rsid w:val="006A51B4"/>
    <w:rsid w:val="006A56C0"/>
    <w:rsid w:val="006A56CE"/>
    <w:rsid w:val="006A782D"/>
    <w:rsid w:val="006B0DC5"/>
    <w:rsid w:val="006B2B58"/>
    <w:rsid w:val="006B3828"/>
    <w:rsid w:val="006B40DA"/>
    <w:rsid w:val="006B449C"/>
    <w:rsid w:val="006C1431"/>
    <w:rsid w:val="006C1920"/>
    <w:rsid w:val="006C5592"/>
    <w:rsid w:val="006C6DE3"/>
    <w:rsid w:val="006C6EFD"/>
    <w:rsid w:val="006D1765"/>
    <w:rsid w:val="006D18B9"/>
    <w:rsid w:val="006D18F4"/>
    <w:rsid w:val="006D1A2A"/>
    <w:rsid w:val="006D29EA"/>
    <w:rsid w:val="006D3476"/>
    <w:rsid w:val="006D3F15"/>
    <w:rsid w:val="006D44BB"/>
    <w:rsid w:val="006D616F"/>
    <w:rsid w:val="006D620A"/>
    <w:rsid w:val="006E0AC4"/>
    <w:rsid w:val="006E4B5E"/>
    <w:rsid w:val="006E57E4"/>
    <w:rsid w:val="006E6485"/>
    <w:rsid w:val="006E7272"/>
    <w:rsid w:val="006E765E"/>
    <w:rsid w:val="006E7FA9"/>
    <w:rsid w:val="006F0D94"/>
    <w:rsid w:val="006F12ED"/>
    <w:rsid w:val="006F1A29"/>
    <w:rsid w:val="006F4310"/>
    <w:rsid w:val="006F4CA2"/>
    <w:rsid w:val="006F62DD"/>
    <w:rsid w:val="006F673D"/>
    <w:rsid w:val="006F6DE9"/>
    <w:rsid w:val="006F7564"/>
    <w:rsid w:val="00700BEE"/>
    <w:rsid w:val="00702949"/>
    <w:rsid w:val="0070308F"/>
    <w:rsid w:val="00704A65"/>
    <w:rsid w:val="00706862"/>
    <w:rsid w:val="00707BD2"/>
    <w:rsid w:val="00712672"/>
    <w:rsid w:val="0071297E"/>
    <w:rsid w:val="0071351D"/>
    <w:rsid w:val="0071367E"/>
    <w:rsid w:val="00713936"/>
    <w:rsid w:val="00714A33"/>
    <w:rsid w:val="00715634"/>
    <w:rsid w:val="007173F8"/>
    <w:rsid w:val="00720807"/>
    <w:rsid w:val="00721A98"/>
    <w:rsid w:val="00721F15"/>
    <w:rsid w:val="00723159"/>
    <w:rsid w:val="00723863"/>
    <w:rsid w:val="0072415E"/>
    <w:rsid w:val="0072501C"/>
    <w:rsid w:val="007276F8"/>
    <w:rsid w:val="00730CB2"/>
    <w:rsid w:val="00730E10"/>
    <w:rsid w:val="00733C73"/>
    <w:rsid w:val="00735501"/>
    <w:rsid w:val="00735D72"/>
    <w:rsid w:val="0073673A"/>
    <w:rsid w:val="00737801"/>
    <w:rsid w:val="00737B16"/>
    <w:rsid w:val="00737CA6"/>
    <w:rsid w:val="00740EC7"/>
    <w:rsid w:val="00742EF5"/>
    <w:rsid w:val="0074355F"/>
    <w:rsid w:val="00743B3D"/>
    <w:rsid w:val="00743B8C"/>
    <w:rsid w:val="00744F00"/>
    <w:rsid w:val="0074588E"/>
    <w:rsid w:val="0074616F"/>
    <w:rsid w:val="007504B7"/>
    <w:rsid w:val="00750C16"/>
    <w:rsid w:val="00751B7F"/>
    <w:rsid w:val="00753785"/>
    <w:rsid w:val="0075396B"/>
    <w:rsid w:val="00754326"/>
    <w:rsid w:val="00754970"/>
    <w:rsid w:val="007602C6"/>
    <w:rsid w:val="00761276"/>
    <w:rsid w:val="00761BAA"/>
    <w:rsid w:val="00763436"/>
    <w:rsid w:val="00764021"/>
    <w:rsid w:val="007657B6"/>
    <w:rsid w:val="00766016"/>
    <w:rsid w:val="0076605A"/>
    <w:rsid w:val="00766085"/>
    <w:rsid w:val="00766255"/>
    <w:rsid w:val="00766603"/>
    <w:rsid w:val="007666BB"/>
    <w:rsid w:val="00771DDB"/>
    <w:rsid w:val="00772906"/>
    <w:rsid w:val="00772922"/>
    <w:rsid w:val="00774824"/>
    <w:rsid w:val="0077524E"/>
    <w:rsid w:val="00776FEC"/>
    <w:rsid w:val="00781358"/>
    <w:rsid w:val="00781566"/>
    <w:rsid w:val="00781A93"/>
    <w:rsid w:val="00782A8D"/>
    <w:rsid w:val="00783132"/>
    <w:rsid w:val="007845B3"/>
    <w:rsid w:val="00784EC9"/>
    <w:rsid w:val="007867FB"/>
    <w:rsid w:val="00787AB7"/>
    <w:rsid w:val="0079089E"/>
    <w:rsid w:val="00792F82"/>
    <w:rsid w:val="007967D8"/>
    <w:rsid w:val="007A23B8"/>
    <w:rsid w:val="007A30F8"/>
    <w:rsid w:val="007A348D"/>
    <w:rsid w:val="007A408C"/>
    <w:rsid w:val="007A47D3"/>
    <w:rsid w:val="007A4AC7"/>
    <w:rsid w:val="007A76E5"/>
    <w:rsid w:val="007B169F"/>
    <w:rsid w:val="007B2C11"/>
    <w:rsid w:val="007B4136"/>
    <w:rsid w:val="007B5BD4"/>
    <w:rsid w:val="007B5C24"/>
    <w:rsid w:val="007B656B"/>
    <w:rsid w:val="007B76B8"/>
    <w:rsid w:val="007C0268"/>
    <w:rsid w:val="007C0368"/>
    <w:rsid w:val="007C1578"/>
    <w:rsid w:val="007C1673"/>
    <w:rsid w:val="007C1785"/>
    <w:rsid w:val="007C1DBB"/>
    <w:rsid w:val="007C1FE1"/>
    <w:rsid w:val="007C4573"/>
    <w:rsid w:val="007C4CC9"/>
    <w:rsid w:val="007C4F18"/>
    <w:rsid w:val="007C4F1F"/>
    <w:rsid w:val="007C5819"/>
    <w:rsid w:val="007C7A21"/>
    <w:rsid w:val="007D003B"/>
    <w:rsid w:val="007D0092"/>
    <w:rsid w:val="007D1A01"/>
    <w:rsid w:val="007D51CE"/>
    <w:rsid w:val="007D7991"/>
    <w:rsid w:val="007E0F10"/>
    <w:rsid w:val="007E40CB"/>
    <w:rsid w:val="007E4664"/>
    <w:rsid w:val="007E596A"/>
    <w:rsid w:val="007E5DC1"/>
    <w:rsid w:val="007E6D8A"/>
    <w:rsid w:val="007E707D"/>
    <w:rsid w:val="007F098C"/>
    <w:rsid w:val="007F1241"/>
    <w:rsid w:val="007F235E"/>
    <w:rsid w:val="007F34FF"/>
    <w:rsid w:val="007F3F11"/>
    <w:rsid w:val="007F5821"/>
    <w:rsid w:val="007F7898"/>
    <w:rsid w:val="007F7926"/>
    <w:rsid w:val="00800434"/>
    <w:rsid w:val="008019CB"/>
    <w:rsid w:val="00802267"/>
    <w:rsid w:val="008024C3"/>
    <w:rsid w:val="00803540"/>
    <w:rsid w:val="008062D7"/>
    <w:rsid w:val="00810F72"/>
    <w:rsid w:val="0081301F"/>
    <w:rsid w:val="008154A3"/>
    <w:rsid w:val="00816066"/>
    <w:rsid w:val="00816959"/>
    <w:rsid w:val="00817E84"/>
    <w:rsid w:val="00817FBA"/>
    <w:rsid w:val="00820C13"/>
    <w:rsid w:val="008227FE"/>
    <w:rsid w:val="008252BF"/>
    <w:rsid w:val="008278B0"/>
    <w:rsid w:val="00827A57"/>
    <w:rsid w:val="00831E56"/>
    <w:rsid w:val="00834308"/>
    <w:rsid w:val="0083451D"/>
    <w:rsid w:val="00834569"/>
    <w:rsid w:val="008357C9"/>
    <w:rsid w:val="00837296"/>
    <w:rsid w:val="0083739E"/>
    <w:rsid w:val="00837766"/>
    <w:rsid w:val="00837A71"/>
    <w:rsid w:val="008407E0"/>
    <w:rsid w:val="008407FB"/>
    <w:rsid w:val="00841153"/>
    <w:rsid w:val="008414D7"/>
    <w:rsid w:val="00841838"/>
    <w:rsid w:val="008419F9"/>
    <w:rsid w:val="00841C5F"/>
    <w:rsid w:val="008425DC"/>
    <w:rsid w:val="008431E2"/>
    <w:rsid w:val="0084351B"/>
    <w:rsid w:val="00846ABC"/>
    <w:rsid w:val="0085094B"/>
    <w:rsid w:val="00852367"/>
    <w:rsid w:val="0085286D"/>
    <w:rsid w:val="0085295E"/>
    <w:rsid w:val="00852AEF"/>
    <w:rsid w:val="0085317F"/>
    <w:rsid w:val="00860266"/>
    <w:rsid w:val="008617AF"/>
    <w:rsid w:val="0086246B"/>
    <w:rsid w:val="00862DF7"/>
    <w:rsid w:val="0086428F"/>
    <w:rsid w:val="00864A7E"/>
    <w:rsid w:val="00865006"/>
    <w:rsid w:val="00867D2A"/>
    <w:rsid w:val="00867FED"/>
    <w:rsid w:val="00870996"/>
    <w:rsid w:val="00870C5A"/>
    <w:rsid w:val="00870CF7"/>
    <w:rsid w:val="00875C76"/>
    <w:rsid w:val="008764E2"/>
    <w:rsid w:val="00876C42"/>
    <w:rsid w:val="00880E4E"/>
    <w:rsid w:val="00881938"/>
    <w:rsid w:val="00882401"/>
    <w:rsid w:val="00884BA9"/>
    <w:rsid w:val="00885B63"/>
    <w:rsid w:val="008867F7"/>
    <w:rsid w:val="0088777B"/>
    <w:rsid w:val="00887F5F"/>
    <w:rsid w:val="00890016"/>
    <w:rsid w:val="00890DA8"/>
    <w:rsid w:val="008944E1"/>
    <w:rsid w:val="008945AB"/>
    <w:rsid w:val="008945B7"/>
    <w:rsid w:val="00895CA1"/>
    <w:rsid w:val="00895FBB"/>
    <w:rsid w:val="0089663D"/>
    <w:rsid w:val="008A0C6B"/>
    <w:rsid w:val="008A1F78"/>
    <w:rsid w:val="008A34EA"/>
    <w:rsid w:val="008A367A"/>
    <w:rsid w:val="008A3842"/>
    <w:rsid w:val="008A5C6D"/>
    <w:rsid w:val="008A6D8D"/>
    <w:rsid w:val="008A6DAF"/>
    <w:rsid w:val="008B0EE5"/>
    <w:rsid w:val="008B0F6C"/>
    <w:rsid w:val="008B3C92"/>
    <w:rsid w:val="008B3D91"/>
    <w:rsid w:val="008B4D3B"/>
    <w:rsid w:val="008B4FC4"/>
    <w:rsid w:val="008B633F"/>
    <w:rsid w:val="008B7C85"/>
    <w:rsid w:val="008C04ED"/>
    <w:rsid w:val="008C0D24"/>
    <w:rsid w:val="008C31BF"/>
    <w:rsid w:val="008C3DDF"/>
    <w:rsid w:val="008C4053"/>
    <w:rsid w:val="008C452C"/>
    <w:rsid w:val="008C4691"/>
    <w:rsid w:val="008C5309"/>
    <w:rsid w:val="008C5677"/>
    <w:rsid w:val="008C5F18"/>
    <w:rsid w:val="008C64F9"/>
    <w:rsid w:val="008D01ED"/>
    <w:rsid w:val="008D1D60"/>
    <w:rsid w:val="008D24FD"/>
    <w:rsid w:val="008D5576"/>
    <w:rsid w:val="008D61A5"/>
    <w:rsid w:val="008D629E"/>
    <w:rsid w:val="008D6D4A"/>
    <w:rsid w:val="008D7BE2"/>
    <w:rsid w:val="008E2ED2"/>
    <w:rsid w:val="008E3817"/>
    <w:rsid w:val="008E4BF5"/>
    <w:rsid w:val="008E6C51"/>
    <w:rsid w:val="008F24D6"/>
    <w:rsid w:val="008F6AC4"/>
    <w:rsid w:val="008F79F3"/>
    <w:rsid w:val="008F7E93"/>
    <w:rsid w:val="00900711"/>
    <w:rsid w:val="00901F88"/>
    <w:rsid w:val="00902B3B"/>
    <w:rsid w:val="009038AA"/>
    <w:rsid w:val="00903DEA"/>
    <w:rsid w:val="00906AE0"/>
    <w:rsid w:val="00907C35"/>
    <w:rsid w:val="009104D7"/>
    <w:rsid w:val="00910C6A"/>
    <w:rsid w:val="00911804"/>
    <w:rsid w:val="00911A41"/>
    <w:rsid w:val="00911B02"/>
    <w:rsid w:val="00911C43"/>
    <w:rsid w:val="00911FE4"/>
    <w:rsid w:val="00912E4A"/>
    <w:rsid w:val="00913224"/>
    <w:rsid w:val="00913339"/>
    <w:rsid w:val="00913DCB"/>
    <w:rsid w:val="00913FE4"/>
    <w:rsid w:val="00915C02"/>
    <w:rsid w:val="0091625C"/>
    <w:rsid w:val="0091691C"/>
    <w:rsid w:val="0092398C"/>
    <w:rsid w:val="00924659"/>
    <w:rsid w:val="00926217"/>
    <w:rsid w:val="00926FE2"/>
    <w:rsid w:val="00927C51"/>
    <w:rsid w:val="00930416"/>
    <w:rsid w:val="00930671"/>
    <w:rsid w:val="00930E3F"/>
    <w:rsid w:val="0093100B"/>
    <w:rsid w:val="009314C3"/>
    <w:rsid w:val="0093153D"/>
    <w:rsid w:val="00932C37"/>
    <w:rsid w:val="00935443"/>
    <w:rsid w:val="00935846"/>
    <w:rsid w:val="00935AA7"/>
    <w:rsid w:val="009370BF"/>
    <w:rsid w:val="0094022F"/>
    <w:rsid w:val="009404E6"/>
    <w:rsid w:val="0094134E"/>
    <w:rsid w:val="00941932"/>
    <w:rsid w:val="00941BA5"/>
    <w:rsid w:val="00942EEB"/>
    <w:rsid w:val="00943D96"/>
    <w:rsid w:val="00944FB5"/>
    <w:rsid w:val="009452F1"/>
    <w:rsid w:val="00945DCE"/>
    <w:rsid w:val="00945E4D"/>
    <w:rsid w:val="0094694D"/>
    <w:rsid w:val="00951E56"/>
    <w:rsid w:val="00952550"/>
    <w:rsid w:val="009538DC"/>
    <w:rsid w:val="00953C0F"/>
    <w:rsid w:val="009616E9"/>
    <w:rsid w:val="00962D01"/>
    <w:rsid w:val="00964181"/>
    <w:rsid w:val="00965AA8"/>
    <w:rsid w:val="00965B71"/>
    <w:rsid w:val="009673DB"/>
    <w:rsid w:val="0097158A"/>
    <w:rsid w:val="009733D4"/>
    <w:rsid w:val="00974842"/>
    <w:rsid w:val="00975163"/>
    <w:rsid w:val="00976256"/>
    <w:rsid w:val="0097685E"/>
    <w:rsid w:val="009771A9"/>
    <w:rsid w:val="00980C14"/>
    <w:rsid w:val="00983674"/>
    <w:rsid w:val="00985D37"/>
    <w:rsid w:val="0099189B"/>
    <w:rsid w:val="0099226D"/>
    <w:rsid w:val="009931C6"/>
    <w:rsid w:val="00993824"/>
    <w:rsid w:val="0099443C"/>
    <w:rsid w:val="009971DD"/>
    <w:rsid w:val="00997E51"/>
    <w:rsid w:val="009A08C2"/>
    <w:rsid w:val="009A0A39"/>
    <w:rsid w:val="009A18B4"/>
    <w:rsid w:val="009A19EF"/>
    <w:rsid w:val="009A1E68"/>
    <w:rsid w:val="009A208F"/>
    <w:rsid w:val="009A269C"/>
    <w:rsid w:val="009A3A4B"/>
    <w:rsid w:val="009A3C15"/>
    <w:rsid w:val="009A41D5"/>
    <w:rsid w:val="009A43E7"/>
    <w:rsid w:val="009A493E"/>
    <w:rsid w:val="009B09AC"/>
    <w:rsid w:val="009B275C"/>
    <w:rsid w:val="009B561D"/>
    <w:rsid w:val="009B5A03"/>
    <w:rsid w:val="009B5FCD"/>
    <w:rsid w:val="009B6438"/>
    <w:rsid w:val="009B65A5"/>
    <w:rsid w:val="009B65E1"/>
    <w:rsid w:val="009B6B3F"/>
    <w:rsid w:val="009C0336"/>
    <w:rsid w:val="009C27DC"/>
    <w:rsid w:val="009C4255"/>
    <w:rsid w:val="009C525A"/>
    <w:rsid w:val="009C6706"/>
    <w:rsid w:val="009C6813"/>
    <w:rsid w:val="009C709D"/>
    <w:rsid w:val="009D0AAE"/>
    <w:rsid w:val="009D15FD"/>
    <w:rsid w:val="009D33DF"/>
    <w:rsid w:val="009D5B6D"/>
    <w:rsid w:val="009D5CF5"/>
    <w:rsid w:val="009D5F4A"/>
    <w:rsid w:val="009D601C"/>
    <w:rsid w:val="009D675F"/>
    <w:rsid w:val="009D74B5"/>
    <w:rsid w:val="009E082F"/>
    <w:rsid w:val="009E1D87"/>
    <w:rsid w:val="009E4B30"/>
    <w:rsid w:val="009E58C0"/>
    <w:rsid w:val="009E766B"/>
    <w:rsid w:val="009F05DB"/>
    <w:rsid w:val="009F24F0"/>
    <w:rsid w:val="009F2816"/>
    <w:rsid w:val="009F418A"/>
    <w:rsid w:val="009F4A9C"/>
    <w:rsid w:val="009F4E10"/>
    <w:rsid w:val="009F53F9"/>
    <w:rsid w:val="009F66A6"/>
    <w:rsid w:val="009F7A22"/>
    <w:rsid w:val="00A003AF"/>
    <w:rsid w:val="00A00E00"/>
    <w:rsid w:val="00A02B35"/>
    <w:rsid w:val="00A02FFE"/>
    <w:rsid w:val="00A03F1B"/>
    <w:rsid w:val="00A04499"/>
    <w:rsid w:val="00A04F65"/>
    <w:rsid w:val="00A05708"/>
    <w:rsid w:val="00A0641D"/>
    <w:rsid w:val="00A10E28"/>
    <w:rsid w:val="00A11832"/>
    <w:rsid w:val="00A12364"/>
    <w:rsid w:val="00A1389F"/>
    <w:rsid w:val="00A15711"/>
    <w:rsid w:val="00A16F75"/>
    <w:rsid w:val="00A17C40"/>
    <w:rsid w:val="00A20AB5"/>
    <w:rsid w:val="00A22E29"/>
    <w:rsid w:val="00A2462F"/>
    <w:rsid w:val="00A24756"/>
    <w:rsid w:val="00A24BDC"/>
    <w:rsid w:val="00A258AE"/>
    <w:rsid w:val="00A2622E"/>
    <w:rsid w:val="00A277DB"/>
    <w:rsid w:val="00A2786A"/>
    <w:rsid w:val="00A27D9C"/>
    <w:rsid w:val="00A30501"/>
    <w:rsid w:val="00A30744"/>
    <w:rsid w:val="00A30A21"/>
    <w:rsid w:val="00A30E4C"/>
    <w:rsid w:val="00A31113"/>
    <w:rsid w:val="00A326BA"/>
    <w:rsid w:val="00A32CF0"/>
    <w:rsid w:val="00A331CC"/>
    <w:rsid w:val="00A3332E"/>
    <w:rsid w:val="00A33B96"/>
    <w:rsid w:val="00A33C9A"/>
    <w:rsid w:val="00A3500B"/>
    <w:rsid w:val="00A36A6D"/>
    <w:rsid w:val="00A37488"/>
    <w:rsid w:val="00A37D4D"/>
    <w:rsid w:val="00A40F43"/>
    <w:rsid w:val="00A41B53"/>
    <w:rsid w:val="00A44912"/>
    <w:rsid w:val="00A453EA"/>
    <w:rsid w:val="00A4602E"/>
    <w:rsid w:val="00A46842"/>
    <w:rsid w:val="00A52186"/>
    <w:rsid w:val="00A555A0"/>
    <w:rsid w:val="00A56882"/>
    <w:rsid w:val="00A57304"/>
    <w:rsid w:val="00A5749A"/>
    <w:rsid w:val="00A612A9"/>
    <w:rsid w:val="00A629A2"/>
    <w:rsid w:val="00A64F0E"/>
    <w:rsid w:val="00A67240"/>
    <w:rsid w:val="00A67C6F"/>
    <w:rsid w:val="00A704F5"/>
    <w:rsid w:val="00A707E2"/>
    <w:rsid w:val="00A707E9"/>
    <w:rsid w:val="00A72D45"/>
    <w:rsid w:val="00A730C4"/>
    <w:rsid w:val="00A74D64"/>
    <w:rsid w:val="00A75664"/>
    <w:rsid w:val="00A77900"/>
    <w:rsid w:val="00A80EB5"/>
    <w:rsid w:val="00A81D52"/>
    <w:rsid w:val="00A823AE"/>
    <w:rsid w:val="00A83772"/>
    <w:rsid w:val="00A90136"/>
    <w:rsid w:val="00A90312"/>
    <w:rsid w:val="00A906DB"/>
    <w:rsid w:val="00A90F6F"/>
    <w:rsid w:val="00A90FD9"/>
    <w:rsid w:val="00A94622"/>
    <w:rsid w:val="00A950D7"/>
    <w:rsid w:val="00A956A2"/>
    <w:rsid w:val="00A97D28"/>
    <w:rsid w:val="00AA22B5"/>
    <w:rsid w:val="00AA4810"/>
    <w:rsid w:val="00AA561C"/>
    <w:rsid w:val="00AA57D5"/>
    <w:rsid w:val="00AB0725"/>
    <w:rsid w:val="00AB1EBE"/>
    <w:rsid w:val="00AB2E8F"/>
    <w:rsid w:val="00AB493D"/>
    <w:rsid w:val="00AB4FBB"/>
    <w:rsid w:val="00AB5926"/>
    <w:rsid w:val="00AB5969"/>
    <w:rsid w:val="00AB6341"/>
    <w:rsid w:val="00AB64CC"/>
    <w:rsid w:val="00AB7050"/>
    <w:rsid w:val="00AB7DE3"/>
    <w:rsid w:val="00AC087B"/>
    <w:rsid w:val="00AC0949"/>
    <w:rsid w:val="00AC1E83"/>
    <w:rsid w:val="00AC4578"/>
    <w:rsid w:val="00AC567E"/>
    <w:rsid w:val="00AC712F"/>
    <w:rsid w:val="00AC77CB"/>
    <w:rsid w:val="00AD14B6"/>
    <w:rsid w:val="00AD161F"/>
    <w:rsid w:val="00AD2B28"/>
    <w:rsid w:val="00AD33BD"/>
    <w:rsid w:val="00AD3A20"/>
    <w:rsid w:val="00AE1A92"/>
    <w:rsid w:val="00AE27BA"/>
    <w:rsid w:val="00AE2FB2"/>
    <w:rsid w:val="00AE4BA1"/>
    <w:rsid w:val="00AE5684"/>
    <w:rsid w:val="00AE7589"/>
    <w:rsid w:val="00AF143A"/>
    <w:rsid w:val="00AF2B7E"/>
    <w:rsid w:val="00AF2F1A"/>
    <w:rsid w:val="00AF4E6A"/>
    <w:rsid w:val="00AF6986"/>
    <w:rsid w:val="00B017B0"/>
    <w:rsid w:val="00B0233B"/>
    <w:rsid w:val="00B028C7"/>
    <w:rsid w:val="00B05A1F"/>
    <w:rsid w:val="00B05B9D"/>
    <w:rsid w:val="00B065E7"/>
    <w:rsid w:val="00B06870"/>
    <w:rsid w:val="00B06D0D"/>
    <w:rsid w:val="00B06F01"/>
    <w:rsid w:val="00B07CCB"/>
    <w:rsid w:val="00B10BB8"/>
    <w:rsid w:val="00B1142D"/>
    <w:rsid w:val="00B11953"/>
    <w:rsid w:val="00B11D3E"/>
    <w:rsid w:val="00B13C4A"/>
    <w:rsid w:val="00B14B54"/>
    <w:rsid w:val="00B1537F"/>
    <w:rsid w:val="00B179B3"/>
    <w:rsid w:val="00B17A2E"/>
    <w:rsid w:val="00B200F9"/>
    <w:rsid w:val="00B20EA0"/>
    <w:rsid w:val="00B24539"/>
    <w:rsid w:val="00B24B4B"/>
    <w:rsid w:val="00B256FB"/>
    <w:rsid w:val="00B26ABA"/>
    <w:rsid w:val="00B309A4"/>
    <w:rsid w:val="00B3123E"/>
    <w:rsid w:val="00B32568"/>
    <w:rsid w:val="00B328FD"/>
    <w:rsid w:val="00B337A5"/>
    <w:rsid w:val="00B351C3"/>
    <w:rsid w:val="00B35C62"/>
    <w:rsid w:val="00B406ED"/>
    <w:rsid w:val="00B406F5"/>
    <w:rsid w:val="00B41F75"/>
    <w:rsid w:val="00B426D8"/>
    <w:rsid w:val="00B437E8"/>
    <w:rsid w:val="00B46891"/>
    <w:rsid w:val="00B47233"/>
    <w:rsid w:val="00B47C43"/>
    <w:rsid w:val="00B50FE1"/>
    <w:rsid w:val="00B53B4B"/>
    <w:rsid w:val="00B54896"/>
    <w:rsid w:val="00B550AE"/>
    <w:rsid w:val="00B634B3"/>
    <w:rsid w:val="00B6475A"/>
    <w:rsid w:val="00B66CB9"/>
    <w:rsid w:val="00B75B3E"/>
    <w:rsid w:val="00B75F7F"/>
    <w:rsid w:val="00B76A02"/>
    <w:rsid w:val="00B77089"/>
    <w:rsid w:val="00B833E9"/>
    <w:rsid w:val="00B8424F"/>
    <w:rsid w:val="00B845C2"/>
    <w:rsid w:val="00B84626"/>
    <w:rsid w:val="00B87282"/>
    <w:rsid w:val="00B8768D"/>
    <w:rsid w:val="00B91E2B"/>
    <w:rsid w:val="00B92DA0"/>
    <w:rsid w:val="00B9571D"/>
    <w:rsid w:val="00B97AD6"/>
    <w:rsid w:val="00BA045A"/>
    <w:rsid w:val="00BA0A86"/>
    <w:rsid w:val="00BA0F62"/>
    <w:rsid w:val="00BA1D98"/>
    <w:rsid w:val="00BA2A87"/>
    <w:rsid w:val="00BA2EE0"/>
    <w:rsid w:val="00BA305C"/>
    <w:rsid w:val="00BA4672"/>
    <w:rsid w:val="00BA494B"/>
    <w:rsid w:val="00BA4BEB"/>
    <w:rsid w:val="00BA778B"/>
    <w:rsid w:val="00BB12CB"/>
    <w:rsid w:val="00BB18FF"/>
    <w:rsid w:val="00BB26B1"/>
    <w:rsid w:val="00BB3AF4"/>
    <w:rsid w:val="00BB3CFE"/>
    <w:rsid w:val="00BB475F"/>
    <w:rsid w:val="00BB4F3F"/>
    <w:rsid w:val="00BB6818"/>
    <w:rsid w:val="00BC1DC5"/>
    <w:rsid w:val="00BC359A"/>
    <w:rsid w:val="00BC3B7E"/>
    <w:rsid w:val="00BC4F4F"/>
    <w:rsid w:val="00BC5E45"/>
    <w:rsid w:val="00BC673C"/>
    <w:rsid w:val="00BC6F30"/>
    <w:rsid w:val="00BD08B3"/>
    <w:rsid w:val="00BD0AE3"/>
    <w:rsid w:val="00BD0D70"/>
    <w:rsid w:val="00BD1083"/>
    <w:rsid w:val="00BD241F"/>
    <w:rsid w:val="00BD43FF"/>
    <w:rsid w:val="00BD5FDB"/>
    <w:rsid w:val="00BD6672"/>
    <w:rsid w:val="00BD6B14"/>
    <w:rsid w:val="00BE050A"/>
    <w:rsid w:val="00BE0D86"/>
    <w:rsid w:val="00BE1285"/>
    <w:rsid w:val="00BE2146"/>
    <w:rsid w:val="00BE4292"/>
    <w:rsid w:val="00BE591F"/>
    <w:rsid w:val="00BE7207"/>
    <w:rsid w:val="00BE7683"/>
    <w:rsid w:val="00BF33CE"/>
    <w:rsid w:val="00BF3CE2"/>
    <w:rsid w:val="00BF6047"/>
    <w:rsid w:val="00C00C78"/>
    <w:rsid w:val="00C02D21"/>
    <w:rsid w:val="00C03988"/>
    <w:rsid w:val="00C044E6"/>
    <w:rsid w:val="00C05638"/>
    <w:rsid w:val="00C0617F"/>
    <w:rsid w:val="00C065C4"/>
    <w:rsid w:val="00C06FD3"/>
    <w:rsid w:val="00C07575"/>
    <w:rsid w:val="00C077F4"/>
    <w:rsid w:val="00C07D8F"/>
    <w:rsid w:val="00C07E18"/>
    <w:rsid w:val="00C07F23"/>
    <w:rsid w:val="00C1033F"/>
    <w:rsid w:val="00C108FC"/>
    <w:rsid w:val="00C111A6"/>
    <w:rsid w:val="00C1169F"/>
    <w:rsid w:val="00C11771"/>
    <w:rsid w:val="00C15A12"/>
    <w:rsid w:val="00C169D6"/>
    <w:rsid w:val="00C17849"/>
    <w:rsid w:val="00C20112"/>
    <w:rsid w:val="00C232BF"/>
    <w:rsid w:val="00C24984"/>
    <w:rsid w:val="00C27192"/>
    <w:rsid w:val="00C27AC6"/>
    <w:rsid w:val="00C326AC"/>
    <w:rsid w:val="00C3406C"/>
    <w:rsid w:val="00C3512E"/>
    <w:rsid w:val="00C36BE7"/>
    <w:rsid w:val="00C37539"/>
    <w:rsid w:val="00C3762C"/>
    <w:rsid w:val="00C37805"/>
    <w:rsid w:val="00C411DA"/>
    <w:rsid w:val="00C43CA2"/>
    <w:rsid w:val="00C44CE1"/>
    <w:rsid w:val="00C458BC"/>
    <w:rsid w:val="00C473A2"/>
    <w:rsid w:val="00C479E7"/>
    <w:rsid w:val="00C510B7"/>
    <w:rsid w:val="00C51A0D"/>
    <w:rsid w:val="00C51E62"/>
    <w:rsid w:val="00C51F79"/>
    <w:rsid w:val="00C54C4F"/>
    <w:rsid w:val="00C55A3A"/>
    <w:rsid w:val="00C5605A"/>
    <w:rsid w:val="00C57FD9"/>
    <w:rsid w:val="00C616E4"/>
    <w:rsid w:val="00C61CDC"/>
    <w:rsid w:val="00C624B4"/>
    <w:rsid w:val="00C630C7"/>
    <w:rsid w:val="00C638C7"/>
    <w:rsid w:val="00C64BB1"/>
    <w:rsid w:val="00C66FE0"/>
    <w:rsid w:val="00C6758C"/>
    <w:rsid w:val="00C703E9"/>
    <w:rsid w:val="00C706CE"/>
    <w:rsid w:val="00C745D4"/>
    <w:rsid w:val="00C757F8"/>
    <w:rsid w:val="00C76B75"/>
    <w:rsid w:val="00C771E8"/>
    <w:rsid w:val="00C804C1"/>
    <w:rsid w:val="00C83E4B"/>
    <w:rsid w:val="00C8462F"/>
    <w:rsid w:val="00C8709E"/>
    <w:rsid w:val="00C87715"/>
    <w:rsid w:val="00C90DB6"/>
    <w:rsid w:val="00C91CB6"/>
    <w:rsid w:val="00C92E1D"/>
    <w:rsid w:val="00C950BE"/>
    <w:rsid w:val="00C97B8A"/>
    <w:rsid w:val="00CA0933"/>
    <w:rsid w:val="00CA0DC4"/>
    <w:rsid w:val="00CA1DE9"/>
    <w:rsid w:val="00CA33DD"/>
    <w:rsid w:val="00CA4BE7"/>
    <w:rsid w:val="00CA4E76"/>
    <w:rsid w:val="00CA5269"/>
    <w:rsid w:val="00CA6416"/>
    <w:rsid w:val="00CA677A"/>
    <w:rsid w:val="00CA78B5"/>
    <w:rsid w:val="00CB0AF7"/>
    <w:rsid w:val="00CB24BA"/>
    <w:rsid w:val="00CB2C31"/>
    <w:rsid w:val="00CB2FC3"/>
    <w:rsid w:val="00CB32D1"/>
    <w:rsid w:val="00CB3AE0"/>
    <w:rsid w:val="00CB5748"/>
    <w:rsid w:val="00CC040A"/>
    <w:rsid w:val="00CC0BF3"/>
    <w:rsid w:val="00CC1327"/>
    <w:rsid w:val="00CC2020"/>
    <w:rsid w:val="00CC2207"/>
    <w:rsid w:val="00CC2821"/>
    <w:rsid w:val="00CC3FD9"/>
    <w:rsid w:val="00CC5D41"/>
    <w:rsid w:val="00CC5FE0"/>
    <w:rsid w:val="00CC6663"/>
    <w:rsid w:val="00CC694D"/>
    <w:rsid w:val="00CC6A7F"/>
    <w:rsid w:val="00CD003C"/>
    <w:rsid w:val="00CD0617"/>
    <w:rsid w:val="00CD08BA"/>
    <w:rsid w:val="00CD16A9"/>
    <w:rsid w:val="00CD2A40"/>
    <w:rsid w:val="00CD2CF2"/>
    <w:rsid w:val="00CD334C"/>
    <w:rsid w:val="00CE0EAC"/>
    <w:rsid w:val="00CE15A1"/>
    <w:rsid w:val="00CE2F98"/>
    <w:rsid w:val="00CE3B6D"/>
    <w:rsid w:val="00CE3D98"/>
    <w:rsid w:val="00CE47FA"/>
    <w:rsid w:val="00CF110B"/>
    <w:rsid w:val="00CF160E"/>
    <w:rsid w:val="00CF405A"/>
    <w:rsid w:val="00CF483E"/>
    <w:rsid w:val="00CF679B"/>
    <w:rsid w:val="00CF6CCB"/>
    <w:rsid w:val="00CF74F2"/>
    <w:rsid w:val="00CF7D33"/>
    <w:rsid w:val="00D00410"/>
    <w:rsid w:val="00D00B2E"/>
    <w:rsid w:val="00D01180"/>
    <w:rsid w:val="00D01919"/>
    <w:rsid w:val="00D01E31"/>
    <w:rsid w:val="00D02634"/>
    <w:rsid w:val="00D03C7A"/>
    <w:rsid w:val="00D052AF"/>
    <w:rsid w:val="00D06234"/>
    <w:rsid w:val="00D07FB7"/>
    <w:rsid w:val="00D1242B"/>
    <w:rsid w:val="00D127F8"/>
    <w:rsid w:val="00D12918"/>
    <w:rsid w:val="00D12A52"/>
    <w:rsid w:val="00D12C79"/>
    <w:rsid w:val="00D15A29"/>
    <w:rsid w:val="00D17352"/>
    <w:rsid w:val="00D20340"/>
    <w:rsid w:val="00D21549"/>
    <w:rsid w:val="00D21AE5"/>
    <w:rsid w:val="00D228B7"/>
    <w:rsid w:val="00D22A0A"/>
    <w:rsid w:val="00D240F1"/>
    <w:rsid w:val="00D2668F"/>
    <w:rsid w:val="00D27A1A"/>
    <w:rsid w:val="00D27A53"/>
    <w:rsid w:val="00D27F88"/>
    <w:rsid w:val="00D305B7"/>
    <w:rsid w:val="00D315F6"/>
    <w:rsid w:val="00D32CEF"/>
    <w:rsid w:val="00D331BB"/>
    <w:rsid w:val="00D36F82"/>
    <w:rsid w:val="00D402C3"/>
    <w:rsid w:val="00D40C99"/>
    <w:rsid w:val="00D40F49"/>
    <w:rsid w:val="00D41175"/>
    <w:rsid w:val="00D41435"/>
    <w:rsid w:val="00D419F2"/>
    <w:rsid w:val="00D42187"/>
    <w:rsid w:val="00D436B6"/>
    <w:rsid w:val="00D43D4E"/>
    <w:rsid w:val="00D45E74"/>
    <w:rsid w:val="00D464B3"/>
    <w:rsid w:val="00D50181"/>
    <w:rsid w:val="00D503D4"/>
    <w:rsid w:val="00D50839"/>
    <w:rsid w:val="00D50CB2"/>
    <w:rsid w:val="00D50CB6"/>
    <w:rsid w:val="00D50ECB"/>
    <w:rsid w:val="00D510AD"/>
    <w:rsid w:val="00D5331A"/>
    <w:rsid w:val="00D53AE2"/>
    <w:rsid w:val="00D54209"/>
    <w:rsid w:val="00D57155"/>
    <w:rsid w:val="00D57DBC"/>
    <w:rsid w:val="00D628CF"/>
    <w:rsid w:val="00D64B89"/>
    <w:rsid w:val="00D65402"/>
    <w:rsid w:val="00D65ECF"/>
    <w:rsid w:val="00D67055"/>
    <w:rsid w:val="00D67107"/>
    <w:rsid w:val="00D67E04"/>
    <w:rsid w:val="00D67E9B"/>
    <w:rsid w:val="00D67ED9"/>
    <w:rsid w:val="00D701EC"/>
    <w:rsid w:val="00D701EF"/>
    <w:rsid w:val="00D71062"/>
    <w:rsid w:val="00D717A4"/>
    <w:rsid w:val="00D723CF"/>
    <w:rsid w:val="00D75F2F"/>
    <w:rsid w:val="00D77892"/>
    <w:rsid w:val="00D82F2E"/>
    <w:rsid w:val="00D83314"/>
    <w:rsid w:val="00D848D1"/>
    <w:rsid w:val="00D85839"/>
    <w:rsid w:val="00D858DE"/>
    <w:rsid w:val="00D86552"/>
    <w:rsid w:val="00D8676E"/>
    <w:rsid w:val="00D867A3"/>
    <w:rsid w:val="00D8794B"/>
    <w:rsid w:val="00D900CE"/>
    <w:rsid w:val="00D90EFC"/>
    <w:rsid w:val="00D92B44"/>
    <w:rsid w:val="00D93787"/>
    <w:rsid w:val="00D950D5"/>
    <w:rsid w:val="00D95A22"/>
    <w:rsid w:val="00D96211"/>
    <w:rsid w:val="00D96DA2"/>
    <w:rsid w:val="00D96FA2"/>
    <w:rsid w:val="00DA063C"/>
    <w:rsid w:val="00DA1092"/>
    <w:rsid w:val="00DA699F"/>
    <w:rsid w:val="00DA6BC9"/>
    <w:rsid w:val="00DA6D8F"/>
    <w:rsid w:val="00DA7457"/>
    <w:rsid w:val="00DA761D"/>
    <w:rsid w:val="00DA7D95"/>
    <w:rsid w:val="00DA7F56"/>
    <w:rsid w:val="00DB155E"/>
    <w:rsid w:val="00DB1924"/>
    <w:rsid w:val="00DB1B5A"/>
    <w:rsid w:val="00DB35ED"/>
    <w:rsid w:val="00DB4940"/>
    <w:rsid w:val="00DB5A1B"/>
    <w:rsid w:val="00DB6965"/>
    <w:rsid w:val="00DC2A56"/>
    <w:rsid w:val="00DC3050"/>
    <w:rsid w:val="00DC3069"/>
    <w:rsid w:val="00DC4332"/>
    <w:rsid w:val="00DC4DA8"/>
    <w:rsid w:val="00DC5026"/>
    <w:rsid w:val="00DC5393"/>
    <w:rsid w:val="00DC56EF"/>
    <w:rsid w:val="00DD0209"/>
    <w:rsid w:val="00DD22FB"/>
    <w:rsid w:val="00DD25D5"/>
    <w:rsid w:val="00DD2EFA"/>
    <w:rsid w:val="00DD2F46"/>
    <w:rsid w:val="00DD346B"/>
    <w:rsid w:val="00DD5567"/>
    <w:rsid w:val="00DD60F1"/>
    <w:rsid w:val="00DD7A43"/>
    <w:rsid w:val="00DE0318"/>
    <w:rsid w:val="00DE0488"/>
    <w:rsid w:val="00DE1AB4"/>
    <w:rsid w:val="00DE2EFA"/>
    <w:rsid w:val="00DE316E"/>
    <w:rsid w:val="00DE5AB6"/>
    <w:rsid w:val="00DE726E"/>
    <w:rsid w:val="00DE7302"/>
    <w:rsid w:val="00DF1CB0"/>
    <w:rsid w:val="00DF1F22"/>
    <w:rsid w:val="00DF253A"/>
    <w:rsid w:val="00DF266F"/>
    <w:rsid w:val="00DF3647"/>
    <w:rsid w:val="00DF4045"/>
    <w:rsid w:val="00DF4D09"/>
    <w:rsid w:val="00DF5352"/>
    <w:rsid w:val="00DF655D"/>
    <w:rsid w:val="00DF66C1"/>
    <w:rsid w:val="00DF789E"/>
    <w:rsid w:val="00DF7E45"/>
    <w:rsid w:val="00E00C8A"/>
    <w:rsid w:val="00E0191E"/>
    <w:rsid w:val="00E022B8"/>
    <w:rsid w:val="00E02C18"/>
    <w:rsid w:val="00E03D01"/>
    <w:rsid w:val="00E03F3D"/>
    <w:rsid w:val="00E0532D"/>
    <w:rsid w:val="00E0628E"/>
    <w:rsid w:val="00E07465"/>
    <w:rsid w:val="00E078FD"/>
    <w:rsid w:val="00E1376F"/>
    <w:rsid w:val="00E145D1"/>
    <w:rsid w:val="00E20214"/>
    <w:rsid w:val="00E2042F"/>
    <w:rsid w:val="00E20CF6"/>
    <w:rsid w:val="00E21D5D"/>
    <w:rsid w:val="00E2240E"/>
    <w:rsid w:val="00E23264"/>
    <w:rsid w:val="00E26312"/>
    <w:rsid w:val="00E331CB"/>
    <w:rsid w:val="00E34C4D"/>
    <w:rsid w:val="00E351C8"/>
    <w:rsid w:val="00E3527A"/>
    <w:rsid w:val="00E3578B"/>
    <w:rsid w:val="00E36FD9"/>
    <w:rsid w:val="00E425E0"/>
    <w:rsid w:val="00E42D9B"/>
    <w:rsid w:val="00E45079"/>
    <w:rsid w:val="00E4596B"/>
    <w:rsid w:val="00E45CE9"/>
    <w:rsid w:val="00E46800"/>
    <w:rsid w:val="00E4753E"/>
    <w:rsid w:val="00E475A1"/>
    <w:rsid w:val="00E47FD7"/>
    <w:rsid w:val="00E52139"/>
    <w:rsid w:val="00E53BD0"/>
    <w:rsid w:val="00E55AD4"/>
    <w:rsid w:val="00E56147"/>
    <w:rsid w:val="00E565A5"/>
    <w:rsid w:val="00E56715"/>
    <w:rsid w:val="00E57BAF"/>
    <w:rsid w:val="00E601E5"/>
    <w:rsid w:val="00E603CE"/>
    <w:rsid w:val="00E62138"/>
    <w:rsid w:val="00E634CA"/>
    <w:rsid w:val="00E64E48"/>
    <w:rsid w:val="00E663DC"/>
    <w:rsid w:val="00E66E24"/>
    <w:rsid w:val="00E71C45"/>
    <w:rsid w:val="00E71EBD"/>
    <w:rsid w:val="00E72156"/>
    <w:rsid w:val="00E72B3A"/>
    <w:rsid w:val="00E72FD3"/>
    <w:rsid w:val="00E737AB"/>
    <w:rsid w:val="00E73952"/>
    <w:rsid w:val="00E75B3E"/>
    <w:rsid w:val="00E76E4C"/>
    <w:rsid w:val="00E80518"/>
    <w:rsid w:val="00E806F5"/>
    <w:rsid w:val="00E82A56"/>
    <w:rsid w:val="00E8358A"/>
    <w:rsid w:val="00E8601C"/>
    <w:rsid w:val="00E8658D"/>
    <w:rsid w:val="00E867F5"/>
    <w:rsid w:val="00E8748D"/>
    <w:rsid w:val="00E87C9B"/>
    <w:rsid w:val="00E91396"/>
    <w:rsid w:val="00E91621"/>
    <w:rsid w:val="00E91FAD"/>
    <w:rsid w:val="00E92B50"/>
    <w:rsid w:val="00E92BA7"/>
    <w:rsid w:val="00E93D18"/>
    <w:rsid w:val="00E94AD2"/>
    <w:rsid w:val="00E94E35"/>
    <w:rsid w:val="00E959A1"/>
    <w:rsid w:val="00E95BAE"/>
    <w:rsid w:val="00E97FF3"/>
    <w:rsid w:val="00EA0174"/>
    <w:rsid w:val="00EA0B11"/>
    <w:rsid w:val="00EA2009"/>
    <w:rsid w:val="00EA2AE4"/>
    <w:rsid w:val="00EA2E38"/>
    <w:rsid w:val="00EA31B6"/>
    <w:rsid w:val="00EA330D"/>
    <w:rsid w:val="00EA62E4"/>
    <w:rsid w:val="00EA64F0"/>
    <w:rsid w:val="00EA7C9D"/>
    <w:rsid w:val="00EB0F31"/>
    <w:rsid w:val="00EB2AFD"/>
    <w:rsid w:val="00EB4BD2"/>
    <w:rsid w:val="00EB714C"/>
    <w:rsid w:val="00EB79F9"/>
    <w:rsid w:val="00EC075A"/>
    <w:rsid w:val="00EC0852"/>
    <w:rsid w:val="00EC3CD4"/>
    <w:rsid w:val="00EC6E7C"/>
    <w:rsid w:val="00ED1227"/>
    <w:rsid w:val="00ED3883"/>
    <w:rsid w:val="00ED4BA6"/>
    <w:rsid w:val="00ED66BC"/>
    <w:rsid w:val="00ED6A5D"/>
    <w:rsid w:val="00ED7080"/>
    <w:rsid w:val="00ED7A89"/>
    <w:rsid w:val="00EE0562"/>
    <w:rsid w:val="00EE0AF9"/>
    <w:rsid w:val="00EE0C8A"/>
    <w:rsid w:val="00EE1D4A"/>
    <w:rsid w:val="00EE53A8"/>
    <w:rsid w:val="00EE5518"/>
    <w:rsid w:val="00EE5F2C"/>
    <w:rsid w:val="00EE63F6"/>
    <w:rsid w:val="00EE6C4A"/>
    <w:rsid w:val="00EE7559"/>
    <w:rsid w:val="00EE7763"/>
    <w:rsid w:val="00EF0E87"/>
    <w:rsid w:val="00EF0E99"/>
    <w:rsid w:val="00EF12E4"/>
    <w:rsid w:val="00EF3A5B"/>
    <w:rsid w:val="00EF45B8"/>
    <w:rsid w:val="00EF4808"/>
    <w:rsid w:val="00EF4E0D"/>
    <w:rsid w:val="00EF6517"/>
    <w:rsid w:val="00EF6F62"/>
    <w:rsid w:val="00EF791F"/>
    <w:rsid w:val="00F01388"/>
    <w:rsid w:val="00F02C61"/>
    <w:rsid w:val="00F031E5"/>
    <w:rsid w:val="00F03C57"/>
    <w:rsid w:val="00F0404C"/>
    <w:rsid w:val="00F06253"/>
    <w:rsid w:val="00F062C9"/>
    <w:rsid w:val="00F06977"/>
    <w:rsid w:val="00F06B2C"/>
    <w:rsid w:val="00F06C5A"/>
    <w:rsid w:val="00F06D59"/>
    <w:rsid w:val="00F07942"/>
    <w:rsid w:val="00F07D1E"/>
    <w:rsid w:val="00F1088B"/>
    <w:rsid w:val="00F111D2"/>
    <w:rsid w:val="00F13B61"/>
    <w:rsid w:val="00F15117"/>
    <w:rsid w:val="00F15D4C"/>
    <w:rsid w:val="00F1680C"/>
    <w:rsid w:val="00F23CD0"/>
    <w:rsid w:val="00F241ED"/>
    <w:rsid w:val="00F26A16"/>
    <w:rsid w:val="00F26D9E"/>
    <w:rsid w:val="00F31BD4"/>
    <w:rsid w:val="00F3447A"/>
    <w:rsid w:val="00F35F80"/>
    <w:rsid w:val="00F3756B"/>
    <w:rsid w:val="00F416AA"/>
    <w:rsid w:val="00F42D6A"/>
    <w:rsid w:val="00F42F45"/>
    <w:rsid w:val="00F433C1"/>
    <w:rsid w:val="00F44984"/>
    <w:rsid w:val="00F44F40"/>
    <w:rsid w:val="00F4557F"/>
    <w:rsid w:val="00F459A2"/>
    <w:rsid w:val="00F464EA"/>
    <w:rsid w:val="00F46BEB"/>
    <w:rsid w:val="00F475DA"/>
    <w:rsid w:val="00F50881"/>
    <w:rsid w:val="00F51B7C"/>
    <w:rsid w:val="00F51DEA"/>
    <w:rsid w:val="00F5230A"/>
    <w:rsid w:val="00F52449"/>
    <w:rsid w:val="00F529E5"/>
    <w:rsid w:val="00F537C6"/>
    <w:rsid w:val="00F53EE8"/>
    <w:rsid w:val="00F5556D"/>
    <w:rsid w:val="00F57240"/>
    <w:rsid w:val="00F61169"/>
    <w:rsid w:val="00F6227A"/>
    <w:rsid w:val="00F624DA"/>
    <w:rsid w:val="00F62F9A"/>
    <w:rsid w:val="00F63103"/>
    <w:rsid w:val="00F6525D"/>
    <w:rsid w:val="00F661F7"/>
    <w:rsid w:val="00F67AA3"/>
    <w:rsid w:val="00F7035F"/>
    <w:rsid w:val="00F70380"/>
    <w:rsid w:val="00F7084D"/>
    <w:rsid w:val="00F710EB"/>
    <w:rsid w:val="00F735D1"/>
    <w:rsid w:val="00F7360A"/>
    <w:rsid w:val="00F74063"/>
    <w:rsid w:val="00F7416A"/>
    <w:rsid w:val="00F74869"/>
    <w:rsid w:val="00F75170"/>
    <w:rsid w:val="00F75933"/>
    <w:rsid w:val="00F76682"/>
    <w:rsid w:val="00F770C9"/>
    <w:rsid w:val="00F81159"/>
    <w:rsid w:val="00F8292F"/>
    <w:rsid w:val="00F85E86"/>
    <w:rsid w:val="00F87139"/>
    <w:rsid w:val="00F90097"/>
    <w:rsid w:val="00F916AB"/>
    <w:rsid w:val="00F9186B"/>
    <w:rsid w:val="00F92093"/>
    <w:rsid w:val="00F94C80"/>
    <w:rsid w:val="00F954A1"/>
    <w:rsid w:val="00F95ECD"/>
    <w:rsid w:val="00F96D9B"/>
    <w:rsid w:val="00F970D5"/>
    <w:rsid w:val="00FA1A67"/>
    <w:rsid w:val="00FA33B0"/>
    <w:rsid w:val="00FA4B87"/>
    <w:rsid w:val="00FA4EF1"/>
    <w:rsid w:val="00FA6176"/>
    <w:rsid w:val="00FA630F"/>
    <w:rsid w:val="00FB033D"/>
    <w:rsid w:val="00FB16A6"/>
    <w:rsid w:val="00FB1CB8"/>
    <w:rsid w:val="00FB2AB1"/>
    <w:rsid w:val="00FB37C3"/>
    <w:rsid w:val="00FB4675"/>
    <w:rsid w:val="00FB6671"/>
    <w:rsid w:val="00FB7EDE"/>
    <w:rsid w:val="00FC0158"/>
    <w:rsid w:val="00FC048B"/>
    <w:rsid w:val="00FC06CA"/>
    <w:rsid w:val="00FC090C"/>
    <w:rsid w:val="00FC0975"/>
    <w:rsid w:val="00FC1C73"/>
    <w:rsid w:val="00FC617F"/>
    <w:rsid w:val="00FC6A21"/>
    <w:rsid w:val="00FD14C7"/>
    <w:rsid w:val="00FD182A"/>
    <w:rsid w:val="00FD28EF"/>
    <w:rsid w:val="00FD3559"/>
    <w:rsid w:val="00FD3E6D"/>
    <w:rsid w:val="00FD42B5"/>
    <w:rsid w:val="00FD6681"/>
    <w:rsid w:val="00FD783A"/>
    <w:rsid w:val="00FE2B35"/>
    <w:rsid w:val="00FE3425"/>
    <w:rsid w:val="00FE3ED3"/>
    <w:rsid w:val="00FE52D5"/>
    <w:rsid w:val="00FE7679"/>
    <w:rsid w:val="00FE7F09"/>
    <w:rsid w:val="00FF037E"/>
    <w:rsid w:val="00FF0CA7"/>
    <w:rsid w:val="00FF1459"/>
    <w:rsid w:val="00FF2415"/>
    <w:rsid w:val="00FF3D16"/>
    <w:rsid w:val="00FF59F6"/>
    <w:rsid w:val="00FF6AB5"/>
    <w:rsid w:val="00FF75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F04A6E"/>
  <w15:docId w15:val="{06CC68C5-C6CB-DF43-A8DC-6FC44D43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1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BB6"/>
    <w:pPr>
      <w:spacing w:after="0" w:line="240" w:lineRule="auto"/>
      <w:jc w:val="both"/>
    </w:pPr>
    <w:rPr>
      <w:szCs w:val="24"/>
      <w:lang w:eastAsia="zh-CN"/>
    </w:rPr>
  </w:style>
  <w:style w:type="paragraph" w:styleId="Heading1">
    <w:name w:val="heading 1"/>
    <w:basedOn w:val="Normal"/>
    <w:next w:val="Normal"/>
    <w:link w:val="Heading1Char"/>
    <w:uiPriority w:val="19"/>
    <w:unhideWhenUsed/>
    <w:rsid w:val="00B0233B"/>
    <w:pPr>
      <w:keepNext/>
      <w:keepLines/>
      <w:numPr>
        <w:numId w:val="17"/>
      </w:numPr>
      <w:spacing w:before="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9"/>
    <w:unhideWhenUsed/>
    <w:rsid w:val="00B0233B"/>
    <w:pPr>
      <w:keepNext/>
      <w:keepLines/>
      <w:numPr>
        <w:ilvl w:val="1"/>
        <w:numId w:val="17"/>
      </w:numPr>
      <w:spacing w:before="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B0233B"/>
    <w:pPr>
      <w:keepNext/>
      <w:keepLines/>
      <w:numPr>
        <w:ilvl w:val="2"/>
        <w:numId w:val="17"/>
      </w:numPr>
      <w:spacing w:before="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269C"/>
    <w:pPr>
      <w:keepNext/>
      <w:keepLines/>
      <w:numPr>
        <w:ilvl w:val="3"/>
        <w:numId w:val="17"/>
      </w:numPr>
      <w:spacing w:before="12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0233B"/>
    <w:pPr>
      <w:keepNext/>
      <w:keepLines/>
      <w:numPr>
        <w:ilvl w:val="4"/>
        <w:numId w:val="17"/>
      </w:numPr>
      <w:spacing w:before="12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0233B"/>
    <w:pPr>
      <w:keepNext/>
      <w:keepLines/>
      <w:numPr>
        <w:ilvl w:val="5"/>
        <w:numId w:val="17"/>
      </w:numPr>
      <w:spacing w:before="12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1DB3"/>
    <w:pPr>
      <w:keepNext/>
      <w:keepLines/>
      <w:numPr>
        <w:ilvl w:val="6"/>
        <w:numId w:val="17"/>
      </w:numPr>
      <w:spacing w:before="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233B"/>
    <w:pPr>
      <w:keepNext/>
      <w:keepLines/>
      <w:numPr>
        <w:ilvl w:val="7"/>
        <w:numId w:val="17"/>
      </w:numPr>
      <w:spacing w:before="12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0233B"/>
    <w:pPr>
      <w:keepNext/>
      <w:keepLines/>
      <w:numPr>
        <w:ilvl w:val="8"/>
        <w:numId w:val="17"/>
      </w:numPr>
      <w:spacing w:before="12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uiPriority w:val="4"/>
    <w:rsid w:val="00184A09"/>
    <w:pPr>
      <w:numPr>
        <w:ilvl w:val="2"/>
        <w:numId w:val="20"/>
      </w:numPr>
      <w:spacing w:before="220" w:after="220"/>
      <w:jc w:val="left"/>
    </w:pPr>
    <w:rPr>
      <w:rFonts w:eastAsiaTheme="minorEastAsia"/>
      <w:lang w:val="en-US"/>
    </w:rPr>
  </w:style>
  <w:style w:type="paragraph" w:customStyle="1" w:styleId="iiiiii">
    <w:name w:val="(i)(ii)(iii)"/>
    <w:basedOn w:val="Normal"/>
    <w:uiPriority w:val="4"/>
    <w:rsid w:val="00B0233B"/>
    <w:pPr>
      <w:numPr>
        <w:ilvl w:val="3"/>
        <w:numId w:val="20"/>
      </w:numPr>
      <w:spacing w:before="120" w:after="120"/>
    </w:pPr>
  </w:style>
  <w:style w:type="paragraph" w:customStyle="1" w:styleId="SinglePara">
    <w:name w:val="Single Para"/>
    <w:aliases w:val="sp"/>
    <w:basedOn w:val="Normal"/>
    <w:qFormat/>
    <w:rsid w:val="00B0233B"/>
    <w:pPr>
      <w:spacing w:before="120" w:after="120"/>
      <w:ind w:firstLine="720"/>
    </w:pPr>
    <w:rPr>
      <w:lang w:bidi="he-IL"/>
    </w:rPr>
  </w:style>
  <w:style w:type="paragraph" w:customStyle="1" w:styleId="Question">
    <w:name w:val="Question"/>
    <w:aliases w:val="qt"/>
    <w:basedOn w:val="Normal"/>
    <w:next w:val="Answer"/>
    <w:uiPriority w:val="4"/>
    <w:rsid w:val="00B0233B"/>
    <w:pPr>
      <w:numPr>
        <w:ilvl w:val="5"/>
        <w:numId w:val="20"/>
      </w:numPr>
      <w:spacing w:before="120"/>
    </w:pPr>
    <w:rPr>
      <w:lang w:bidi="he-IL"/>
    </w:rPr>
  </w:style>
  <w:style w:type="paragraph" w:customStyle="1" w:styleId="Answer">
    <w:name w:val="Answer"/>
    <w:aliases w:val="an"/>
    <w:basedOn w:val="Normal"/>
    <w:next w:val="Question"/>
    <w:uiPriority w:val="4"/>
    <w:rsid w:val="00B0233B"/>
    <w:pPr>
      <w:numPr>
        <w:ilvl w:val="6"/>
        <w:numId w:val="20"/>
      </w:numPr>
      <w:spacing w:before="120"/>
    </w:pPr>
    <w:rPr>
      <w:lang w:bidi="he-IL"/>
    </w:rPr>
  </w:style>
  <w:style w:type="paragraph" w:styleId="BalloonText">
    <w:name w:val="Balloon Text"/>
    <w:basedOn w:val="Normal"/>
    <w:link w:val="BalloonTextChar"/>
    <w:uiPriority w:val="99"/>
    <w:semiHidden/>
    <w:unhideWhenUsed/>
    <w:rsid w:val="00B0233B"/>
    <w:rPr>
      <w:rFonts w:ascii="Tahoma" w:hAnsi="Tahoma" w:cs="Tahoma"/>
      <w:sz w:val="16"/>
      <w:szCs w:val="16"/>
    </w:rPr>
  </w:style>
  <w:style w:type="character" w:customStyle="1" w:styleId="BalloonTextChar">
    <w:name w:val="Balloon Text Char"/>
    <w:basedOn w:val="DefaultParagraphFont"/>
    <w:link w:val="BalloonText"/>
    <w:uiPriority w:val="99"/>
    <w:semiHidden/>
    <w:rsid w:val="00B0233B"/>
    <w:rPr>
      <w:rFonts w:ascii="Tahoma" w:hAnsi="Tahoma" w:cs="Tahoma"/>
      <w:sz w:val="16"/>
      <w:szCs w:val="16"/>
      <w:lang w:val="en-US" w:eastAsia="zh-CN"/>
    </w:rPr>
  </w:style>
  <w:style w:type="table" w:customStyle="1" w:styleId="BandedTable">
    <w:name w:val="Banded Table"/>
    <w:basedOn w:val="TableNormal"/>
    <w:uiPriority w:val="99"/>
    <w:rsid w:val="00B0233B"/>
    <w:pPr>
      <w:spacing w:after="0" w:line="240" w:lineRule="auto"/>
    </w:pPr>
    <w:rPr>
      <w:sz w:val="24"/>
      <w:szCs w:val="24"/>
      <w:lang w:val="en-US" w:eastAsia="zh-C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Pr>
    <w:trPr>
      <w:cantSplit/>
    </w:trPr>
    <w:tcPr>
      <w:vAlign w:val="bottom"/>
    </w:tcPr>
    <w:tblStylePr w:type="firstRow">
      <w:pPr>
        <w:jc w:val="center"/>
      </w:pPr>
      <w:rPr>
        <w:b/>
        <w:color w:val="auto"/>
      </w:rPr>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BracketedComment">
    <w:name w:val="Bracketed Comment"/>
    <w:aliases w:val="br"/>
    <w:basedOn w:val="DefaultParagraphFont"/>
    <w:uiPriority w:val="9"/>
    <w:rsid w:val="00B0233B"/>
    <w:rPr>
      <w:b/>
    </w:rPr>
  </w:style>
  <w:style w:type="paragraph" w:customStyle="1" w:styleId="BulletPara">
    <w:name w:val="Bullet Para"/>
    <w:aliases w:val="bp"/>
    <w:basedOn w:val="Normal"/>
    <w:uiPriority w:val="4"/>
    <w:qFormat/>
    <w:rsid w:val="00750C16"/>
    <w:pPr>
      <w:numPr>
        <w:numId w:val="2"/>
      </w:numPr>
      <w:spacing w:line="480" w:lineRule="auto"/>
      <w:jc w:val="left"/>
    </w:pPr>
    <w:rPr>
      <w:rFonts w:eastAsiaTheme="minorEastAsia"/>
      <w:lang w:val="en-US"/>
    </w:rPr>
  </w:style>
  <w:style w:type="paragraph" w:customStyle="1" w:styleId="BulletParaAlt">
    <w:name w:val="Bullet Para Alt"/>
    <w:aliases w:val="bpa"/>
    <w:basedOn w:val="Normal"/>
    <w:uiPriority w:val="4"/>
    <w:rsid w:val="00750C16"/>
    <w:pPr>
      <w:numPr>
        <w:ilvl w:val="2"/>
        <w:numId w:val="2"/>
      </w:numPr>
      <w:spacing w:line="480" w:lineRule="auto"/>
      <w:jc w:val="left"/>
    </w:pPr>
    <w:rPr>
      <w:rFonts w:eastAsiaTheme="minorEastAsia"/>
      <w:lang w:val="en-US"/>
    </w:rPr>
  </w:style>
  <w:style w:type="paragraph" w:customStyle="1" w:styleId="BulletPara2">
    <w:name w:val="Bullet Para2"/>
    <w:aliases w:val="bp2"/>
    <w:basedOn w:val="Normal"/>
    <w:uiPriority w:val="4"/>
    <w:rsid w:val="00750C16"/>
    <w:pPr>
      <w:numPr>
        <w:ilvl w:val="1"/>
        <w:numId w:val="2"/>
      </w:numPr>
      <w:spacing w:line="480" w:lineRule="auto"/>
      <w:jc w:val="left"/>
    </w:pPr>
    <w:rPr>
      <w:rFonts w:eastAsiaTheme="minorEastAsia"/>
      <w:lang w:val="en-US"/>
    </w:rPr>
  </w:style>
  <w:style w:type="character" w:customStyle="1" w:styleId="Citation">
    <w:name w:val="Citation"/>
    <w:aliases w:val="ct"/>
    <w:basedOn w:val="DefaultParagraphFont"/>
    <w:uiPriority w:val="9"/>
    <w:rsid w:val="00B0233B"/>
    <w:rPr>
      <w:u w:val="single"/>
    </w:rPr>
  </w:style>
  <w:style w:type="paragraph" w:customStyle="1" w:styleId="CoverPara">
    <w:name w:val="Cover: Para"/>
    <w:aliases w:val="cp"/>
    <w:basedOn w:val="Normal"/>
    <w:rsid w:val="00B0233B"/>
    <w:pPr>
      <w:spacing w:before="100"/>
    </w:pPr>
    <w:rPr>
      <w:sz w:val="18"/>
      <w:lang w:bidi="he-IL"/>
    </w:rPr>
  </w:style>
  <w:style w:type="paragraph" w:customStyle="1" w:styleId="CoverCenter">
    <w:name w:val="Cover: Center"/>
    <w:aliases w:val="cc"/>
    <w:basedOn w:val="CoverPara"/>
    <w:rsid w:val="00B0233B"/>
    <w:pPr>
      <w:keepLines/>
      <w:jc w:val="center"/>
    </w:pPr>
    <w:rPr>
      <w:b/>
      <w:sz w:val="24"/>
    </w:rPr>
  </w:style>
  <w:style w:type="paragraph" w:customStyle="1" w:styleId="CoverCenterLarge">
    <w:name w:val="Cover: CenterLarge"/>
    <w:aliases w:val="ccl"/>
    <w:basedOn w:val="CoverPara"/>
    <w:rsid w:val="00B0233B"/>
    <w:pPr>
      <w:keepLines/>
      <w:spacing w:before="200" w:after="100"/>
      <w:jc w:val="center"/>
    </w:pPr>
    <w:rPr>
      <w:b/>
      <w:bCs/>
      <w:sz w:val="32"/>
      <w:szCs w:val="32"/>
    </w:rPr>
  </w:style>
  <w:style w:type="paragraph" w:customStyle="1" w:styleId="CoverDivider">
    <w:name w:val="Cover: Divider"/>
    <w:aliases w:val="cd"/>
    <w:basedOn w:val="Normal"/>
    <w:next w:val="CoverPara"/>
    <w:rsid w:val="00B0233B"/>
    <w:pPr>
      <w:jc w:val="center"/>
    </w:pPr>
    <w:rPr>
      <w:sz w:val="16"/>
      <w:u w:val="single"/>
      <w:lang w:bidi="he-IL"/>
    </w:rPr>
  </w:style>
  <w:style w:type="table" w:styleId="DarkList">
    <w:name w:val="Dark List"/>
    <w:basedOn w:val="TableNormal"/>
    <w:uiPriority w:val="70"/>
    <w:rsid w:val="00B0233B"/>
    <w:pPr>
      <w:spacing w:after="0" w:line="240" w:lineRule="auto"/>
    </w:pPr>
    <w:rPr>
      <w:color w:val="FFFFFF" w:themeColor="background1"/>
      <w:sz w:val="24"/>
      <w:szCs w:val="24"/>
      <w:lang w:val="en-US"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DefinedTerm">
    <w:name w:val="Defined Term"/>
    <w:aliases w:val="dt"/>
    <w:basedOn w:val="DefaultParagraphFont"/>
    <w:uiPriority w:val="9"/>
    <w:rsid w:val="00B0233B"/>
    <w:rPr>
      <w:b/>
      <w:bCs/>
      <w:color w:val="auto"/>
    </w:rPr>
  </w:style>
  <w:style w:type="paragraph" w:customStyle="1" w:styleId="DoublePara">
    <w:name w:val="Double Para"/>
    <w:aliases w:val="dp"/>
    <w:basedOn w:val="Normal"/>
    <w:link w:val="DoubleParaChar"/>
    <w:qFormat/>
    <w:rsid w:val="001A5F1F"/>
    <w:pPr>
      <w:spacing w:line="480" w:lineRule="auto"/>
      <w:ind w:firstLine="720"/>
    </w:pPr>
    <w:rPr>
      <w:lang w:bidi="he-IL"/>
    </w:rPr>
  </w:style>
  <w:style w:type="paragraph" w:customStyle="1" w:styleId="DoubleParaFlush">
    <w:name w:val="Double Para Flush"/>
    <w:aliases w:val="dpf"/>
    <w:basedOn w:val="DoublePara"/>
    <w:next w:val="DoublePara"/>
    <w:autoRedefine/>
    <w:rsid w:val="00184A09"/>
    <w:pPr>
      <w:ind w:firstLine="0"/>
    </w:pPr>
  </w:style>
  <w:style w:type="character" w:customStyle="1" w:styleId="Draftline">
    <w:name w:val="Draftline"/>
    <w:basedOn w:val="DefaultParagraphFont"/>
    <w:semiHidden/>
    <w:rsid w:val="00B0233B"/>
    <w:rPr>
      <w:rFonts w:ascii="Times New Roman" w:hAnsi="Times New Roman" w:cs="Times New Roman"/>
      <w:dstrike w:val="0"/>
      <w:vanish/>
      <w:color w:val="FF0000"/>
      <w:sz w:val="15"/>
      <w:szCs w:val="15"/>
      <w:u w:val="none"/>
      <w:vertAlign w:val="baseline"/>
    </w:rPr>
  </w:style>
  <w:style w:type="paragraph" w:styleId="EndnoteText">
    <w:name w:val="endnote text"/>
    <w:basedOn w:val="Normal"/>
    <w:link w:val="EndnoteTextChar"/>
    <w:uiPriority w:val="99"/>
    <w:semiHidden/>
    <w:unhideWhenUsed/>
    <w:rsid w:val="00B0233B"/>
    <w:pPr>
      <w:spacing w:after="120"/>
      <w:ind w:left="360" w:hanging="360"/>
    </w:pPr>
    <w:rPr>
      <w:sz w:val="16"/>
      <w:szCs w:val="20"/>
    </w:rPr>
  </w:style>
  <w:style w:type="character" w:customStyle="1" w:styleId="EndnoteTextChar">
    <w:name w:val="Endnote Text Char"/>
    <w:basedOn w:val="DefaultParagraphFont"/>
    <w:link w:val="EndnoteText"/>
    <w:uiPriority w:val="99"/>
    <w:semiHidden/>
    <w:rsid w:val="00B0233B"/>
    <w:rPr>
      <w:sz w:val="16"/>
      <w:szCs w:val="20"/>
      <w:lang w:val="en-US" w:eastAsia="zh-CN"/>
    </w:rPr>
  </w:style>
  <w:style w:type="table" w:customStyle="1" w:styleId="FinancialTable">
    <w:name w:val="Financial Table"/>
    <w:basedOn w:val="TableNormal"/>
    <w:uiPriority w:val="99"/>
    <w:rsid w:val="00B0233B"/>
    <w:pPr>
      <w:spacing w:after="0" w:line="240" w:lineRule="auto"/>
    </w:pPr>
    <w:rPr>
      <w:sz w:val="18"/>
      <w:szCs w:val="24"/>
      <w:lang w:val="en-US" w:eastAsia="zh-CN"/>
    </w:rPr>
    <w:tblPr>
      <w:tblCellMar>
        <w:top w:w="29" w:type="dxa"/>
        <w:left w:w="86" w:type="dxa"/>
        <w:bottom w:w="29" w:type="dxa"/>
        <w:right w:w="86" w:type="dxa"/>
      </w:tblCellMar>
    </w:tblPr>
    <w:trPr>
      <w:cantSplit/>
    </w:trPr>
    <w:tcPr>
      <w:vAlign w:val="bottom"/>
    </w:tcPr>
    <w:tblStylePr w:type="firstRow">
      <w:pPr>
        <w:jc w:val="center"/>
      </w:pPr>
      <w:rPr>
        <w:b/>
      </w:rPr>
      <w:tblPr/>
      <w:trPr>
        <w:cantSplit w:val="0"/>
        <w:tblHeader/>
      </w:trPr>
    </w:tblStylePr>
    <w:tblStylePr w:type="firstCol">
      <w:pPr>
        <w:wordWrap/>
        <w:ind w:hangingChars="120" w:hanging="120"/>
      </w:pPr>
    </w:tblStylePr>
  </w:style>
  <w:style w:type="paragraph" w:customStyle="1" w:styleId="FooterB">
    <w:name w:val="Footer B"/>
    <w:link w:val="FooterBChar"/>
    <w:rsid w:val="002376B9"/>
    <w:pPr>
      <w:tabs>
        <w:tab w:val="center" w:pos="4680"/>
        <w:tab w:val="right" w:pos="9360"/>
      </w:tabs>
      <w:spacing w:after="0" w:line="240" w:lineRule="auto"/>
    </w:pPr>
    <w:rPr>
      <w:rFonts w:ascii="Times New Roman" w:hAnsi="Times New Roman" w:cs="Times New Roman"/>
      <w:sz w:val="15"/>
      <w:szCs w:val="24"/>
      <w:lang w:val="en-US" w:eastAsia="zh-CN" w:bidi="he-IL"/>
    </w:rPr>
  </w:style>
  <w:style w:type="paragraph" w:styleId="FootnoteText">
    <w:name w:val="footnote text"/>
    <w:basedOn w:val="Normal"/>
    <w:link w:val="FootnoteTextChar"/>
    <w:unhideWhenUsed/>
    <w:rsid w:val="001A5F1F"/>
    <w:pPr>
      <w:spacing w:after="120"/>
      <w:ind w:left="360" w:hanging="360"/>
      <w:jc w:val="left"/>
    </w:pPr>
    <w:rPr>
      <w:sz w:val="16"/>
      <w:szCs w:val="20"/>
      <w:lang w:bidi="he-IL"/>
    </w:rPr>
  </w:style>
  <w:style w:type="character" w:customStyle="1" w:styleId="FootnoteTextChar">
    <w:name w:val="Footnote Text Char"/>
    <w:basedOn w:val="DefaultParagraphFont"/>
    <w:link w:val="FootnoteText"/>
    <w:rsid w:val="001A5F1F"/>
    <w:rPr>
      <w:sz w:val="16"/>
      <w:szCs w:val="20"/>
      <w:lang w:eastAsia="zh-CN" w:bidi="he-IL"/>
    </w:rPr>
  </w:style>
  <w:style w:type="paragraph" w:customStyle="1" w:styleId="FootnoteText2">
    <w:name w:val="Footnote Text2"/>
    <w:basedOn w:val="Normal"/>
    <w:semiHidden/>
    <w:rsid w:val="00B0233B"/>
    <w:pPr>
      <w:spacing w:after="120"/>
      <w:ind w:left="720"/>
    </w:pPr>
    <w:rPr>
      <w:lang w:bidi="he-IL"/>
    </w:rPr>
  </w:style>
  <w:style w:type="paragraph" w:customStyle="1" w:styleId="Graphic">
    <w:name w:val="Graphic"/>
    <w:aliases w:val="g"/>
    <w:basedOn w:val="Normal"/>
    <w:next w:val="SinglePara"/>
    <w:rsid w:val="00B0233B"/>
    <w:pPr>
      <w:spacing w:before="120"/>
      <w:jc w:val="center"/>
    </w:pPr>
    <w:rPr>
      <w:sz w:val="16"/>
      <w:szCs w:val="16"/>
      <w:lang w:bidi="he-IL"/>
    </w:rPr>
  </w:style>
  <w:style w:type="character" w:customStyle="1" w:styleId="Heading1Char">
    <w:name w:val="Heading 1 Char"/>
    <w:basedOn w:val="DefaultParagraphFont"/>
    <w:link w:val="Heading1"/>
    <w:uiPriority w:val="19"/>
    <w:rsid w:val="00B0233B"/>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19"/>
    <w:rsid w:val="00B0233B"/>
    <w:rPr>
      <w:rFonts w:asciiTheme="majorHAnsi" w:eastAsiaTheme="majorEastAsia" w:hAnsiTheme="majorHAnsi" w:cstheme="majorBidi"/>
      <w:b/>
      <w:bCs/>
      <w:color w:val="4F81BD" w:themeColor="accent1"/>
      <w:sz w:val="26"/>
      <w:szCs w:val="26"/>
      <w:lang w:eastAsia="zh-CN"/>
    </w:rPr>
  </w:style>
  <w:style w:type="paragraph" w:customStyle="1" w:styleId="HeadingCenter">
    <w:name w:val="Heading: Center"/>
    <w:aliases w:val="hc"/>
    <w:basedOn w:val="Normal"/>
    <w:next w:val="SinglePara"/>
    <w:link w:val="HeadingCenterChar"/>
    <w:rsid w:val="00B0233B"/>
    <w:pPr>
      <w:keepNext/>
      <w:keepLines/>
      <w:spacing w:before="120" w:after="120"/>
      <w:jc w:val="center"/>
    </w:pPr>
    <w:rPr>
      <w:rFonts w:asciiTheme="majorHAnsi" w:hAnsiTheme="majorHAnsi"/>
      <w:lang w:bidi="he-IL"/>
    </w:rPr>
  </w:style>
  <w:style w:type="character" w:customStyle="1" w:styleId="HeadingCenterChar">
    <w:name w:val="Heading: Center Char"/>
    <w:aliases w:val="hc Char"/>
    <w:basedOn w:val="DefaultParagraphFont"/>
    <w:link w:val="HeadingCenter"/>
    <w:rsid w:val="00B0233B"/>
    <w:rPr>
      <w:rFonts w:asciiTheme="majorHAnsi" w:hAnsiTheme="majorHAnsi"/>
      <w:szCs w:val="24"/>
      <w:lang w:val="en-US" w:eastAsia="zh-CN" w:bidi="he-IL"/>
    </w:rPr>
  </w:style>
  <w:style w:type="paragraph" w:customStyle="1" w:styleId="HeadingCenterBold">
    <w:name w:val="Heading: CenterBold"/>
    <w:aliases w:val="hcb"/>
    <w:basedOn w:val="HeadingCenter"/>
    <w:next w:val="SinglePara"/>
    <w:qFormat/>
    <w:rsid w:val="00B0233B"/>
    <w:rPr>
      <w:rFonts w:cs="Times New Roman Bold"/>
      <w:b/>
    </w:rPr>
  </w:style>
  <w:style w:type="paragraph" w:customStyle="1" w:styleId="HeadingCenterLarge">
    <w:name w:val="Heading: CenterLarge"/>
    <w:aliases w:val="hcl"/>
    <w:basedOn w:val="HeadingCenter"/>
    <w:next w:val="SinglePara"/>
    <w:rsid w:val="00B0233B"/>
    <w:rPr>
      <w:b/>
      <w:sz w:val="28"/>
    </w:rPr>
  </w:style>
  <w:style w:type="paragraph" w:customStyle="1" w:styleId="HeadingCenterUnd">
    <w:name w:val="Heading: CenterUnd"/>
    <w:aliases w:val="hcu"/>
    <w:basedOn w:val="HeadingCenter"/>
    <w:next w:val="SinglePara"/>
    <w:rsid w:val="00B0233B"/>
    <w:rPr>
      <w:u w:val="single"/>
    </w:rPr>
  </w:style>
  <w:style w:type="paragraph" w:customStyle="1" w:styleId="HeadingLeftBold">
    <w:name w:val="Heading: LeftBold"/>
    <w:aliases w:val="hlb"/>
    <w:basedOn w:val="Normal"/>
    <w:next w:val="SinglePara"/>
    <w:link w:val="HeadingLeftBoldChar"/>
    <w:qFormat/>
    <w:rsid w:val="00B0233B"/>
    <w:pPr>
      <w:keepNext/>
      <w:keepLines/>
      <w:spacing w:before="120"/>
      <w:jc w:val="left"/>
    </w:pPr>
    <w:rPr>
      <w:rFonts w:asciiTheme="majorHAnsi" w:hAnsiTheme="majorHAnsi"/>
      <w:b/>
      <w:bCs/>
      <w:lang w:bidi="he-IL"/>
    </w:rPr>
  </w:style>
  <w:style w:type="character" w:customStyle="1" w:styleId="HeadingLeftBoldChar">
    <w:name w:val="Heading: LeftBold Char"/>
    <w:aliases w:val="hlb Char"/>
    <w:basedOn w:val="DefaultParagraphFont"/>
    <w:link w:val="HeadingLeftBold"/>
    <w:rsid w:val="00B0233B"/>
    <w:rPr>
      <w:rFonts w:asciiTheme="majorHAnsi" w:hAnsiTheme="majorHAnsi"/>
      <w:b/>
      <w:bCs/>
      <w:szCs w:val="24"/>
      <w:lang w:val="en-US" w:eastAsia="zh-CN" w:bidi="he-IL"/>
    </w:rPr>
  </w:style>
  <w:style w:type="paragraph" w:customStyle="1" w:styleId="HeadingIndent">
    <w:name w:val="Heading: Indent"/>
    <w:aliases w:val="hin"/>
    <w:basedOn w:val="HeadingLeftBold"/>
    <w:next w:val="SinglePara"/>
    <w:rsid w:val="00B0233B"/>
    <w:pPr>
      <w:ind w:left="360"/>
    </w:pPr>
    <w:rPr>
      <w:i/>
    </w:rPr>
  </w:style>
  <w:style w:type="paragraph" w:customStyle="1" w:styleId="HeadingLeftBoldItal">
    <w:name w:val="Heading: LeftBoldItal"/>
    <w:aliases w:val="hlbi"/>
    <w:basedOn w:val="HeadingLeftBold"/>
    <w:next w:val="SinglePara"/>
    <w:rsid w:val="00B0233B"/>
    <w:rPr>
      <w:rFonts w:cs="Times New Roman Bold"/>
      <w:i/>
      <w:iCs/>
    </w:rPr>
  </w:style>
  <w:style w:type="paragraph" w:customStyle="1" w:styleId="HeadingLeftBoldUnd">
    <w:name w:val="Heading: LeftBoldUnd"/>
    <w:aliases w:val="hlbu"/>
    <w:basedOn w:val="HeadingLeftBold"/>
    <w:next w:val="SinglePara"/>
    <w:rsid w:val="00BE1285"/>
    <w:pPr>
      <w:spacing w:before="0" w:after="220"/>
    </w:pPr>
    <w:rPr>
      <w:rFonts w:cs="Times New Roman Bold"/>
      <w:u w:val="single"/>
    </w:rPr>
  </w:style>
  <w:style w:type="paragraph" w:customStyle="1" w:styleId="HeadingLeftItal">
    <w:name w:val="Heading: LeftItal"/>
    <w:aliases w:val="hli"/>
    <w:basedOn w:val="HeadingLeftBold"/>
    <w:next w:val="SinglePara"/>
    <w:rsid w:val="00BE1285"/>
    <w:pPr>
      <w:spacing w:before="0" w:after="220"/>
    </w:pPr>
    <w:rPr>
      <w:b w:val="0"/>
      <w:i/>
    </w:rPr>
  </w:style>
  <w:style w:type="paragraph" w:customStyle="1" w:styleId="HeadingLeftUnd">
    <w:name w:val="Heading: LeftUnd"/>
    <w:aliases w:val="hlu"/>
    <w:basedOn w:val="HeadingLeftBold"/>
    <w:next w:val="SinglePara"/>
    <w:rsid w:val="00B0233B"/>
    <w:rPr>
      <w:b w:val="0"/>
      <w:u w:val="single"/>
    </w:rPr>
  </w:style>
  <w:style w:type="paragraph" w:customStyle="1" w:styleId="HeadingRight">
    <w:name w:val="Heading: Right"/>
    <w:aliases w:val="hr"/>
    <w:basedOn w:val="Normal"/>
    <w:next w:val="Normal"/>
    <w:rsid w:val="00B0233B"/>
    <w:pPr>
      <w:keepNext/>
      <w:keepLines/>
      <w:spacing w:before="120"/>
      <w:jc w:val="right"/>
    </w:pPr>
    <w:rPr>
      <w:rFonts w:asciiTheme="majorHAnsi" w:hAnsiTheme="majorHAnsi"/>
      <w:u w:val="single"/>
      <w:lang w:bidi="he-IL"/>
    </w:rPr>
  </w:style>
  <w:style w:type="paragraph" w:customStyle="1" w:styleId="HeadingRightTitle">
    <w:name w:val="Heading: RightTitle"/>
    <w:aliases w:val="hrt"/>
    <w:basedOn w:val="HeadingRight"/>
    <w:next w:val="HeadingCenterBold"/>
    <w:rsid w:val="00B0233B"/>
    <w:pPr>
      <w:spacing w:after="120"/>
    </w:pPr>
    <w:rPr>
      <w:rFonts w:cs="Times New Roman Bold"/>
      <w:b/>
      <w:bCs/>
      <w:u w:val="none"/>
    </w:rPr>
  </w:style>
  <w:style w:type="paragraph" w:customStyle="1" w:styleId="HeadingTOC1">
    <w:name w:val="Heading: TOC1"/>
    <w:aliases w:val="ht1"/>
    <w:basedOn w:val="HeadingCenter"/>
    <w:next w:val="SinglePara"/>
    <w:link w:val="HeadingTOC1Char"/>
    <w:qFormat/>
    <w:rsid w:val="00B0233B"/>
    <w:pPr>
      <w:outlineLvl w:val="0"/>
    </w:pPr>
    <w:rPr>
      <w:b/>
    </w:rPr>
  </w:style>
  <w:style w:type="character" w:customStyle="1" w:styleId="HeadingTOC1Char">
    <w:name w:val="Heading: TOC1 Char"/>
    <w:aliases w:val="ht1 Char"/>
    <w:basedOn w:val="HeadingCenterChar"/>
    <w:link w:val="HeadingTOC1"/>
    <w:rsid w:val="00B0233B"/>
    <w:rPr>
      <w:rFonts w:asciiTheme="majorHAnsi" w:hAnsiTheme="majorHAnsi"/>
      <w:b/>
      <w:szCs w:val="24"/>
      <w:lang w:val="en-US" w:eastAsia="zh-CN" w:bidi="he-IL"/>
    </w:rPr>
  </w:style>
  <w:style w:type="paragraph" w:customStyle="1" w:styleId="HeadingTOC2">
    <w:name w:val="Heading: TOC2"/>
    <w:aliases w:val="ht2"/>
    <w:basedOn w:val="HeadingLeftBold"/>
    <w:next w:val="SinglePara"/>
    <w:link w:val="HeadingTOC2Char"/>
    <w:qFormat/>
    <w:rsid w:val="00B0233B"/>
    <w:pPr>
      <w:jc w:val="center"/>
      <w:outlineLvl w:val="1"/>
    </w:pPr>
    <w:rPr>
      <w:b w:val="0"/>
      <w:u w:val="single"/>
    </w:rPr>
  </w:style>
  <w:style w:type="character" w:customStyle="1" w:styleId="HeadingTOC2Char">
    <w:name w:val="Heading: TOC2 Char"/>
    <w:aliases w:val="ht2 Char"/>
    <w:basedOn w:val="DefaultParagraphFont"/>
    <w:link w:val="HeadingTOC2"/>
    <w:rsid w:val="00B0233B"/>
    <w:rPr>
      <w:rFonts w:asciiTheme="majorHAnsi" w:hAnsiTheme="majorHAnsi"/>
      <w:bCs/>
      <w:szCs w:val="24"/>
      <w:u w:val="single"/>
      <w:lang w:val="en-US" w:eastAsia="zh-CN" w:bidi="he-IL"/>
    </w:rPr>
  </w:style>
  <w:style w:type="table" w:customStyle="1" w:styleId="IndentedTable">
    <w:name w:val="Indented Table"/>
    <w:basedOn w:val="TableNormal"/>
    <w:uiPriority w:val="99"/>
    <w:rsid w:val="00B0233B"/>
    <w:pPr>
      <w:spacing w:after="0" w:line="240" w:lineRule="auto"/>
    </w:pPr>
    <w:rPr>
      <w:sz w:val="24"/>
      <w:szCs w:val="24"/>
      <w:lang w:val="en-US" w:eastAsia="zh-CN"/>
    </w:rPr>
    <w:tblPr>
      <w:tblInd w:w="720" w:type="dxa"/>
      <w:tblCellMar>
        <w:top w:w="29" w:type="dxa"/>
        <w:left w:w="86" w:type="dxa"/>
        <w:bottom w:w="29" w:type="dxa"/>
        <w:right w:w="86" w:type="dxa"/>
      </w:tblCellMar>
    </w:tblPr>
    <w:trPr>
      <w:cantSplit/>
    </w:trPr>
  </w:style>
  <w:style w:type="paragraph" w:customStyle="1" w:styleId="ListDoublePara">
    <w:name w:val="List Double Para"/>
    <w:aliases w:val="ldp"/>
    <w:basedOn w:val="Normal"/>
    <w:uiPriority w:val="4"/>
    <w:rsid w:val="00B0233B"/>
    <w:pPr>
      <w:numPr>
        <w:ilvl w:val="1"/>
        <w:numId w:val="20"/>
      </w:numPr>
      <w:spacing w:line="480" w:lineRule="auto"/>
    </w:pPr>
  </w:style>
  <w:style w:type="paragraph" w:customStyle="1" w:styleId="ListSinglePara">
    <w:name w:val="List Single Para"/>
    <w:aliases w:val="lsp"/>
    <w:basedOn w:val="Normal"/>
    <w:uiPriority w:val="4"/>
    <w:rsid w:val="00B0233B"/>
    <w:pPr>
      <w:numPr>
        <w:numId w:val="20"/>
      </w:numPr>
      <w:spacing w:before="120" w:after="120"/>
    </w:pPr>
  </w:style>
  <w:style w:type="paragraph" w:customStyle="1" w:styleId="NoticeAddress">
    <w:name w:val="Notice Address"/>
    <w:aliases w:val="na"/>
    <w:basedOn w:val="Normal"/>
    <w:next w:val="NoticeHeading"/>
    <w:rsid w:val="00B0233B"/>
    <w:pPr>
      <w:keepLines/>
      <w:tabs>
        <w:tab w:val="left" w:pos="2160"/>
      </w:tabs>
      <w:spacing w:before="120"/>
      <w:ind w:left="1440"/>
      <w:jc w:val="left"/>
    </w:pPr>
    <w:rPr>
      <w:lang w:bidi="he-IL"/>
    </w:rPr>
  </w:style>
  <w:style w:type="paragraph" w:customStyle="1" w:styleId="NoticeHeading">
    <w:name w:val="Notice Heading"/>
    <w:aliases w:val="nh"/>
    <w:basedOn w:val="Normal"/>
    <w:next w:val="NoticeAddress"/>
    <w:rsid w:val="00B0233B"/>
    <w:pPr>
      <w:keepNext/>
      <w:keepLines/>
      <w:spacing w:before="120"/>
      <w:ind w:left="1440"/>
      <w:jc w:val="left"/>
    </w:pPr>
    <w:rPr>
      <w:lang w:bidi="he-IL"/>
    </w:rPr>
  </w:style>
  <w:style w:type="paragraph" w:customStyle="1" w:styleId="OrdinalPara">
    <w:name w:val="Ordinal Para"/>
    <w:aliases w:val="op"/>
    <w:basedOn w:val="Normal"/>
    <w:uiPriority w:val="4"/>
    <w:rsid w:val="00B0233B"/>
    <w:pPr>
      <w:numPr>
        <w:ilvl w:val="4"/>
        <w:numId w:val="20"/>
      </w:numPr>
      <w:spacing w:before="120" w:after="120"/>
    </w:pPr>
  </w:style>
  <w:style w:type="paragraph" w:customStyle="1" w:styleId="Parties">
    <w:name w:val="Parties"/>
    <w:basedOn w:val="Normal"/>
    <w:uiPriority w:val="4"/>
    <w:rsid w:val="00B0233B"/>
    <w:pPr>
      <w:keepLines/>
      <w:numPr>
        <w:ilvl w:val="7"/>
        <w:numId w:val="20"/>
      </w:numPr>
      <w:spacing w:before="120" w:after="120"/>
    </w:pPr>
  </w:style>
  <w:style w:type="paragraph" w:customStyle="1" w:styleId="QuoteBlock">
    <w:name w:val="Quote Block"/>
    <w:aliases w:val="qb"/>
    <w:basedOn w:val="Normal"/>
    <w:next w:val="DoubleParaFlush"/>
    <w:qFormat/>
    <w:rsid w:val="00B0233B"/>
    <w:pPr>
      <w:spacing w:after="120"/>
      <w:ind w:left="720" w:right="720"/>
    </w:pPr>
    <w:rPr>
      <w:lang w:bidi="he-IL"/>
    </w:rPr>
  </w:style>
  <w:style w:type="paragraph" w:customStyle="1" w:styleId="QuoteBlockIndent">
    <w:name w:val="Quote Block Indent"/>
    <w:aliases w:val="qbi"/>
    <w:basedOn w:val="QuoteBlock"/>
    <w:next w:val="DoubleParaFlush"/>
    <w:rsid w:val="00B0233B"/>
    <w:pPr>
      <w:ind w:firstLine="720"/>
    </w:pPr>
  </w:style>
  <w:style w:type="paragraph" w:customStyle="1" w:styleId="Recitals">
    <w:name w:val="Recitals"/>
    <w:basedOn w:val="Normal"/>
    <w:uiPriority w:val="4"/>
    <w:rsid w:val="00B0233B"/>
    <w:pPr>
      <w:keepLines/>
      <w:numPr>
        <w:ilvl w:val="8"/>
        <w:numId w:val="20"/>
      </w:numPr>
      <w:spacing w:before="120" w:after="120"/>
    </w:pPr>
  </w:style>
  <w:style w:type="character" w:customStyle="1" w:styleId="Reference">
    <w:name w:val="Reference"/>
    <w:aliases w:val="rf"/>
    <w:basedOn w:val="DefaultParagraphFont"/>
    <w:uiPriority w:val="9"/>
    <w:rsid w:val="00B0233B"/>
    <w:rPr>
      <w:u w:val="single"/>
    </w:rPr>
  </w:style>
  <w:style w:type="character" w:customStyle="1" w:styleId="Run-inheading">
    <w:name w:val="Run-in heading"/>
    <w:aliases w:val="ri"/>
    <w:basedOn w:val="DefaultParagraphFont"/>
    <w:uiPriority w:val="9"/>
    <w:rsid w:val="00B0233B"/>
    <w:rPr>
      <w:i/>
      <w:iCs/>
    </w:rPr>
  </w:style>
  <w:style w:type="numbering" w:customStyle="1" w:styleId="FlatBulletsList">
    <w:name w:val="FlatBulletsList"/>
    <w:basedOn w:val="NoList"/>
    <w:uiPriority w:val="99"/>
    <w:rsid w:val="00750C16"/>
    <w:pPr>
      <w:numPr>
        <w:numId w:val="2"/>
      </w:numPr>
    </w:pPr>
  </w:style>
  <w:style w:type="numbering" w:customStyle="1" w:styleId="FlatNumbersList">
    <w:name w:val="FlatNumbersList"/>
    <w:basedOn w:val="NoList"/>
    <w:uiPriority w:val="99"/>
    <w:rsid w:val="00B0233B"/>
    <w:pPr>
      <w:numPr>
        <w:numId w:val="1"/>
      </w:numPr>
    </w:pPr>
  </w:style>
  <w:style w:type="table" w:customStyle="1" w:styleId="ShadedTable">
    <w:name w:val="Shaded Table"/>
    <w:basedOn w:val="TableNormal"/>
    <w:uiPriority w:val="99"/>
    <w:rsid w:val="00B0233B"/>
    <w:pPr>
      <w:spacing w:after="0" w:line="240" w:lineRule="auto"/>
    </w:pPr>
    <w:rPr>
      <w:sz w:val="24"/>
      <w:szCs w:val="24"/>
      <w:lang w:val="en-US" w:eastAsia="zh-CN"/>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rPr>
      <w:cantSplit/>
      <w:jc w:val="center"/>
    </w:trPr>
    <w:tcPr>
      <w:shd w:val="clear" w:color="auto" w:fill="auto"/>
      <w:vAlign w:val="bottom"/>
    </w:tcPr>
    <w:tblStylePr w:type="firstRow">
      <w:pPr>
        <w:jc w:val="center"/>
      </w:pPr>
      <w:rPr>
        <w:b/>
      </w:rPr>
      <w:tblPr/>
      <w:tcPr>
        <w:tcBorders>
          <w:top w:val="double" w:sz="4" w:space="0" w:color="auto"/>
          <w:left w:val="double" w:sz="4" w:space="0" w:color="auto"/>
          <w:bottom w:val="double" w:sz="4" w:space="0" w:color="auto"/>
          <w:right w:val="double" w:sz="4" w:space="0" w:color="auto"/>
          <w:insideH w:val="nil"/>
          <w:insideV w:val="single" w:sz="4" w:space="0" w:color="auto"/>
          <w:tl2br w:val="nil"/>
          <w:tr2bl w:val="nil"/>
        </w:tcBorders>
        <w:shd w:val="clear" w:color="auto" w:fill="D9D9D9" w:themeFill="background1" w:themeFillShade="D9"/>
      </w:tcPr>
    </w:tblStylePr>
  </w:style>
  <w:style w:type="paragraph" w:customStyle="1" w:styleId="SignatureBlock">
    <w:name w:val="Signature Block"/>
    <w:aliases w:val="sb"/>
    <w:basedOn w:val="Normal"/>
    <w:rsid w:val="00B0233B"/>
    <w:pPr>
      <w:keepLines/>
      <w:tabs>
        <w:tab w:val="left" w:pos="4752"/>
        <w:tab w:val="left" w:pos="5472"/>
        <w:tab w:val="right" w:pos="9000"/>
      </w:tabs>
      <w:spacing w:before="220"/>
      <w:ind w:left="4320"/>
      <w:jc w:val="left"/>
    </w:pPr>
    <w:rPr>
      <w:lang w:bidi="he-IL"/>
    </w:rPr>
  </w:style>
  <w:style w:type="paragraph" w:customStyle="1" w:styleId="SingleParaAlt">
    <w:name w:val="Single Para Alt"/>
    <w:aliases w:val="spa"/>
    <w:basedOn w:val="Normal"/>
    <w:rsid w:val="00EA31B6"/>
    <w:pPr>
      <w:spacing w:before="120" w:after="120"/>
      <w:ind w:firstLine="360"/>
    </w:pPr>
    <w:rPr>
      <w:sz w:val="16"/>
      <w:lang w:bidi="he-IL"/>
    </w:rPr>
  </w:style>
  <w:style w:type="paragraph" w:customStyle="1" w:styleId="SingleParaFlush">
    <w:name w:val="Single Para Flush"/>
    <w:aliases w:val="spf"/>
    <w:basedOn w:val="SinglePara"/>
    <w:rsid w:val="00B0233B"/>
    <w:pPr>
      <w:ind w:firstLine="0"/>
    </w:pPr>
  </w:style>
  <w:style w:type="paragraph" w:customStyle="1" w:styleId="SubheadBold">
    <w:name w:val="Subhead: Bold"/>
    <w:aliases w:val="shb"/>
    <w:basedOn w:val="Normal"/>
    <w:next w:val="SingleParaFlush"/>
    <w:rsid w:val="00B0233B"/>
    <w:pPr>
      <w:keepNext/>
      <w:keepLines/>
      <w:spacing w:before="120"/>
      <w:ind w:left="720"/>
    </w:pPr>
    <w:rPr>
      <w:rFonts w:asciiTheme="majorHAnsi" w:hAnsiTheme="majorHAnsi"/>
      <w:b/>
    </w:rPr>
  </w:style>
  <w:style w:type="paragraph" w:customStyle="1" w:styleId="SubheadBoldItal">
    <w:name w:val="Subhead: BoldItal"/>
    <w:aliases w:val="shbi"/>
    <w:basedOn w:val="SubheadBold"/>
    <w:next w:val="SingleParaFlush"/>
    <w:rsid w:val="00B0233B"/>
    <w:rPr>
      <w:i/>
    </w:rPr>
  </w:style>
  <w:style w:type="paragraph" w:customStyle="1" w:styleId="SubheadItal">
    <w:name w:val="Subhead: Ital"/>
    <w:aliases w:val="shi"/>
    <w:basedOn w:val="SubheadBold"/>
    <w:next w:val="SingleParaFlush"/>
    <w:rsid w:val="00B0233B"/>
    <w:rPr>
      <w:b w:val="0"/>
      <w:i/>
    </w:rPr>
  </w:style>
  <w:style w:type="table" w:styleId="TableGrid">
    <w:name w:val="Table Grid"/>
    <w:basedOn w:val="TableNormal"/>
    <w:uiPriority w:val="59"/>
    <w:rsid w:val="00B0233B"/>
    <w:pPr>
      <w:spacing w:after="0" w:line="240" w:lineRule="auto"/>
    </w:pPr>
    <w:rPr>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aliases w:val="tf"/>
    <w:basedOn w:val="Normal"/>
    <w:uiPriority w:val="4"/>
    <w:rsid w:val="00B0233B"/>
    <w:pPr>
      <w:numPr>
        <w:ilvl w:val="1"/>
        <w:numId w:val="3"/>
      </w:numPr>
      <w:spacing w:after="100"/>
    </w:pPr>
    <w:rPr>
      <w:sz w:val="18"/>
      <w:szCs w:val="20"/>
      <w:lang w:bidi="he-IL"/>
    </w:rPr>
  </w:style>
  <w:style w:type="paragraph" w:customStyle="1" w:styleId="TableFootnoteLine">
    <w:name w:val="Table: Footnote Line"/>
    <w:aliases w:val="tfl"/>
    <w:basedOn w:val="Normal"/>
    <w:next w:val="TableFootnote"/>
    <w:uiPriority w:val="4"/>
    <w:rsid w:val="00B0233B"/>
    <w:pPr>
      <w:keepNext/>
      <w:keepLines/>
      <w:numPr>
        <w:numId w:val="3"/>
      </w:numPr>
      <w:pBdr>
        <w:bottom w:val="single" w:sz="8" w:space="1" w:color="auto"/>
      </w:pBdr>
      <w:ind w:right="6480"/>
    </w:pPr>
    <w:rPr>
      <w:u w:val="single"/>
      <w:lang w:bidi="he-IL"/>
    </w:rPr>
  </w:style>
  <w:style w:type="numbering" w:customStyle="1" w:styleId="TableFootnotesList">
    <w:name w:val="TableFootnotesList"/>
    <w:basedOn w:val="NoList"/>
    <w:uiPriority w:val="99"/>
    <w:rsid w:val="00B0233B"/>
    <w:pPr>
      <w:numPr>
        <w:numId w:val="3"/>
      </w:numPr>
    </w:pPr>
  </w:style>
  <w:style w:type="table" w:customStyle="1" w:styleId="TextTable">
    <w:name w:val="Text Table"/>
    <w:basedOn w:val="TableNormal"/>
    <w:uiPriority w:val="99"/>
    <w:rsid w:val="00B0233B"/>
    <w:pPr>
      <w:spacing w:after="0" w:line="240" w:lineRule="auto"/>
    </w:pPr>
    <w:rPr>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blStylePr w:type="firstRow">
      <w:pPr>
        <w:jc w:val="left"/>
      </w:pPr>
      <w:tblPr/>
      <w:trPr>
        <w:tblHeader/>
      </w:trPr>
      <w:tcPr>
        <w:vAlign w:val="bottom"/>
      </w:tcPr>
    </w:tblStylePr>
  </w:style>
  <w:style w:type="paragraph" w:styleId="TOC1">
    <w:name w:val="toc 1"/>
    <w:basedOn w:val="Normal"/>
    <w:next w:val="Normal"/>
    <w:autoRedefine/>
    <w:uiPriority w:val="39"/>
    <w:unhideWhenUsed/>
    <w:rsid w:val="002376B9"/>
    <w:pPr>
      <w:keepLines/>
      <w:tabs>
        <w:tab w:val="left" w:pos="720"/>
        <w:tab w:val="left" w:pos="1440"/>
        <w:tab w:val="right" w:leader="dot" w:pos="9360"/>
      </w:tabs>
      <w:spacing w:before="240" w:after="240"/>
      <w:ind w:left="1440" w:right="720" w:hanging="1440"/>
      <w:jc w:val="left"/>
    </w:pPr>
  </w:style>
  <w:style w:type="paragraph" w:styleId="TOC2">
    <w:name w:val="toc 2"/>
    <w:basedOn w:val="Normal"/>
    <w:next w:val="Normal"/>
    <w:autoRedefine/>
    <w:uiPriority w:val="39"/>
    <w:unhideWhenUsed/>
    <w:rsid w:val="002376B9"/>
    <w:pPr>
      <w:keepLines/>
      <w:tabs>
        <w:tab w:val="left" w:pos="1440"/>
        <w:tab w:val="right" w:leader="dot" w:pos="9360"/>
      </w:tabs>
      <w:spacing w:before="240" w:after="240"/>
      <w:ind w:left="1440" w:right="720" w:hanging="720"/>
      <w:jc w:val="left"/>
    </w:pPr>
    <w:rPr>
      <w:caps/>
    </w:rPr>
  </w:style>
  <w:style w:type="paragraph" w:styleId="TOC3">
    <w:name w:val="toc 3"/>
    <w:basedOn w:val="Normal"/>
    <w:next w:val="Normal"/>
    <w:autoRedefine/>
    <w:uiPriority w:val="39"/>
    <w:unhideWhenUsed/>
    <w:rsid w:val="00B0233B"/>
    <w:pPr>
      <w:keepLines/>
      <w:tabs>
        <w:tab w:val="left" w:pos="2160"/>
        <w:tab w:val="right" w:leader="dot" w:pos="9360"/>
      </w:tabs>
      <w:ind w:left="2160" w:right="720" w:hanging="720"/>
      <w:jc w:val="left"/>
    </w:pPr>
  </w:style>
  <w:style w:type="paragraph" w:styleId="TOC4">
    <w:name w:val="toc 4"/>
    <w:basedOn w:val="Normal"/>
    <w:next w:val="Normal"/>
    <w:autoRedefine/>
    <w:uiPriority w:val="39"/>
    <w:unhideWhenUsed/>
    <w:rsid w:val="002376B9"/>
    <w:pPr>
      <w:keepLines/>
      <w:tabs>
        <w:tab w:val="right" w:leader="dot" w:pos="9360"/>
      </w:tabs>
      <w:spacing w:before="240" w:after="240"/>
      <w:ind w:left="720" w:right="720" w:hanging="720"/>
      <w:jc w:val="left"/>
    </w:pPr>
  </w:style>
  <w:style w:type="paragraph" w:styleId="TOC5">
    <w:name w:val="toc 5"/>
    <w:basedOn w:val="Normal"/>
    <w:next w:val="Normal"/>
    <w:autoRedefine/>
    <w:uiPriority w:val="39"/>
    <w:unhideWhenUsed/>
    <w:rsid w:val="00B0233B"/>
    <w:pPr>
      <w:keepLines/>
      <w:tabs>
        <w:tab w:val="left" w:pos="3600"/>
        <w:tab w:val="right" w:leader="dot" w:pos="9360"/>
      </w:tabs>
      <w:ind w:left="3600" w:right="720" w:hanging="720"/>
      <w:jc w:val="left"/>
    </w:pPr>
  </w:style>
  <w:style w:type="paragraph" w:styleId="TOC6">
    <w:name w:val="toc 6"/>
    <w:basedOn w:val="Normal"/>
    <w:next w:val="Normal"/>
    <w:autoRedefine/>
    <w:uiPriority w:val="39"/>
    <w:unhideWhenUsed/>
    <w:rsid w:val="00B0233B"/>
    <w:pPr>
      <w:ind w:left="3600" w:right="720" w:hanging="720"/>
      <w:jc w:val="left"/>
    </w:pPr>
  </w:style>
  <w:style w:type="paragraph" w:styleId="TOC7">
    <w:name w:val="toc 7"/>
    <w:basedOn w:val="Normal"/>
    <w:next w:val="Normal"/>
    <w:autoRedefine/>
    <w:uiPriority w:val="39"/>
    <w:unhideWhenUsed/>
    <w:rsid w:val="00B0233B"/>
    <w:pPr>
      <w:ind w:left="4320" w:right="720" w:hanging="720"/>
      <w:jc w:val="left"/>
    </w:pPr>
  </w:style>
  <w:style w:type="paragraph" w:styleId="TOC8">
    <w:name w:val="toc 8"/>
    <w:basedOn w:val="Normal"/>
    <w:next w:val="Normal"/>
    <w:autoRedefine/>
    <w:uiPriority w:val="39"/>
    <w:unhideWhenUsed/>
    <w:rsid w:val="00B0233B"/>
    <w:pPr>
      <w:ind w:left="5040" w:right="720" w:hanging="720"/>
      <w:jc w:val="left"/>
    </w:pPr>
  </w:style>
  <w:style w:type="paragraph" w:styleId="TOC9">
    <w:name w:val="toc 9"/>
    <w:basedOn w:val="Normal"/>
    <w:next w:val="Normal"/>
    <w:autoRedefine/>
    <w:uiPriority w:val="39"/>
    <w:unhideWhenUsed/>
    <w:rsid w:val="00B0233B"/>
    <w:pPr>
      <w:ind w:left="5760" w:right="720" w:hanging="720"/>
      <w:jc w:val="left"/>
    </w:pPr>
  </w:style>
  <w:style w:type="paragraph" w:customStyle="1" w:styleId="WarningPara">
    <w:name w:val="Warning Para"/>
    <w:aliases w:val="wp"/>
    <w:basedOn w:val="SinglePara"/>
    <w:next w:val="SinglePara"/>
    <w:rsid w:val="00B0233B"/>
    <w:rPr>
      <w:b/>
      <w:caps/>
    </w:rPr>
  </w:style>
  <w:style w:type="character" w:styleId="BookTitle">
    <w:name w:val="Book Title"/>
    <w:basedOn w:val="DefaultParagraphFont"/>
    <w:uiPriority w:val="33"/>
    <w:semiHidden/>
    <w:rsid w:val="00B0233B"/>
    <w:rPr>
      <w:b/>
      <w:bCs/>
      <w:smallCaps/>
      <w:spacing w:val="5"/>
    </w:rPr>
  </w:style>
  <w:style w:type="paragraph" w:styleId="ListParagraph">
    <w:name w:val="List Paragraph"/>
    <w:basedOn w:val="Normal"/>
    <w:uiPriority w:val="34"/>
    <w:rsid w:val="00B0233B"/>
    <w:pPr>
      <w:ind w:left="720"/>
      <w:contextualSpacing/>
    </w:pPr>
  </w:style>
  <w:style w:type="paragraph" w:styleId="NoSpacing">
    <w:name w:val="No Spacing"/>
    <w:uiPriority w:val="1"/>
    <w:semiHidden/>
    <w:rsid w:val="00B0233B"/>
    <w:pPr>
      <w:spacing w:after="0" w:line="240" w:lineRule="auto"/>
    </w:pPr>
    <w:rPr>
      <w:sz w:val="24"/>
      <w:szCs w:val="24"/>
      <w:lang w:val="en-US" w:eastAsia="zh-CN"/>
    </w:rPr>
  </w:style>
  <w:style w:type="paragraph" w:styleId="Quote">
    <w:name w:val="Quote"/>
    <w:basedOn w:val="Normal"/>
    <w:next w:val="Normal"/>
    <w:link w:val="QuoteChar"/>
    <w:uiPriority w:val="29"/>
    <w:semiHidden/>
    <w:rsid w:val="00B0233B"/>
    <w:rPr>
      <w:i/>
      <w:iCs/>
      <w:color w:val="000000" w:themeColor="text1"/>
    </w:rPr>
  </w:style>
  <w:style w:type="character" w:customStyle="1" w:styleId="QuoteChar">
    <w:name w:val="Quote Char"/>
    <w:basedOn w:val="DefaultParagraphFont"/>
    <w:link w:val="Quote"/>
    <w:uiPriority w:val="29"/>
    <w:semiHidden/>
    <w:rsid w:val="00B0233B"/>
    <w:rPr>
      <w:i/>
      <w:iCs/>
      <w:color w:val="000000" w:themeColor="text1"/>
      <w:szCs w:val="24"/>
      <w:lang w:val="en-US" w:eastAsia="zh-CN"/>
    </w:rPr>
  </w:style>
  <w:style w:type="paragraph" w:styleId="IntenseQuote">
    <w:name w:val="Intense Quote"/>
    <w:basedOn w:val="Normal"/>
    <w:next w:val="Normal"/>
    <w:link w:val="IntenseQuoteChar"/>
    <w:uiPriority w:val="30"/>
    <w:semiHidden/>
    <w:rsid w:val="00B0233B"/>
    <w:pPr>
      <w:pBdr>
        <w:bottom w:val="single" w:sz="4" w:space="4" w:color="4F81BD" w:themeColor="accent1"/>
      </w:pBdr>
      <w:spacing w:before="120" w:after="12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B0233B"/>
    <w:rPr>
      <w:b/>
      <w:bCs/>
      <w:i/>
      <w:iCs/>
      <w:color w:val="4F81BD" w:themeColor="accent1"/>
      <w:szCs w:val="24"/>
      <w:lang w:val="en-US" w:eastAsia="zh-CN"/>
    </w:rPr>
  </w:style>
  <w:style w:type="character" w:customStyle="1" w:styleId="Heading3Char">
    <w:name w:val="Heading 3 Char"/>
    <w:basedOn w:val="DefaultParagraphFont"/>
    <w:link w:val="Heading3"/>
    <w:uiPriority w:val="9"/>
    <w:semiHidden/>
    <w:rsid w:val="00B0233B"/>
    <w:rPr>
      <w:rFonts w:asciiTheme="majorHAnsi" w:eastAsiaTheme="majorEastAsia" w:hAnsiTheme="majorHAnsi" w:cstheme="majorBidi"/>
      <w:b/>
      <w:bCs/>
      <w:color w:val="4F81BD" w:themeColor="accent1"/>
      <w:szCs w:val="24"/>
      <w:lang w:eastAsia="zh-CN"/>
    </w:rPr>
  </w:style>
  <w:style w:type="paragraph" w:styleId="Title">
    <w:name w:val="Title"/>
    <w:basedOn w:val="Normal"/>
    <w:next w:val="Normal"/>
    <w:link w:val="TitleChar"/>
    <w:uiPriority w:val="10"/>
    <w:rsid w:val="00B0233B"/>
    <w:pPr>
      <w:pBdr>
        <w:bottom w:val="single" w:sz="8" w:space="4" w:color="4F81BD" w:themeColor="accent1"/>
      </w:pBdr>
      <w:spacing w:after="12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233B"/>
    <w:rPr>
      <w:rFonts w:asciiTheme="majorHAnsi" w:eastAsiaTheme="majorEastAsia" w:hAnsiTheme="majorHAnsi" w:cstheme="majorBidi"/>
      <w:color w:val="17365D" w:themeColor="text2" w:themeShade="BF"/>
      <w:spacing w:val="5"/>
      <w:kern w:val="28"/>
      <w:sz w:val="52"/>
      <w:szCs w:val="52"/>
      <w:lang w:val="en-US" w:eastAsia="zh-CN"/>
    </w:rPr>
  </w:style>
  <w:style w:type="paragraph" w:styleId="Subtitle">
    <w:name w:val="Subtitle"/>
    <w:basedOn w:val="Normal"/>
    <w:next w:val="Normal"/>
    <w:link w:val="SubtitleChar"/>
    <w:uiPriority w:val="11"/>
    <w:rsid w:val="00B0233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0233B"/>
    <w:rPr>
      <w:rFonts w:asciiTheme="majorHAnsi" w:eastAsiaTheme="majorEastAsia" w:hAnsiTheme="majorHAnsi" w:cstheme="majorBidi"/>
      <w:i/>
      <w:iCs/>
      <w:color w:val="4F81BD" w:themeColor="accent1"/>
      <w:spacing w:val="15"/>
      <w:szCs w:val="24"/>
      <w:lang w:val="en-US" w:eastAsia="zh-CN"/>
    </w:rPr>
  </w:style>
  <w:style w:type="character" w:styleId="SubtleEmphasis">
    <w:name w:val="Subtle Emphasis"/>
    <w:basedOn w:val="DefaultParagraphFont"/>
    <w:uiPriority w:val="19"/>
    <w:rsid w:val="00B0233B"/>
    <w:rPr>
      <w:i/>
      <w:iCs/>
      <w:color w:val="808080" w:themeColor="text1" w:themeTint="7F"/>
    </w:rPr>
  </w:style>
  <w:style w:type="character" w:styleId="Emphasis">
    <w:name w:val="Emphasis"/>
    <w:basedOn w:val="DefaultParagraphFont"/>
    <w:uiPriority w:val="20"/>
    <w:qFormat/>
    <w:rsid w:val="00B0233B"/>
    <w:rPr>
      <w:i/>
      <w:iCs/>
    </w:rPr>
  </w:style>
  <w:style w:type="character" w:styleId="IntenseEmphasis">
    <w:name w:val="Intense Emphasis"/>
    <w:basedOn w:val="DefaultParagraphFont"/>
    <w:uiPriority w:val="21"/>
    <w:rsid w:val="00B0233B"/>
    <w:rPr>
      <w:b/>
      <w:bCs/>
      <w:i/>
      <w:iCs/>
      <w:color w:val="4F81BD" w:themeColor="accent1"/>
    </w:rPr>
  </w:style>
  <w:style w:type="character" w:styleId="Strong">
    <w:name w:val="Strong"/>
    <w:basedOn w:val="DefaultParagraphFont"/>
    <w:uiPriority w:val="22"/>
    <w:qFormat/>
    <w:rsid w:val="00B0233B"/>
    <w:rPr>
      <w:b/>
      <w:bCs/>
    </w:rPr>
  </w:style>
  <w:style w:type="character" w:styleId="SubtleReference">
    <w:name w:val="Subtle Reference"/>
    <w:basedOn w:val="DefaultParagraphFont"/>
    <w:uiPriority w:val="31"/>
    <w:rsid w:val="00B0233B"/>
    <w:rPr>
      <w:smallCaps/>
      <w:color w:val="C0504D" w:themeColor="accent2"/>
      <w:u w:val="single"/>
    </w:rPr>
  </w:style>
  <w:style w:type="character" w:styleId="IntenseReference">
    <w:name w:val="Intense Reference"/>
    <w:basedOn w:val="DefaultParagraphFont"/>
    <w:uiPriority w:val="32"/>
    <w:rsid w:val="00B0233B"/>
    <w:rPr>
      <w:b/>
      <w:bCs/>
      <w:smallCaps/>
      <w:color w:val="C0504D" w:themeColor="accent2"/>
      <w:spacing w:val="5"/>
      <w:u w:val="single"/>
    </w:rPr>
  </w:style>
  <w:style w:type="paragraph" w:styleId="Header">
    <w:name w:val="header"/>
    <w:basedOn w:val="Normal"/>
    <w:link w:val="HeaderChar"/>
    <w:uiPriority w:val="99"/>
    <w:unhideWhenUsed/>
    <w:rsid w:val="00B0233B"/>
    <w:pPr>
      <w:tabs>
        <w:tab w:val="center" w:pos="4522"/>
        <w:tab w:val="right" w:pos="9029"/>
      </w:tabs>
    </w:pPr>
  </w:style>
  <w:style w:type="character" w:customStyle="1" w:styleId="HeaderChar">
    <w:name w:val="Header Char"/>
    <w:basedOn w:val="DefaultParagraphFont"/>
    <w:link w:val="Header"/>
    <w:uiPriority w:val="99"/>
    <w:rsid w:val="00B0233B"/>
    <w:rPr>
      <w:szCs w:val="24"/>
      <w:lang w:val="en-US" w:eastAsia="zh-CN"/>
    </w:rPr>
  </w:style>
  <w:style w:type="paragraph" w:styleId="Footer">
    <w:name w:val="footer"/>
    <w:basedOn w:val="Normal"/>
    <w:link w:val="FooterChar"/>
    <w:uiPriority w:val="99"/>
    <w:unhideWhenUsed/>
    <w:rsid w:val="00B0233B"/>
    <w:pPr>
      <w:tabs>
        <w:tab w:val="center" w:pos="4522"/>
        <w:tab w:val="right" w:pos="9029"/>
      </w:tabs>
    </w:pPr>
  </w:style>
  <w:style w:type="character" w:customStyle="1" w:styleId="FooterChar">
    <w:name w:val="Footer Char"/>
    <w:basedOn w:val="DefaultParagraphFont"/>
    <w:link w:val="Footer"/>
    <w:uiPriority w:val="99"/>
    <w:rsid w:val="00B0233B"/>
    <w:rPr>
      <w:szCs w:val="24"/>
      <w:lang w:val="en-US" w:eastAsia="zh-CN"/>
    </w:rPr>
  </w:style>
  <w:style w:type="paragraph" w:customStyle="1" w:styleId="ShortOutline1">
    <w:name w:val="ShortOutline1"/>
    <w:basedOn w:val="Normal"/>
    <w:link w:val="ShortOutline1Char"/>
    <w:rsid w:val="00B0233B"/>
    <w:pPr>
      <w:numPr>
        <w:numId w:val="4"/>
      </w:numPr>
      <w:spacing w:before="120" w:after="120"/>
      <w:outlineLvl w:val="0"/>
    </w:pPr>
  </w:style>
  <w:style w:type="character" w:customStyle="1" w:styleId="ShortOutline1Char">
    <w:name w:val="ShortOutline1 Char"/>
    <w:basedOn w:val="DefaultParagraphFont"/>
    <w:link w:val="ShortOutline1"/>
    <w:rsid w:val="00B0233B"/>
    <w:rPr>
      <w:szCs w:val="24"/>
      <w:lang w:eastAsia="zh-CN"/>
    </w:rPr>
  </w:style>
  <w:style w:type="paragraph" w:customStyle="1" w:styleId="ShortOutline2">
    <w:name w:val="ShortOutline2"/>
    <w:basedOn w:val="Normal"/>
    <w:link w:val="ShortOutline2Char"/>
    <w:rsid w:val="00B0233B"/>
    <w:pPr>
      <w:numPr>
        <w:ilvl w:val="1"/>
        <w:numId w:val="4"/>
      </w:numPr>
      <w:spacing w:before="120" w:after="120"/>
      <w:outlineLvl w:val="1"/>
    </w:pPr>
    <w:rPr>
      <w:color w:val="000000"/>
    </w:rPr>
  </w:style>
  <w:style w:type="character" w:customStyle="1" w:styleId="ShortOutline2Char">
    <w:name w:val="ShortOutline2 Char"/>
    <w:basedOn w:val="DefaultParagraphFont"/>
    <w:link w:val="ShortOutline2"/>
    <w:rsid w:val="00B0233B"/>
    <w:rPr>
      <w:color w:val="000000"/>
      <w:szCs w:val="24"/>
      <w:lang w:eastAsia="zh-CN"/>
    </w:rPr>
  </w:style>
  <w:style w:type="paragraph" w:customStyle="1" w:styleId="ShortOutline3">
    <w:name w:val="ShortOutline3"/>
    <w:basedOn w:val="Normal"/>
    <w:link w:val="ShortOutline3Char"/>
    <w:rsid w:val="00B0233B"/>
    <w:pPr>
      <w:numPr>
        <w:ilvl w:val="2"/>
        <w:numId w:val="4"/>
      </w:numPr>
      <w:spacing w:before="120" w:after="120"/>
      <w:outlineLvl w:val="2"/>
    </w:pPr>
    <w:rPr>
      <w:color w:val="000000"/>
    </w:rPr>
  </w:style>
  <w:style w:type="character" w:customStyle="1" w:styleId="ShortOutline3Char">
    <w:name w:val="ShortOutline3 Char"/>
    <w:basedOn w:val="DefaultParagraphFont"/>
    <w:link w:val="ShortOutline3"/>
    <w:rsid w:val="00B0233B"/>
    <w:rPr>
      <w:color w:val="000000"/>
      <w:szCs w:val="24"/>
      <w:lang w:eastAsia="zh-CN"/>
    </w:rPr>
  </w:style>
  <w:style w:type="paragraph" w:customStyle="1" w:styleId="ShortOutline4">
    <w:name w:val="ShortOutline4"/>
    <w:basedOn w:val="Normal"/>
    <w:link w:val="ShortOutline4Char"/>
    <w:rsid w:val="00B0233B"/>
    <w:pPr>
      <w:numPr>
        <w:ilvl w:val="3"/>
        <w:numId w:val="4"/>
      </w:numPr>
      <w:spacing w:before="120" w:after="120"/>
      <w:outlineLvl w:val="3"/>
    </w:pPr>
    <w:rPr>
      <w:color w:val="000000"/>
    </w:rPr>
  </w:style>
  <w:style w:type="character" w:customStyle="1" w:styleId="ShortOutline4Char">
    <w:name w:val="ShortOutline4 Char"/>
    <w:basedOn w:val="DefaultParagraphFont"/>
    <w:link w:val="ShortOutline4"/>
    <w:rsid w:val="00B0233B"/>
    <w:rPr>
      <w:color w:val="000000"/>
      <w:szCs w:val="24"/>
      <w:lang w:eastAsia="zh-CN"/>
    </w:rPr>
  </w:style>
  <w:style w:type="paragraph" w:customStyle="1" w:styleId="ShortOutline5">
    <w:name w:val="ShortOutline5"/>
    <w:basedOn w:val="Normal"/>
    <w:link w:val="ShortOutline5Char"/>
    <w:rsid w:val="00B0233B"/>
    <w:pPr>
      <w:numPr>
        <w:ilvl w:val="4"/>
        <w:numId w:val="4"/>
      </w:numPr>
      <w:spacing w:before="120" w:after="120"/>
      <w:outlineLvl w:val="4"/>
    </w:pPr>
    <w:rPr>
      <w:color w:val="000000"/>
    </w:rPr>
  </w:style>
  <w:style w:type="character" w:customStyle="1" w:styleId="ShortOutline5Char">
    <w:name w:val="ShortOutline5 Char"/>
    <w:basedOn w:val="DefaultParagraphFont"/>
    <w:link w:val="ShortOutline5"/>
    <w:rsid w:val="00B0233B"/>
    <w:rPr>
      <w:color w:val="000000"/>
      <w:szCs w:val="24"/>
      <w:lang w:eastAsia="zh-CN"/>
    </w:rPr>
  </w:style>
  <w:style w:type="numbering" w:customStyle="1" w:styleId="ShortOutlineList">
    <w:name w:val="ShortOutlineList"/>
    <w:basedOn w:val="NoList"/>
    <w:rsid w:val="00B0233B"/>
    <w:pPr>
      <w:numPr>
        <w:numId w:val="4"/>
      </w:numPr>
    </w:pPr>
  </w:style>
  <w:style w:type="character" w:styleId="FootnoteReference">
    <w:name w:val="footnote reference"/>
    <w:basedOn w:val="DefaultParagraphFont"/>
    <w:uiPriority w:val="99"/>
    <w:unhideWhenUsed/>
    <w:rsid w:val="00B0233B"/>
    <w:rPr>
      <w:vertAlign w:val="superscript"/>
    </w:rPr>
  </w:style>
  <w:style w:type="paragraph" w:styleId="CommentText">
    <w:name w:val="annotation text"/>
    <w:basedOn w:val="Normal"/>
    <w:link w:val="CommentTextChar"/>
    <w:uiPriority w:val="99"/>
    <w:unhideWhenUsed/>
    <w:rsid w:val="00251A1C"/>
    <w:rPr>
      <w:sz w:val="20"/>
      <w:szCs w:val="20"/>
    </w:rPr>
  </w:style>
  <w:style w:type="character" w:customStyle="1" w:styleId="CommentTextChar">
    <w:name w:val="Comment Text Char"/>
    <w:basedOn w:val="DefaultParagraphFont"/>
    <w:link w:val="CommentText"/>
    <w:uiPriority w:val="99"/>
    <w:rsid w:val="00251A1C"/>
    <w:rPr>
      <w:sz w:val="20"/>
      <w:szCs w:val="20"/>
      <w:lang w:val="en-US" w:eastAsia="zh-CN"/>
    </w:rPr>
  </w:style>
  <w:style w:type="character" w:styleId="CommentReference">
    <w:name w:val="annotation reference"/>
    <w:basedOn w:val="DefaultParagraphFont"/>
    <w:uiPriority w:val="99"/>
    <w:semiHidden/>
    <w:unhideWhenUsed/>
    <w:rsid w:val="00251A1C"/>
    <w:rPr>
      <w:sz w:val="16"/>
      <w:szCs w:val="16"/>
    </w:rPr>
  </w:style>
  <w:style w:type="character" w:styleId="Hyperlink">
    <w:name w:val="Hyperlink"/>
    <w:basedOn w:val="DefaultParagraphFont"/>
    <w:uiPriority w:val="99"/>
    <w:unhideWhenUsed/>
    <w:rsid w:val="009A269C"/>
    <w:rPr>
      <w:noProof/>
      <w:color w:val="0000FF" w:themeColor="hyperlink"/>
      <w:u w:val="single"/>
    </w:rPr>
  </w:style>
  <w:style w:type="paragraph" w:customStyle="1" w:styleId="Indent1legalflush">
    <w:name w:val="Indent1 (legalflush)"/>
    <w:basedOn w:val="Normal"/>
    <w:link w:val="Indent1legalflushChar"/>
    <w:rsid w:val="00FD28EF"/>
    <w:pPr>
      <w:spacing w:after="120" w:line="360" w:lineRule="auto"/>
      <w:ind w:left="720"/>
    </w:pPr>
  </w:style>
  <w:style w:type="paragraph" w:customStyle="1" w:styleId="Indent2legalflush">
    <w:name w:val="Indent2 (legalflush)"/>
    <w:basedOn w:val="Normal"/>
    <w:link w:val="Indent2legalflushChar"/>
    <w:rsid w:val="00FD28EF"/>
    <w:pPr>
      <w:spacing w:after="120" w:line="360" w:lineRule="auto"/>
      <w:ind w:left="720"/>
    </w:pPr>
  </w:style>
  <w:style w:type="paragraph" w:customStyle="1" w:styleId="Indent3legalflush">
    <w:name w:val="Indent3 (legalflush)"/>
    <w:basedOn w:val="Normal"/>
    <w:link w:val="Indent3legalflushChar"/>
    <w:rsid w:val="00FD28EF"/>
    <w:pPr>
      <w:spacing w:after="120" w:line="360" w:lineRule="auto"/>
      <w:ind w:left="720"/>
    </w:pPr>
  </w:style>
  <w:style w:type="paragraph" w:customStyle="1" w:styleId="Indent4legalflush">
    <w:name w:val="Indent4 (legalflush)"/>
    <w:basedOn w:val="Normal"/>
    <w:rsid w:val="00A10E28"/>
    <w:pPr>
      <w:spacing w:before="120" w:after="120"/>
      <w:ind w:left="864"/>
    </w:pPr>
  </w:style>
  <w:style w:type="paragraph" w:customStyle="1" w:styleId="Indent5legalflush">
    <w:name w:val="Indent5 (legalflush)"/>
    <w:basedOn w:val="Normal"/>
    <w:rsid w:val="00BE1285"/>
    <w:pPr>
      <w:spacing w:line="480" w:lineRule="auto"/>
      <w:ind w:left="1080"/>
    </w:pPr>
    <w:rPr>
      <w:i/>
    </w:rPr>
  </w:style>
  <w:style w:type="paragraph" w:customStyle="1" w:styleId="Indent6legalflush">
    <w:name w:val="Indent6 (legalflush)"/>
    <w:basedOn w:val="Normal"/>
    <w:rsid w:val="00A10E28"/>
    <w:pPr>
      <w:spacing w:before="120" w:after="120"/>
      <w:ind w:left="2160"/>
    </w:pPr>
  </w:style>
  <w:style w:type="paragraph" w:customStyle="1" w:styleId="Indent7legalflush">
    <w:name w:val="Indent7 (legalflush)"/>
    <w:basedOn w:val="Normal"/>
    <w:rsid w:val="00F1680C"/>
    <w:pPr>
      <w:spacing w:before="120" w:after="120"/>
      <w:ind w:left="2880"/>
    </w:pPr>
  </w:style>
  <w:style w:type="paragraph" w:customStyle="1" w:styleId="Indent8legalflush">
    <w:name w:val="Indent8 (legalflush)"/>
    <w:basedOn w:val="Normal"/>
    <w:rsid w:val="00F1680C"/>
    <w:pPr>
      <w:spacing w:before="120" w:after="120"/>
      <w:ind w:left="3600"/>
    </w:pPr>
  </w:style>
  <w:style w:type="paragraph" w:styleId="TOCHeading">
    <w:name w:val="TOC Heading"/>
    <w:basedOn w:val="Heading1"/>
    <w:next w:val="Normal"/>
    <w:uiPriority w:val="39"/>
    <w:semiHidden/>
    <w:unhideWhenUsed/>
    <w:qFormat/>
    <w:rsid w:val="008414D7"/>
    <w:pPr>
      <w:spacing w:line="276" w:lineRule="auto"/>
      <w:jc w:val="left"/>
      <w:outlineLvl w:val="9"/>
    </w:pPr>
    <w:rPr>
      <w:lang w:eastAsia="ja-JP"/>
    </w:rPr>
  </w:style>
  <w:style w:type="character" w:customStyle="1" w:styleId="DoubleParaChar">
    <w:name w:val="Double Para Char"/>
    <w:aliases w:val="dp Char"/>
    <w:basedOn w:val="DefaultParagraphFont"/>
    <w:link w:val="DoublePara"/>
    <w:rsid w:val="006E0AC4"/>
    <w:rPr>
      <w:szCs w:val="24"/>
      <w:lang w:eastAsia="zh-CN" w:bidi="he-IL"/>
    </w:rPr>
  </w:style>
  <w:style w:type="paragraph" w:styleId="CommentSubject">
    <w:name w:val="annotation subject"/>
    <w:basedOn w:val="CommentText"/>
    <w:next w:val="CommentText"/>
    <w:link w:val="CommentSubjectChar"/>
    <w:uiPriority w:val="99"/>
    <w:semiHidden/>
    <w:unhideWhenUsed/>
    <w:rsid w:val="008A3842"/>
    <w:rPr>
      <w:b/>
      <w:bCs/>
    </w:rPr>
  </w:style>
  <w:style w:type="character" w:customStyle="1" w:styleId="CommentSubjectChar">
    <w:name w:val="Comment Subject Char"/>
    <w:basedOn w:val="CommentTextChar"/>
    <w:link w:val="CommentSubject"/>
    <w:uiPriority w:val="99"/>
    <w:semiHidden/>
    <w:rsid w:val="008A3842"/>
    <w:rPr>
      <w:b/>
      <w:bCs/>
      <w:sz w:val="20"/>
      <w:szCs w:val="20"/>
      <w:lang w:val="en-US" w:eastAsia="zh-CN"/>
    </w:rPr>
  </w:style>
  <w:style w:type="paragraph" w:styleId="Revision">
    <w:name w:val="Revision"/>
    <w:hidden/>
    <w:uiPriority w:val="99"/>
    <w:semiHidden/>
    <w:rsid w:val="008A3842"/>
    <w:pPr>
      <w:spacing w:after="0" w:line="240" w:lineRule="auto"/>
    </w:pPr>
    <w:rPr>
      <w:rFonts w:eastAsiaTheme="minorEastAsia"/>
      <w:sz w:val="24"/>
      <w:szCs w:val="24"/>
      <w:lang w:val="en-US" w:eastAsia="zh-CN"/>
    </w:rPr>
  </w:style>
  <w:style w:type="paragraph" w:customStyle="1" w:styleId="Footnoe">
    <w:name w:val="Footnoe"/>
    <w:basedOn w:val="Normal"/>
    <w:rsid w:val="001478EA"/>
    <w:pPr>
      <w:spacing w:before="120"/>
    </w:pPr>
  </w:style>
  <w:style w:type="character" w:styleId="HTMLCite">
    <w:name w:val="HTML Cite"/>
    <w:basedOn w:val="DefaultParagraphFont"/>
    <w:uiPriority w:val="99"/>
    <w:semiHidden/>
    <w:unhideWhenUsed/>
    <w:rsid w:val="008227FE"/>
    <w:rPr>
      <w:i/>
      <w:iCs/>
    </w:rPr>
  </w:style>
  <w:style w:type="character" w:customStyle="1" w:styleId="Heading7Char">
    <w:name w:val="Heading 7 Char"/>
    <w:basedOn w:val="DefaultParagraphFont"/>
    <w:link w:val="Heading7"/>
    <w:uiPriority w:val="9"/>
    <w:semiHidden/>
    <w:rsid w:val="00161DB3"/>
    <w:rPr>
      <w:rFonts w:asciiTheme="majorHAnsi" w:eastAsiaTheme="majorEastAsia" w:hAnsiTheme="majorHAnsi" w:cstheme="majorBidi"/>
      <w:i/>
      <w:iCs/>
      <w:color w:val="404040" w:themeColor="text1" w:themeTint="BF"/>
      <w:szCs w:val="24"/>
      <w:lang w:eastAsia="zh-CN"/>
    </w:rPr>
  </w:style>
  <w:style w:type="character" w:customStyle="1" w:styleId="Heading4Char">
    <w:name w:val="Heading 4 Char"/>
    <w:basedOn w:val="DefaultParagraphFont"/>
    <w:link w:val="Heading4"/>
    <w:uiPriority w:val="9"/>
    <w:semiHidden/>
    <w:rsid w:val="009A269C"/>
    <w:rPr>
      <w:rFonts w:asciiTheme="majorHAnsi" w:eastAsiaTheme="majorEastAsia" w:hAnsiTheme="majorHAnsi" w:cstheme="majorBidi"/>
      <w:b/>
      <w:bCs/>
      <w:i/>
      <w:iCs/>
      <w:color w:val="4F81BD" w:themeColor="accent1"/>
      <w:szCs w:val="24"/>
      <w:lang w:eastAsia="zh-CN"/>
    </w:rPr>
  </w:style>
  <w:style w:type="paragraph" w:customStyle="1" w:styleId="ListParagraph2">
    <w:name w:val="List Paragraph 2"/>
    <w:basedOn w:val="ListParagraph"/>
    <w:qFormat/>
    <w:rsid w:val="00C3762C"/>
    <w:pPr>
      <w:numPr>
        <w:numId w:val="6"/>
      </w:numPr>
      <w:ind w:left="1440"/>
    </w:pPr>
  </w:style>
  <w:style w:type="character" w:customStyle="1" w:styleId="Indent3legalflushChar">
    <w:name w:val="Indent3 (legalflush) Char"/>
    <w:basedOn w:val="DefaultParagraphFont"/>
    <w:link w:val="Indent3legalflush"/>
    <w:rsid w:val="00FD28EF"/>
    <w:rPr>
      <w:szCs w:val="24"/>
      <w:lang w:val="en-US" w:eastAsia="zh-CN"/>
    </w:rPr>
  </w:style>
  <w:style w:type="character" w:customStyle="1" w:styleId="Indent1legalflushChar">
    <w:name w:val="Indent1 (legalflush) Char"/>
    <w:basedOn w:val="DefaultParagraphFont"/>
    <w:link w:val="Indent1legalflush"/>
    <w:rsid w:val="00FD28EF"/>
    <w:rPr>
      <w:szCs w:val="24"/>
      <w:lang w:val="en-US" w:eastAsia="zh-CN"/>
    </w:rPr>
  </w:style>
  <w:style w:type="character" w:customStyle="1" w:styleId="Indent2legalflushChar">
    <w:name w:val="Indent2 (legalflush) Char"/>
    <w:basedOn w:val="DefaultParagraphFont"/>
    <w:link w:val="Indent2legalflush"/>
    <w:rsid w:val="00FD28EF"/>
    <w:rPr>
      <w:szCs w:val="24"/>
      <w:lang w:val="en-US" w:eastAsia="zh-CN"/>
    </w:rPr>
  </w:style>
  <w:style w:type="paragraph" w:customStyle="1" w:styleId="LegalCombo1">
    <w:name w:val="LegalCombo1"/>
    <w:basedOn w:val="Normal"/>
    <w:link w:val="LegalCombo1Char"/>
    <w:rsid w:val="00BE1285"/>
    <w:pPr>
      <w:keepNext/>
      <w:keepLines/>
      <w:numPr>
        <w:numId w:val="19"/>
      </w:numPr>
      <w:spacing w:after="220"/>
      <w:outlineLvl w:val="0"/>
    </w:pPr>
    <w:rPr>
      <w:rFonts w:ascii="Times New Roman" w:eastAsiaTheme="minorEastAsia" w:hAnsi="Times New Roman" w:cs="Times New Roman"/>
      <w:b/>
      <w:caps/>
      <w:lang w:val="en-US"/>
    </w:rPr>
  </w:style>
  <w:style w:type="character" w:customStyle="1" w:styleId="LegalCombo1Char">
    <w:name w:val="LegalCombo1 Char"/>
    <w:basedOn w:val="DefaultParagraphFont"/>
    <w:link w:val="LegalCombo1"/>
    <w:rsid w:val="00BE1285"/>
    <w:rPr>
      <w:rFonts w:ascii="Times New Roman" w:eastAsiaTheme="minorEastAsia" w:hAnsi="Times New Roman" w:cs="Times New Roman"/>
      <w:b/>
      <w:caps/>
      <w:szCs w:val="24"/>
      <w:lang w:val="en-US" w:eastAsia="zh-CN"/>
    </w:rPr>
  </w:style>
  <w:style w:type="paragraph" w:customStyle="1" w:styleId="LegalCombo2">
    <w:name w:val="LegalCombo2"/>
    <w:basedOn w:val="Normal"/>
    <w:link w:val="LegalCombo2Char"/>
    <w:rsid w:val="00BE1285"/>
    <w:pPr>
      <w:keepNext/>
      <w:numPr>
        <w:ilvl w:val="1"/>
        <w:numId w:val="19"/>
      </w:numPr>
      <w:spacing w:after="220"/>
      <w:outlineLvl w:val="1"/>
    </w:pPr>
    <w:rPr>
      <w:rFonts w:eastAsiaTheme="minorEastAsia"/>
      <w:b/>
      <w:caps/>
      <w:color w:val="000000"/>
      <w:lang w:val="en-US"/>
    </w:rPr>
  </w:style>
  <w:style w:type="character" w:customStyle="1" w:styleId="LegalCombo2Char">
    <w:name w:val="LegalCombo2 Char"/>
    <w:basedOn w:val="DefaultParagraphFont"/>
    <w:link w:val="LegalCombo2"/>
    <w:rsid w:val="00BE1285"/>
    <w:rPr>
      <w:rFonts w:eastAsiaTheme="minorEastAsia"/>
      <w:b/>
      <w:caps/>
      <w:color w:val="000000"/>
      <w:szCs w:val="24"/>
      <w:lang w:val="en-US" w:eastAsia="zh-CN"/>
    </w:rPr>
  </w:style>
  <w:style w:type="paragraph" w:customStyle="1" w:styleId="LegalCombo3">
    <w:name w:val="LegalCombo3"/>
    <w:basedOn w:val="Normal"/>
    <w:link w:val="LegalCombo3Char"/>
    <w:rsid w:val="006775A2"/>
    <w:pPr>
      <w:keepNext/>
      <w:numPr>
        <w:ilvl w:val="2"/>
        <w:numId w:val="19"/>
      </w:numPr>
      <w:spacing w:after="220"/>
      <w:outlineLvl w:val="2"/>
    </w:pPr>
    <w:rPr>
      <w:rFonts w:eastAsiaTheme="minorEastAsia"/>
      <w:b/>
      <w:caps/>
      <w:color w:val="000000"/>
      <w:lang w:val="en-US"/>
    </w:rPr>
  </w:style>
  <w:style w:type="character" w:customStyle="1" w:styleId="LegalCombo3Char">
    <w:name w:val="LegalCombo3 Char"/>
    <w:basedOn w:val="DefaultParagraphFont"/>
    <w:link w:val="LegalCombo3"/>
    <w:rsid w:val="006775A2"/>
    <w:rPr>
      <w:rFonts w:eastAsiaTheme="minorEastAsia"/>
      <w:b/>
      <w:caps/>
      <w:color w:val="000000"/>
      <w:szCs w:val="24"/>
      <w:lang w:val="en-US" w:eastAsia="zh-CN"/>
    </w:rPr>
  </w:style>
  <w:style w:type="paragraph" w:customStyle="1" w:styleId="LegalCombo4">
    <w:name w:val="LegalCombo4"/>
    <w:basedOn w:val="Normal"/>
    <w:link w:val="LegalCombo4Char"/>
    <w:rsid w:val="00906AE0"/>
    <w:pPr>
      <w:numPr>
        <w:ilvl w:val="3"/>
        <w:numId w:val="19"/>
      </w:numPr>
      <w:spacing w:line="480" w:lineRule="auto"/>
      <w:outlineLvl w:val="3"/>
    </w:pPr>
    <w:rPr>
      <w:rFonts w:eastAsiaTheme="minorEastAsia"/>
      <w:color w:val="000000"/>
      <w:lang w:val="en-US"/>
    </w:rPr>
  </w:style>
  <w:style w:type="character" w:customStyle="1" w:styleId="LegalCombo4Char">
    <w:name w:val="LegalCombo4 Char"/>
    <w:basedOn w:val="DefaultParagraphFont"/>
    <w:link w:val="LegalCombo4"/>
    <w:rsid w:val="00906AE0"/>
    <w:rPr>
      <w:rFonts w:eastAsiaTheme="minorEastAsia"/>
      <w:color w:val="000000"/>
      <w:szCs w:val="24"/>
      <w:lang w:val="en-US" w:eastAsia="zh-CN"/>
    </w:rPr>
  </w:style>
  <w:style w:type="paragraph" w:customStyle="1" w:styleId="LegalCombo5">
    <w:name w:val="LegalCombo5"/>
    <w:basedOn w:val="Normal"/>
    <w:link w:val="LegalCombo5Char"/>
    <w:rsid w:val="00BE1285"/>
    <w:pPr>
      <w:numPr>
        <w:ilvl w:val="4"/>
        <w:numId w:val="19"/>
      </w:numPr>
      <w:spacing w:line="480" w:lineRule="auto"/>
      <w:outlineLvl w:val="4"/>
    </w:pPr>
    <w:rPr>
      <w:rFonts w:eastAsiaTheme="minorEastAsia"/>
      <w:color w:val="000000"/>
      <w:lang w:val="en-US"/>
    </w:rPr>
  </w:style>
  <w:style w:type="character" w:customStyle="1" w:styleId="LegalCombo5Char">
    <w:name w:val="LegalCombo5 Char"/>
    <w:basedOn w:val="DefaultParagraphFont"/>
    <w:link w:val="LegalCombo5"/>
    <w:rsid w:val="00BE1285"/>
    <w:rPr>
      <w:rFonts w:eastAsiaTheme="minorEastAsia"/>
      <w:color w:val="000000"/>
      <w:szCs w:val="24"/>
      <w:lang w:val="en-US" w:eastAsia="zh-CN"/>
    </w:rPr>
  </w:style>
  <w:style w:type="paragraph" w:customStyle="1" w:styleId="LegalCombo6">
    <w:name w:val="LegalCombo6"/>
    <w:basedOn w:val="Normal"/>
    <w:link w:val="LegalCombo6Char"/>
    <w:rsid w:val="00BE1285"/>
    <w:pPr>
      <w:numPr>
        <w:ilvl w:val="5"/>
        <w:numId w:val="19"/>
      </w:numPr>
      <w:spacing w:line="480" w:lineRule="auto"/>
      <w:outlineLvl w:val="5"/>
    </w:pPr>
    <w:rPr>
      <w:rFonts w:eastAsiaTheme="minorEastAsia"/>
      <w:color w:val="000000"/>
      <w:lang w:val="en-US"/>
    </w:rPr>
  </w:style>
  <w:style w:type="character" w:customStyle="1" w:styleId="LegalCombo6Char">
    <w:name w:val="LegalCombo6 Char"/>
    <w:basedOn w:val="DefaultParagraphFont"/>
    <w:link w:val="LegalCombo6"/>
    <w:rsid w:val="00BE1285"/>
    <w:rPr>
      <w:rFonts w:eastAsiaTheme="minorEastAsia"/>
      <w:color w:val="000000"/>
      <w:szCs w:val="24"/>
      <w:lang w:val="en-US" w:eastAsia="zh-CN"/>
    </w:rPr>
  </w:style>
  <w:style w:type="paragraph" w:customStyle="1" w:styleId="LegalCombo7">
    <w:name w:val="LegalCombo7"/>
    <w:basedOn w:val="Normal"/>
    <w:link w:val="LegalCombo7Char"/>
    <w:rsid w:val="00B065E7"/>
    <w:pPr>
      <w:numPr>
        <w:ilvl w:val="6"/>
        <w:numId w:val="19"/>
      </w:numPr>
      <w:spacing w:line="480" w:lineRule="auto"/>
      <w:outlineLvl w:val="6"/>
    </w:pPr>
    <w:rPr>
      <w:rFonts w:eastAsiaTheme="minorEastAsia"/>
      <w:color w:val="000000"/>
      <w:lang w:val="en-US"/>
    </w:rPr>
  </w:style>
  <w:style w:type="character" w:customStyle="1" w:styleId="LegalCombo7Char">
    <w:name w:val="LegalCombo7 Char"/>
    <w:basedOn w:val="DefaultParagraphFont"/>
    <w:link w:val="LegalCombo7"/>
    <w:rsid w:val="00B065E7"/>
    <w:rPr>
      <w:rFonts w:eastAsiaTheme="minorEastAsia"/>
      <w:color w:val="000000"/>
      <w:szCs w:val="24"/>
      <w:lang w:val="en-US" w:eastAsia="zh-CN"/>
    </w:rPr>
  </w:style>
  <w:style w:type="paragraph" w:customStyle="1" w:styleId="LegalCombo8">
    <w:name w:val="LegalCombo8"/>
    <w:basedOn w:val="Normal"/>
    <w:link w:val="LegalCombo8Char"/>
    <w:rsid w:val="00B065E7"/>
    <w:pPr>
      <w:numPr>
        <w:ilvl w:val="7"/>
        <w:numId w:val="19"/>
      </w:numPr>
      <w:spacing w:line="480" w:lineRule="auto"/>
      <w:outlineLvl w:val="7"/>
    </w:pPr>
    <w:rPr>
      <w:rFonts w:eastAsiaTheme="minorEastAsia"/>
      <w:color w:val="000000"/>
      <w:lang w:val="en-US"/>
    </w:rPr>
  </w:style>
  <w:style w:type="character" w:customStyle="1" w:styleId="LegalCombo8Char">
    <w:name w:val="LegalCombo8 Char"/>
    <w:basedOn w:val="DefaultParagraphFont"/>
    <w:link w:val="LegalCombo8"/>
    <w:rsid w:val="00B065E7"/>
    <w:rPr>
      <w:rFonts w:eastAsiaTheme="minorEastAsia"/>
      <w:color w:val="000000"/>
      <w:szCs w:val="24"/>
      <w:lang w:val="en-US" w:eastAsia="zh-CN"/>
    </w:rPr>
  </w:style>
  <w:style w:type="paragraph" w:customStyle="1" w:styleId="LegalCombo9">
    <w:name w:val="LegalCombo9"/>
    <w:basedOn w:val="Normal"/>
    <w:link w:val="LegalCombo9Char"/>
    <w:rsid w:val="00B065E7"/>
    <w:pPr>
      <w:numPr>
        <w:ilvl w:val="8"/>
        <w:numId w:val="19"/>
      </w:numPr>
      <w:spacing w:line="480" w:lineRule="auto"/>
      <w:outlineLvl w:val="8"/>
    </w:pPr>
    <w:rPr>
      <w:rFonts w:eastAsiaTheme="minorEastAsia"/>
      <w:color w:val="000000"/>
      <w:lang w:val="en-US"/>
    </w:rPr>
  </w:style>
  <w:style w:type="character" w:customStyle="1" w:styleId="LegalCombo9Char">
    <w:name w:val="LegalCombo9 Char"/>
    <w:basedOn w:val="DefaultParagraphFont"/>
    <w:link w:val="LegalCombo9"/>
    <w:rsid w:val="00B065E7"/>
    <w:rPr>
      <w:rFonts w:eastAsiaTheme="minorEastAsia"/>
      <w:color w:val="000000"/>
      <w:szCs w:val="24"/>
      <w:lang w:val="en-US" w:eastAsia="zh-CN"/>
    </w:rPr>
  </w:style>
  <w:style w:type="numbering" w:customStyle="1" w:styleId="LegalComboList">
    <w:name w:val="LegalComboList"/>
    <w:basedOn w:val="NoList"/>
    <w:rsid w:val="00BE1285"/>
    <w:pPr>
      <w:numPr>
        <w:numId w:val="18"/>
      </w:numPr>
    </w:pPr>
  </w:style>
  <w:style w:type="paragraph" w:customStyle="1" w:styleId="Indent1legalcombo">
    <w:name w:val="Indent1 (legalcombo)"/>
    <w:basedOn w:val="Normal"/>
    <w:link w:val="Indent1legalcomboChar"/>
    <w:rsid w:val="00B065E7"/>
    <w:pPr>
      <w:spacing w:before="120" w:after="120"/>
      <w:ind w:left="1800"/>
    </w:pPr>
    <w:rPr>
      <w:rFonts w:eastAsiaTheme="minorEastAsia"/>
      <w:lang w:val="en-US"/>
    </w:rPr>
  </w:style>
  <w:style w:type="character" w:customStyle="1" w:styleId="Indent1legalcomboChar">
    <w:name w:val="Indent1 (legalcombo) Char"/>
    <w:basedOn w:val="DefaultParagraphFont"/>
    <w:link w:val="Indent1legalcombo"/>
    <w:rsid w:val="00B065E7"/>
    <w:rPr>
      <w:rFonts w:eastAsiaTheme="minorEastAsia"/>
      <w:szCs w:val="24"/>
      <w:lang w:val="en-US" w:eastAsia="zh-CN"/>
    </w:rPr>
  </w:style>
  <w:style w:type="paragraph" w:customStyle="1" w:styleId="Indent2legalcombo">
    <w:name w:val="Indent2 (legalcombo)"/>
    <w:basedOn w:val="Normal"/>
    <w:link w:val="Indent2legalcomboChar"/>
    <w:rsid w:val="00184A09"/>
    <w:pPr>
      <w:spacing w:before="120" w:after="120"/>
      <w:ind w:left="720"/>
    </w:pPr>
    <w:rPr>
      <w:rFonts w:eastAsiaTheme="minorEastAsia"/>
      <w:color w:val="000000"/>
      <w:lang w:val="en-US"/>
    </w:rPr>
  </w:style>
  <w:style w:type="character" w:customStyle="1" w:styleId="Indent2legalcomboChar">
    <w:name w:val="Indent2 (legalcombo) Char"/>
    <w:basedOn w:val="DefaultParagraphFont"/>
    <w:link w:val="Indent2legalcombo"/>
    <w:rsid w:val="00184A09"/>
    <w:rPr>
      <w:rFonts w:eastAsiaTheme="minorEastAsia"/>
      <w:color w:val="000000"/>
      <w:szCs w:val="24"/>
      <w:lang w:val="en-US" w:eastAsia="zh-CN"/>
    </w:rPr>
  </w:style>
  <w:style w:type="paragraph" w:customStyle="1" w:styleId="Indent3legalcombo">
    <w:name w:val="Indent3 (legalcombo)"/>
    <w:basedOn w:val="Normal"/>
    <w:link w:val="Indent3legalcomboChar"/>
    <w:rsid w:val="00B065E7"/>
    <w:pPr>
      <w:spacing w:before="120" w:after="120"/>
      <w:ind w:left="720"/>
    </w:pPr>
    <w:rPr>
      <w:rFonts w:eastAsiaTheme="minorEastAsia"/>
      <w:color w:val="000000"/>
      <w:lang w:val="en-US"/>
    </w:rPr>
  </w:style>
  <w:style w:type="character" w:customStyle="1" w:styleId="Indent3legalcomboChar">
    <w:name w:val="Indent3 (legalcombo) Char"/>
    <w:basedOn w:val="DefaultParagraphFont"/>
    <w:link w:val="Indent3legalcombo"/>
    <w:rsid w:val="00B065E7"/>
    <w:rPr>
      <w:rFonts w:eastAsiaTheme="minorEastAsia"/>
      <w:color w:val="000000"/>
      <w:szCs w:val="24"/>
      <w:lang w:val="en-US" w:eastAsia="zh-CN"/>
    </w:rPr>
  </w:style>
  <w:style w:type="paragraph" w:customStyle="1" w:styleId="Indent4legalcombo">
    <w:name w:val="Indent4 (legalcombo)"/>
    <w:basedOn w:val="Normal"/>
    <w:link w:val="Indent4legalcomboChar"/>
    <w:rsid w:val="00B065E7"/>
    <w:pPr>
      <w:spacing w:before="120" w:after="120"/>
      <w:ind w:left="720"/>
    </w:pPr>
    <w:rPr>
      <w:rFonts w:eastAsiaTheme="minorEastAsia"/>
      <w:color w:val="000000"/>
      <w:lang w:val="en-US"/>
    </w:rPr>
  </w:style>
  <w:style w:type="character" w:customStyle="1" w:styleId="Indent4legalcomboChar">
    <w:name w:val="Indent4 (legalcombo) Char"/>
    <w:basedOn w:val="DefaultParagraphFont"/>
    <w:link w:val="Indent4legalcombo"/>
    <w:rsid w:val="00B065E7"/>
    <w:rPr>
      <w:rFonts w:eastAsiaTheme="minorEastAsia"/>
      <w:color w:val="000000"/>
      <w:szCs w:val="24"/>
      <w:lang w:val="en-US" w:eastAsia="zh-CN"/>
    </w:rPr>
  </w:style>
  <w:style w:type="paragraph" w:customStyle="1" w:styleId="Indent5legalcombo">
    <w:name w:val="Indent5 (legalcombo)"/>
    <w:basedOn w:val="Normal"/>
    <w:link w:val="Indent5legalcomboChar"/>
    <w:rsid w:val="00B065E7"/>
    <w:pPr>
      <w:spacing w:line="480" w:lineRule="auto"/>
      <w:ind w:left="1800"/>
    </w:pPr>
    <w:rPr>
      <w:rFonts w:eastAsiaTheme="minorEastAsia"/>
      <w:color w:val="000000"/>
      <w:lang w:val="en-US"/>
    </w:rPr>
  </w:style>
  <w:style w:type="character" w:customStyle="1" w:styleId="Indent5legalcomboChar">
    <w:name w:val="Indent5 (legalcombo) Char"/>
    <w:basedOn w:val="DefaultParagraphFont"/>
    <w:link w:val="Indent5legalcombo"/>
    <w:rsid w:val="00B065E7"/>
    <w:rPr>
      <w:rFonts w:eastAsiaTheme="minorEastAsia"/>
      <w:color w:val="000000"/>
      <w:szCs w:val="24"/>
      <w:lang w:val="en-US" w:eastAsia="zh-CN"/>
    </w:rPr>
  </w:style>
  <w:style w:type="paragraph" w:customStyle="1" w:styleId="Indent6legalcombo">
    <w:name w:val="Indent6 (legalcombo)"/>
    <w:basedOn w:val="Normal"/>
    <w:link w:val="Indent6legalcomboChar"/>
    <w:rsid w:val="00B065E7"/>
    <w:pPr>
      <w:spacing w:line="480" w:lineRule="auto"/>
      <w:ind w:left="2520"/>
    </w:pPr>
    <w:rPr>
      <w:rFonts w:eastAsiaTheme="minorEastAsia"/>
      <w:color w:val="000000"/>
      <w:lang w:val="en-US"/>
    </w:rPr>
  </w:style>
  <w:style w:type="character" w:customStyle="1" w:styleId="Indent6legalcomboChar">
    <w:name w:val="Indent6 (legalcombo) Char"/>
    <w:basedOn w:val="DefaultParagraphFont"/>
    <w:link w:val="Indent6legalcombo"/>
    <w:rsid w:val="00B065E7"/>
    <w:rPr>
      <w:rFonts w:eastAsiaTheme="minorEastAsia"/>
      <w:color w:val="000000"/>
      <w:szCs w:val="24"/>
      <w:lang w:val="en-US" w:eastAsia="zh-CN"/>
    </w:rPr>
  </w:style>
  <w:style w:type="paragraph" w:customStyle="1" w:styleId="Indent7legalcombo">
    <w:name w:val="Indent7 (legalcombo)"/>
    <w:basedOn w:val="Normal"/>
    <w:link w:val="Indent7legalcomboChar"/>
    <w:rsid w:val="00B065E7"/>
    <w:pPr>
      <w:spacing w:line="480" w:lineRule="auto"/>
      <w:ind w:left="3600"/>
    </w:pPr>
    <w:rPr>
      <w:rFonts w:eastAsiaTheme="minorEastAsia"/>
      <w:color w:val="000000"/>
      <w:lang w:val="en-US"/>
    </w:rPr>
  </w:style>
  <w:style w:type="character" w:customStyle="1" w:styleId="Indent7legalcomboChar">
    <w:name w:val="Indent7 (legalcombo) Char"/>
    <w:basedOn w:val="DefaultParagraphFont"/>
    <w:link w:val="Indent7legalcombo"/>
    <w:rsid w:val="00B065E7"/>
    <w:rPr>
      <w:rFonts w:eastAsiaTheme="minorEastAsia"/>
      <w:color w:val="000000"/>
      <w:szCs w:val="24"/>
      <w:lang w:val="en-US" w:eastAsia="zh-CN"/>
    </w:rPr>
  </w:style>
  <w:style w:type="paragraph" w:customStyle="1" w:styleId="Indent8legalcombo">
    <w:name w:val="Indent8 (legalcombo)"/>
    <w:basedOn w:val="Normal"/>
    <w:link w:val="Indent8legalcomboChar"/>
    <w:rsid w:val="00B065E7"/>
    <w:pPr>
      <w:spacing w:line="480" w:lineRule="auto"/>
      <w:ind w:left="1440"/>
    </w:pPr>
    <w:rPr>
      <w:rFonts w:eastAsiaTheme="minorEastAsia"/>
      <w:color w:val="000000"/>
      <w:lang w:val="en-US"/>
    </w:rPr>
  </w:style>
  <w:style w:type="character" w:customStyle="1" w:styleId="Indent8legalcomboChar">
    <w:name w:val="Indent8 (legalcombo) Char"/>
    <w:basedOn w:val="DefaultParagraphFont"/>
    <w:link w:val="Indent8legalcombo"/>
    <w:rsid w:val="00B065E7"/>
    <w:rPr>
      <w:rFonts w:eastAsiaTheme="minorEastAsia"/>
      <w:color w:val="000000"/>
      <w:szCs w:val="24"/>
      <w:lang w:val="en-US" w:eastAsia="zh-CN"/>
    </w:rPr>
  </w:style>
  <w:style w:type="paragraph" w:customStyle="1" w:styleId="Indent9legalcombo">
    <w:name w:val="Indent9 (legalcombo)"/>
    <w:basedOn w:val="Normal"/>
    <w:link w:val="Indent9legalcomboChar"/>
    <w:rsid w:val="00B065E7"/>
    <w:pPr>
      <w:spacing w:line="480" w:lineRule="auto"/>
      <w:ind w:left="1800"/>
    </w:pPr>
    <w:rPr>
      <w:rFonts w:eastAsiaTheme="minorEastAsia"/>
      <w:color w:val="000000"/>
      <w:lang w:val="en-US"/>
    </w:rPr>
  </w:style>
  <w:style w:type="character" w:customStyle="1" w:styleId="Indent9legalcomboChar">
    <w:name w:val="Indent9 (legalcombo) Char"/>
    <w:basedOn w:val="DefaultParagraphFont"/>
    <w:link w:val="Indent9legalcombo"/>
    <w:rsid w:val="00B065E7"/>
    <w:rPr>
      <w:rFonts w:eastAsiaTheme="minorEastAsia"/>
      <w:color w:val="000000"/>
      <w:szCs w:val="24"/>
      <w:lang w:val="en-US" w:eastAsia="zh-CN"/>
    </w:rPr>
  </w:style>
  <w:style w:type="paragraph" w:styleId="Bibliography">
    <w:name w:val="Bibliography"/>
    <w:basedOn w:val="Normal"/>
    <w:next w:val="Normal"/>
    <w:uiPriority w:val="37"/>
    <w:semiHidden/>
    <w:unhideWhenUsed/>
    <w:rsid w:val="00B0233B"/>
  </w:style>
  <w:style w:type="paragraph" w:styleId="BlockText">
    <w:name w:val="Block Text"/>
    <w:basedOn w:val="Normal"/>
    <w:uiPriority w:val="99"/>
    <w:semiHidden/>
    <w:unhideWhenUsed/>
    <w:rsid w:val="00B0233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0233B"/>
    <w:pPr>
      <w:spacing w:after="120"/>
    </w:pPr>
  </w:style>
  <w:style w:type="character" w:customStyle="1" w:styleId="BodyTextChar">
    <w:name w:val="Body Text Char"/>
    <w:basedOn w:val="DefaultParagraphFont"/>
    <w:link w:val="BodyText"/>
    <w:uiPriority w:val="99"/>
    <w:semiHidden/>
    <w:rsid w:val="00B0233B"/>
    <w:rPr>
      <w:szCs w:val="24"/>
      <w:lang w:val="en-US" w:eastAsia="zh-CN"/>
    </w:rPr>
  </w:style>
  <w:style w:type="paragraph" w:styleId="BodyText2">
    <w:name w:val="Body Text 2"/>
    <w:basedOn w:val="Normal"/>
    <w:link w:val="BodyText2Char"/>
    <w:uiPriority w:val="99"/>
    <w:semiHidden/>
    <w:unhideWhenUsed/>
    <w:rsid w:val="00B0233B"/>
    <w:pPr>
      <w:spacing w:after="120" w:line="480" w:lineRule="auto"/>
    </w:pPr>
  </w:style>
  <w:style w:type="character" w:customStyle="1" w:styleId="BodyText2Char">
    <w:name w:val="Body Text 2 Char"/>
    <w:basedOn w:val="DefaultParagraphFont"/>
    <w:link w:val="BodyText2"/>
    <w:uiPriority w:val="99"/>
    <w:semiHidden/>
    <w:rsid w:val="00B0233B"/>
    <w:rPr>
      <w:szCs w:val="24"/>
      <w:lang w:val="en-US" w:eastAsia="zh-CN"/>
    </w:rPr>
  </w:style>
  <w:style w:type="paragraph" w:styleId="BodyText3">
    <w:name w:val="Body Text 3"/>
    <w:basedOn w:val="Normal"/>
    <w:link w:val="BodyText3Char"/>
    <w:uiPriority w:val="99"/>
    <w:semiHidden/>
    <w:unhideWhenUsed/>
    <w:rsid w:val="00B0233B"/>
    <w:pPr>
      <w:spacing w:after="120"/>
    </w:pPr>
    <w:rPr>
      <w:sz w:val="16"/>
      <w:szCs w:val="16"/>
    </w:rPr>
  </w:style>
  <w:style w:type="character" w:customStyle="1" w:styleId="BodyText3Char">
    <w:name w:val="Body Text 3 Char"/>
    <w:basedOn w:val="DefaultParagraphFont"/>
    <w:link w:val="BodyText3"/>
    <w:uiPriority w:val="99"/>
    <w:semiHidden/>
    <w:rsid w:val="00B0233B"/>
    <w:rPr>
      <w:sz w:val="16"/>
      <w:szCs w:val="16"/>
      <w:lang w:val="en-US" w:eastAsia="zh-CN"/>
    </w:rPr>
  </w:style>
  <w:style w:type="paragraph" w:styleId="BodyTextFirstIndent">
    <w:name w:val="Body Text First Indent"/>
    <w:basedOn w:val="BodyText"/>
    <w:link w:val="BodyTextFirstIndentChar"/>
    <w:uiPriority w:val="99"/>
    <w:semiHidden/>
    <w:unhideWhenUsed/>
    <w:rsid w:val="00B0233B"/>
    <w:pPr>
      <w:spacing w:after="0"/>
      <w:ind w:firstLine="360"/>
    </w:pPr>
  </w:style>
  <w:style w:type="character" w:customStyle="1" w:styleId="BodyTextFirstIndentChar">
    <w:name w:val="Body Text First Indent Char"/>
    <w:basedOn w:val="BodyTextChar"/>
    <w:link w:val="BodyTextFirstIndent"/>
    <w:uiPriority w:val="99"/>
    <w:semiHidden/>
    <w:rsid w:val="00B0233B"/>
    <w:rPr>
      <w:szCs w:val="24"/>
      <w:lang w:val="en-US" w:eastAsia="zh-CN"/>
    </w:rPr>
  </w:style>
  <w:style w:type="paragraph" w:styleId="BodyTextIndent">
    <w:name w:val="Body Text Indent"/>
    <w:basedOn w:val="Normal"/>
    <w:link w:val="BodyTextIndentChar"/>
    <w:uiPriority w:val="99"/>
    <w:semiHidden/>
    <w:unhideWhenUsed/>
    <w:rsid w:val="00B0233B"/>
    <w:pPr>
      <w:spacing w:after="120"/>
      <w:ind w:left="360"/>
    </w:pPr>
  </w:style>
  <w:style w:type="character" w:customStyle="1" w:styleId="BodyTextIndentChar">
    <w:name w:val="Body Text Indent Char"/>
    <w:basedOn w:val="DefaultParagraphFont"/>
    <w:link w:val="BodyTextIndent"/>
    <w:uiPriority w:val="99"/>
    <w:semiHidden/>
    <w:rsid w:val="00B0233B"/>
    <w:rPr>
      <w:szCs w:val="24"/>
      <w:lang w:val="en-US" w:eastAsia="zh-CN"/>
    </w:rPr>
  </w:style>
  <w:style w:type="paragraph" w:styleId="BodyTextFirstIndent2">
    <w:name w:val="Body Text First Indent 2"/>
    <w:basedOn w:val="BodyTextIndent"/>
    <w:link w:val="BodyTextFirstIndent2Char"/>
    <w:uiPriority w:val="99"/>
    <w:semiHidden/>
    <w:unhideWhenUsed/>
    <w:rsid w:val="00B0233B"/>
    <w:pPr>
      <w:spacing w:after="0"/>
      <w:ind w:firstLine="360"/>
    </w:pPr>
  </w:style>
  <w:style w:type="character" w:customStyle="1" w:styleId="BodyTextFirstIndent2Char">
    <w:name w:val="Body Text First Indent 2 Char"/>
    <w:basedOn w:val="BodyTextIndentChar"/>
    <w:link w:val="BodyTextFirstIndent2"/>
    <w:uiPriority w:val="99"/>
    <w:semiHidden/>
    <w:rsid w:val="00B0233B"/>
    <w:rPr>
      <w:szCs w:val="24"/>
      <w:lang w:val="en-US" w:eastAsia="zh-CN"/>
    </w:rPr>
  </w:style>
  <w:style w:type="paragraph" w:styleId="BodyTextIndent2">
    <w:name w:val="Body Text Indent 2"/>
    <w:basedOn w:val="Normal"/>
    <w:link w:val="BodyTextIndent2Char"/>
    <w:uiPriority w:val="99"/>
    <w:semiHidden/>
    <w:unhideWhenUsed/>
    <w:rsid w:val="00B0233B"/>
    <w:pPr>
      <w:spacing w:after="120" w:line="480" w:lineRule="auto"/>
      <w:ind w:left="360"/>
    </w:pPr>
  </w:style>
  <w:style w:type="character" w:customStyle="1" w:styleId="BodyTextIndent2Char">
    <w:name w:val="Body Text Indent 2 Char"/>
    <w:basedOn w:val="DefaultParagraphFont"/>
    <w:link w:val="BodyTextIndent2"/>
    <w:uiPriority w:val="99"/>
    <w:semiHidden/>
    <w:rsid w:val="00B0233B"/>
    <w:rPr>
      <w:szCs w:val="24"/>
      <w:lang w:val="en-US" w:eastAsia="zh-CN"/>
    </w:rPr>
  </w:style>
  <w:style w:type="paragraph" w:styleId="BodyTextIndent3">
    <w:name w:val="Body Text Indent 3"/>
    <w:basedOn w:val="Normal"/>
    <w:link w:val="BodyTextIndent3Char"/>
    <w:uiPriority w:val="99"/>
    <w:semiHidden/>
    <w:unhideWhenUsed/>
    <w:rsid w:val="00B0233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33B"/>
    <w:rPr>
      <w:sz w:val="16"/>
      <w:szCs w:val="16"/>
      <w:lang w:val="en-US" w:eastAsia="zh-CN"/>
    </w:rPr>
  </w:style>
  <w:style w:type="paragraph" w:styleId="Caption">
    <w:name w:val="caption"/>
    <w:basedOn w:val="Normal"/>
    <w:next w:val="Normal"/>
    <w:uiPriority w:val="35"/>
    <w:semiHidden/>
    <w:unhideWhenUsed/>
    <w:qFormat/>
    <w:rsid w:val="00B0233B"/>
    <w:pPr>
      <w:spacing w:after="120"/>
    </w:pPr>
    <w:rPr>
      <w:b/>
      <w:bCs/>
      <w:color w:val="4F81BD" w:themeColor="accent1"/>
      <w:sz w:val="18"/>
      <w:szCs w:val="18"/>
    </w:rPr>
  </w:style>
  <w:style w:type="paragraph" w:styleId="Closing">
    <w:name w:val="Closing"/>
    <w:basedOn w:val="Normal"/>
    <w:link w:val="ClosingChar"/>
    <w:uiPriority w:val="99"/>
    <w:semiHidden/>
    <w:unhideWhenUsed/>
    <w:rsid w:val="00B0233B"/>
    <w:pPr>
      <w:ind w:left="4320"/>
    </w:pPr>
  </w:style>
  <w:style w:type="character" w:customStyle="1" w:styleId="ClosingChar">
    <w:name w:val="Closing Char"/>
    <w:basedOn w:val="DefaultParagraphFont"/>
    <w:link w:val="Closing"/>
    <w:uiPriority w:val="99"/>
    <w:semiHidden/>
    <w:rsid w:val="00B0233B"/>
    <w:rPr>
      <w:szCs w:val="24"/>
      <w:lang w:val="en-US" w:eastAsia="zh-CN"/>
    </w:rPr>
  </w:style>
  <w:style w:type="paragraph" w:styleId="Date">
    <w:name w:val="Date"/>
    <w:basedOn w:val="Normal"/>
    <w:next w:val="Normal"/>
    <w:link w:val="DateChar"/>
    <w:uiPriority w:val="99"/>
    <w:semiHidden/>
    <w:unhideWhenUsed/>
    <w:rsid w:val="00B0233B"/>
  </w:style>
  <w:style w:type="character" w:customStyle="1" w:styleId="DateChar">
    <w:name w:val="Date Char"/>
    <w:basedOn w:val="DefaultParagraphFont"/>
    <w:link w:val="Date"/>
    <w:uiPriority w:val="99"/>
    <w:semiHidden/>
    <w:rsid w:val="00B0233B"/>
    <w:rPr>
      <w:szCs w:val="24"/>
      <w:lang w:val="en-US" w:eastAsia="zh-CN"/>
    </w:rPr>
  </w:style>
  <w:style w:type="paragraph" w:styleId="DocumentMap">
    <w:name w:val="Document Map"/>
    <w:basedOn w:val="Normal"/>
    <w:link w:val="DocumentMapChar"/>
    <w:uiPriority w:val="99"/>
    <w:semiHidden/>
    <w:unhideWhenUsed/>
    <w:rsid w:val="00B0233B"/>
    <w:rPr>
      <w:rFonts w:ascii="Tahoma" w:hAnsi="Tahoma" w:cs="Tahoma"/>
      <w:sz w:val="16"/>
      <w:szCs w:val="16"/>
    </w:rPr>
  </w:style>
  <w:style w:type="character" w:customStyle="1" w:styleId="DocumentMapChar">
    <w:name w:val="Document Map Char"/>
    <w:basedOn w:val="DefaultParagraphFont"/>
    <w:link w:val="DocumentMap"/>
    <w:uiPriority w:val="99"/>
    <w:semiHidden/>
    <w:rsid w:val="00B0233B"/>
    <w:rPr>
      <w:rFonts w:ascii="Tahoma" w:hAnsi="Tahoma" w:cs="Tahoma"/>
      <w:sz w:val="16"/>
      <w:szCs w:val="16"/>
      <w:lang w:val="en-US" w:eastAsia="zh-CN"/>
    </w:rPr>
  </w:style>
  <w:style w:type="paragraph" w:styleId="E-mailSignature">
    <w:name w:val="E-mail Signature"/>
    <w:basedOn w:val="Normal"/>
    <w:link w:val="E-mailSignatureChar"/>
    <w:uiPriority w:val="99"/>
    <w:semiHidden/>
    <w:unhideWhenUsed/>
    <w:rsid w:val="00B0233B"/>
  </w:style>
  <w:style w:type="character" w:customStyle="1" w:styleId="E-mailSignatureChar">
    <w:name w:val="E-mail Signature Char"/>
    <w:basedOn w:val="DefaultParagraphFont"/>
    <w:link w:val="E-mailSignature"/>
    <w:uiPriority w:val="99"/>
    <w:semiHidden/>
    <w:rsid w:val="00B0233B"/>
    <w:rPr>
      <w:szCs w:val="24"/>
      <w:lang w:val="en-US" w:eastAsia="zh-CN"/>
    </w:rPr>
  </w:style>
  <w:style w:type="paragraph" w:styleId="EnvelopeAddress">
    <w:name w:val="envelope address"/>
    <w:basedOn w:val="Normal"/>
    <w:uiPriority w:val="99"/>
    <w:semiHidden/>
    <w:unhideWhenUsed/>
    <w:rsid w:val="00B0233B"/>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0233B"/>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B0233B"/>
    <w:rPr>
      <w:rFonts w:asciiTheme="majorHAnsi" w:eastAsiaTheme="majorEastAsia" w:hAnsiTheme="majorHAnsi" w:cstheme="majorBidi"/>
      <w:color w:val="243F60" w:themeColor="accent1" w:themeShade="7F"/>
      <w:szCs w:val="24"/>
      <w:lang w:eastAsia="zh-CN"/>
    </w:rPr>
  </w:style>
  <w:style w:type="character" w:customStyle="1" w:styleId="Heading6Char">
    <w:name w:val="Heading 6 Char"/>
    <w:basedOn w:val="DefaultParagraphFont"/>
    <w:link w:val="Heading6"/>
    <w:uiPriority w:val="9"/>
    <w:semiHidden/>
    <w:rsid w:val="00B0233B"/>
    <w:rPr>
      <w:rFonts w:asciiTheme="majorHAnsi" w:eastAsiaTheme="majorEastAsia" w:hAnsiTheme="majorHAnsi" w:cstheme="majorBidi"/>
      <w:i/>
      <w:iCs/>
      <w:color w:val="243F60" w:themeColor="accent1" w:themeShade="7F"/>
      <w:szCs w:val="24"/>
      <w:lang w:eastAsia="zh-CN"/>
    </w:rPr>
  </w:style>
  <w:style w:type="character" w:customStyle="1" w:styleId="Heading8Char">
    <w:name w:val="Heading 8 Char"/>
    <w:basedOn w:val="DefaultParagraphFont"/>
    <w:link w:val="Heading8"/>
    <w:uiPriority w:val="9"/>
    <w:semiHidden/>
    <w:rsid w:val="00B0233B"/>
    <w:rPr>
      <w:rFonts w:asciiTheme="majorHAnsi" w:eastAsiaTheme="majorEastAsia" w:hAnsiTheme="majorHAnsi" w:cstheme="majorBidi"/>
      <w:color w:val="404040" w:themeColor="text1" w:themeTint="BF"/>
      <w:sz w:val="20"/>
      <w:szCs w:val="20"/>
      <w:lang w:eastAsia="zh-CN"/>
    </w:rPr>
  </w:style>
  <w:style w:type="character" w:customStyle="1" w:styleId="Heading9Char">
    <w:name w:val="Heading 9 Char"/>
    <w:basedOn w:val="DefaultParagraphFont"/>
    <w:link w:val="Heading9"/>
    <w:uiPriority w:val="9"/>
    <w:semiHidden/>
    <w:rsid w:val="00B0233B"/>
    <w:rPr>
      <w:rFonts w:asciiTheme="majorHAnsi" w:eastAsiaTheme="majorEastAsia" w:hAnsiTheme="majorHAnsi" w:cstheme="majorBidi"/>
      <w:i/>
      <w:iCs/>
      <w:color w:val="404040" w:themeColor="text1" w:themeTint="BF"/>
      <w:sz w:val="20"/>
      <w:szCs w:val="20"/>
      <w:lang w:eastAsia="zh-CN"/>
    </w:rPr>
  </w:style>
  <w:style w:type="paragraph" w:styleId="HTMLAddress">
    <w:name w:val="HTML Address"/>
    <w:basedOn w:val="Normal"/>
    <w:link w:val="HTMLAddressChar"/>
    <w:uiPriority w:val="99"/>
    <w:semiHidden/>
    <w:unhideWhenUsed/>
    <w:rsid w:val="00B0233B"/>
    <w:rPr>
      <w:i/>
      <w:iCs/>
    </w:rPr>
  </w:style>
  <w:style w:type="character" w:customStyle="1" w:styleId="HTMLAddressChar">
    <w:name w:val="HTML Address Char"/>
    <w:basedOn w:val="DefaultParagraphFont"/>
    <w:link w:val="HTMLAddress"/>
    <w:uiPriority w:val="99"/>
    <w:semiHidden/>
    <w:rsid w:val="00B0233B"/>
    <w:rPr>
      <w:i/>
      <w:iCs/>
      <w:szCs w:val="24"/>
      <w:lang w:val="en-US" w:eastAsia="zh-CN"/>
    </w:rPr>
  </w:style>
  <w:style w:type="paragraph" w:styleId="HTMLPreformatted">
    <w:name w:val="HTML Preformatted"/>
    <w:basedOn w:val="Normal"/>
    <w:link w:val="HTMLPreformattedChar"/>
    <w:uiPriority w:val="99"/>
    <w:semiHidden/>
    <w:unhideWhenUsed/>
    <w:rsid w:val="00B0233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0233B"/>
    <w:rPr>
      <w:rFonts w:ascii="Consolas" w:hAnsi="Consolas"/>
      <w:sz w:val="20"/>
      <w:szCs w:val="20"/>
      <w:lang w:val="en-US" w:eastAsia="zh-CN"/>
    </w:rPr>
  </w:style>
  <w:style w:type="paragraph" w:styleId="Index1">
    <w:name w:val="index 1"/>
    <w:basedOn w:val="Normal"/>
    <w:next w:val="Normal"/>
    <w:autoRedefine/>
    <w:uiPriority w:val="99"/>
    <w:semiHidden/>
    <w:unhideWhenUsed/>
    <w:rsid w:val="00B0233B"/>
    <w:pPr>
      <w:ind w:left="220" w:hanging="220"/>
    </w:pPr>
  </w:style>
  <w:style w:type="paragraph" w:styleId="Index2">
    <w:name w:val="index 2"/>
    <w:basedOn w:val="Normal"/>
    <w:next w:val="Normal"/>
    <w:autoRedefine/>
    <w:uiPriority w:val="99"/>
    <w:semiHidden/>
    <w:unhideWhenUsed/>
    <w:rsid w:val="00B0233B"/>
    <w:pPr>
      <w:ind w:left="440" w:hanging="220"/>
    </w:pPr>
  </w:style>
  <w:style w:type="paragraph" w:styleId="Index3">
    <w:name w:val="index 3"/>
    <w:basedOn w:val="Normal"/>
    <w:next w:val="Normal"/>
    <w:autoRedefine/>
    <w:uiPriority w:val="99"/>
    <w:semiHidden/>
    <w:unhideWhenUsed/>
    <w:rsid w:val="00B0233B"/>
    <w:pPr>
      <w:ind w:left="660" w:hanging="220"/>
    </w:pPr>
  </w:style>
  <w:style w:type="paragraph" w:styleId="Index4">
    <w:name w:val="index 4"/>
    <w:basedOn w:val="Normal"/>
    <w:next w:val="Normal"/>
    <w:autoRedefine/>
    <w:uiPriority w:val="99"/>
    <w:semiHidden/>
    <w:unhideWhenUsed/>
    <w:rsid w:val="00B0233B"/>
    <w:pPr>
      <w:ind w:left="880" w:hanging="220"/>
    </w:pPr>
  </w:style>
  <w:style w:type="paragraph" w:styleId="Index5">
    <w:name w:val="index 5"/>
    <w:basedOn w:val="Normal"/>
    <w:next w:val="Normal"/>
    <w:autoRedefine/>
    <w:uiPriority w:val="99"/>
    <w:semiHidden/>
    <w:unhideWhenUsed/>
    <w:rsid w:val="00B0233B"/>
    <w:pPr>
      <w:ind w:left="1100" w:hanging="220"/>
    </w:pPr>
  </w:style>
  <w:style w:type="paragraph" w:styleId="Index6">
    <w:name w:val="index 6"/>
    <w:basedOn w:val="Normal"/>
    <w:next w:val="Normal"/>
    <w:autoRedefine/>
    <w:uiPriority w:val="99"/>
    <w:semiHidden/>
    <w:unhideWhenUsed/>
    <w:rsid w:val="00B0233B"/>
    <w:pPr>
      <w:ind w:left="1320" w:hanging="220"/>
    </w:pPr>
  </w:style>
  <w:style w:type="paragraph" w:styleId="Index7">
    <w:name w:val="index 7"/>
    <w:basedOn w:val="Normal"/>
    <w:next w:val="Normal"/>
    <w:autoRedefine/>
    <w:uiPriority w:val="99"/>
    <w:semiHidden/>
    <w:unhideWhenUsed/>
    <w:rsid w:val="00B0233B"/>
    <w:pPr>
      <w:ind w:left="1540" w:hanging="220"/>
    </w:pPr>
  </w:style>
  <w:style w:type="paragraph" w:styleId="Index8">
    <w:name w:val="index 8"/>
    <w:basedOn w:val="Normal"/>
    <w:next w:val="Normal"/>
    <w:autoRedefine/>
    <w:uiPriority w:val="99"/>
    <w:semiHidden/>
    <w:unhideWhenUsed/>
    <w:rsid w:val="00B0233B"/>
    <w:pPr>
      <w:ind w:left="1760" w:hanging="220"/>
    </w:pPr>
  </w:style>
  <w:style w:type="paragraph" w:styleId="Index9">
    <w:name w:val="index 9"/>
    <w:basedOn w:val="Normal"/>
    <w:next w:val="Normal"/>
    <w:autoRedefine/>
    <w:uiPriority w:val="99"/>
    <w:semiHidden/>
    <w:unhideWhenUsed/>
    <w:rsid w:val="00B0233B"/>
    <w:pPr>
      <w:ind w:left="1980" w:hanging="220"/>
    </w:pPr>
  </w:style>
  <w:style w:type="paragraph" w:styleId="IndexHeading">
    <w:name w:val="index heading"/>
    <w:basedOn w:val="Normal"/>
    <w:next w:val="Index1"/>
    <w:uiPriority w:val="99"/>
    <w:semiHidden/>
    <w:unhideWhenUsed/>
    <w:rsid w:val="00B0233B"/>
    <w:rPr>
      <w:rFonts w:asciiTheme="majorHAnsi" w:eastAsiaTheme="majorEastAsia" w:hAnsiTheme="majorHAnsi" w:cstheme="majorBidi"/>
      <w:b/>
      <w:bCs/>
    </w:rPr>
  </w:style>
  <w:style w:type="paragraph" w:styleId="List">
    <w:name w:val="List"/>
    <w:basedOn w:val="Normal"/>
    <w:uiPriority w:val="99"/>
    <w:semiHidden/>
    <w:unhideWhenUsed/>
    <w:rsid w:val="00B0233B"/>
    <w:pPr>
      <w:ind w:left="360" w:hanging="360"/>
      <w:contextualSpacing/>
    </w:pPr>
  </w:style>
  <w:style w:type="paragraph" w:styleId="List2">
    <w:name w:val="List 2"/>
    <w:basedOn w:val="Normal"/>
    <w:uiPriority w:val="99"/>
    <w:semiHidden/>
    <w:unhideWhenUsed/>
    <w:rsid w:val="00B0233B"/>
    <w:pPr>
      <w:ind w:left="720" w:hanging="360"/>
      <w:contextualSpacing/>
    </w:pPr>
  </w:style>
  <w:style w:type="paragraph" w:styleId="List3">
    <w:name w:val="List 3"/>
    <w:basedOn w:val="Normal"/>
    <w:uiPriority w:val="99"/>
    <w:semiHidden/>
    <w:unhideWhenUsed/>
    <w:rsid w:val="00B0233B"/>
    <w:pPr>
      <w:ind w:left="1080" w:hanging="360"/>
      <w:contextualSpacing/>
    </w:pPr>
  </w:style>
  <w:style w:type="paragraph" w:styleId="List4">
    <w:name w:val="List 4"/>
    <w:basedOn w:val="Normal"/>
    <w:uiPriority w:val="99"/>
    <w:semiHidden/>
    <w:unhideWhenUsed/>
    <w:rsid w:val="00B0233B"/>
    <w:pPr>
      <w:ind w:left="1440" w:hanging="360"/>
      <w:contextualSpacing/>
    </w:pPr>
  </w:style>
  <w:style w:type="paragraph" w:styleId="List5">
    <w:name w:val="List 5"/>
    <w:basedOn w:val="Normal"/>
    <w:uiPriority w:val="99"/>
    <w:semiHidden/>
    <w:unhideWhenUsed/>
    <w:rsid w:val="00B0233B"/>
    <w:pPr>
      <w:ind w:left="1800" w:hanging="360"/>
      <w:contextualSpacing/>
    </w:pPr>
  </w:style>
  <w:style w:type="paragraph" w:styleId="ListBullet">
    <w:name w:val="List Bullet"/>
    <w:basedOn w:val="Normal"/>
    <w:uiPriority w:val="99"/>
    <w:semiHidden/>
    <w:unhideWhenUsed/>
    <w:rsid w:val="00B0233B"/>
    <w:pPr>
      <w:numPr>
        <w:numId w:val="7"/>
      </w:numPr>
      <w:contextualSpacing/>
    </w:pPr>
  </w:style>
  <w:style w:type="paragraph" w:styleId="ListBullet2">
    <w:name w:val="List Bullet 2"/>
    <w:basedOn w:val="Normal"/>
    <w:uiPriority w:val="99"/>
    <w:semiHidden/>
    <w:unhideWhenUsed/>
    <w:rsid w:val="00B0233B"/>
    <w:pPr>
      <w:numPr>
        <w:numId w:val="8"/>
      </w:numPr>
      <w:contextualSpacing/>
    </w:pPr>
  </w:style>
  <w:style w:type="paragraph" w:styleId="ListBullet3">
    <w:name w:val="List Bullet 3"/>
    <w:basedOn w:val="Normal"/>
    <w:uiPriority w:val="99"/>
    <w:semiHidden/>
    <w:unhideWhenUsed/>
    <w:rsid w:val="00B0233B"/>
    <w:pPr>
      <w:numPr>
        <w:numId w:val="9"/>
      </w:numPr>
      <w:contextualSpacing/>
    </w:pPr>
  </w:style>
  <w:style w:type="paragraph" w:styleId="ListBullet4">
    <w:name w:val="List Bullet 4"/>
    <w:basedOn w:val="Normal"/>
    <w:uiPriority w:val="99"/>
    <w:semiHidden/>
    <w:unhideWhenUsed/>
    <w:rsid w:val="00B0233B"/>
    <w:pPr>
      <w:numPr>
        <w:numId w:val="10"/>
      </w:numPr>
      <w:contextualSpacing/>
    </w:pPr>
  </w:style>
  <w:style w:type="paragraph" w:styleId="ListBullet5">
    <w:name w:val="List Bullet 5"/>
    <w:basedOn w:val="Normal"/>
    <w:uiPriority w:val="99"/>
    <w:semiHidden/>
    <w:unhideWhenUsed/>
    <w:rsid w:val="00B0233B"/>
    <w:pPr>
      <w:numPr>
        <w:numId w:val="11"/>
      </w:numPr>
      <w:contextualSpacing/>
    </w:pPr>
  </w:style>
  <w:style w:type="paragraph" w:styleId="ListContinue">
    <w:name w:val="List Continue"/>
    <w:basedOn w:val="Normal"/>
    <w:uiPriority w:val="99"/>
    <w:semiHidden/>
    <w:unhideWhenUsed/>
    <w:rsid w:val="00B0233B"/>
    <w:pPr>
      <w:spacing w:after="120"/>
      <w:ind w:left="360"/>
      <w:contextualSpacing/>
    </w:pPr>
  </w:style>
  <w:style w:type="paragraph" w:styleId="ListContinue2">
    <w:name w:val="List Continue 2"/>
    <w:basedOn w:val="Normal"/>
    <w:uiPriority w:val="99"/>
    <w:semiHidden/>
    <w:unhideWhenUsed/>
    <w:rsid w:val="00B0233B"/>
    <w:pPr>
      <w:spacing w:after="120"/>
      <w:ind w:left="720"/>
      <w:contextualSpacing/>
    </w:pPr>
  </w:style>
  <w:style w:type="paragraph" w:styleId="ListContinue3">
    <w:name w:val="List Continue 3"/>
    <w:basedOn w:val="Normal"/>
    <w:uiPriority w:val="99"/>
    <w:semiHidden/>
    <w:unhideWhenUsed/>
    <w:rsid w:val="00B0233B"/>
    <w:pPr>
      <w:spacing w:after="120"/>
      <w:ind w:left="1080"/>
      <w:contextualSpacing/>
    </w:pPr>
  </w:style>
  <w:style w:type="paragraph" w:styleId="ListContinue4">
    <w:name w:val="List Continue 4"/>
    <w:basedOn w:val="Normal"/>
    <w:uiPriority w:val="99"/>
    <w:semiHidden/>
    <w:unhideWhenUsed/>
    <w:rsid w:val="00B0233B"/>
    <w:pPr>
      <w:spacing w:after="120"/>
      <w:ind w:left="1440"/>
      <w:contextualSpacing/>
    </w:pPr>
  </w:style>
  <w:style w:type="paragraph" w:styleId="ListContinue5">
    <w:name w:val="List Continue 5"/>
    <w:basedOn w:val="Normal"/>
    <w:uiPriority w:val="99"/>
    <w:semiHidden/>
    <w:unhideWhenUsed/>
    <w:rsid w:val="00B0233B"/>
    <w:pPr>
      <w:spacing w:after="120"/>
      <w:ind w:left="1800"/>
      <w:contextualSpacing/>
    </w:pPr>
  </w:style>
  <w:style w:type="paragraph" w:styleId="ListNumber">
    <w:name w:val="List Number"/>
    <w:basedOn w:val="Normal"/>
    <w:uiPriority w:val="99"/>
    <w:semiHidden/>
    <w:unhideWhenUsed/>
    <w:rsid w:val="00B0233B"/>
    <w:pPr>
      <w:numPr>
        <w:numId w:val="12"/>
      </w:numPr>
      <w:contextualSpacing/>
    </w:pPr>
  </w:style>
  <w:style w:type="paragraph" w:styleId="ListNumber2">
    <w:name w:val="List Number 2"/>
    <w:basedOn w:val="Normal"/>
    <w:uiPriority w:val="99"/>
    <w:semiHidden/>
    <w:unhideWhenUsed/>
    <w:rsid w:val="00B0233B"/>
    <w:pPr>
      <w:numPr>
        <w:numId w:val="13"/>
      </w:numPr>
      <w:contextualSpacing/>
    </w:pPr>
  </w:style>
  <w:style w:type="paragraph" w:styleId="ListNumber3">
    <w:name w:val="List Number 3"/>
    <w:basedOn w:val="Normal"/>
    <w:uiPriority w:val="99"/>
    <w:semiHidden/>
    <w:unhideWhenUsed/>
    <w:rsid w:val="00B0233B"/>
    <w:pPr>
      <w:numPr>
        <w:numId w:val="14"/>
      </w:numPr>
      <w:contextualSpacing/>
    </w:pPr>
  </w:style>
  <w:style w:type="paragraph" w:styleId="ListNumber4">
    <w:name w:val="List Number 4"/>
    <w:basedOn w:val="Normal"/>
    <w:uiPriority w:val="99"/>
    <w:semiHidden/>
    <w:unhideWhenUsed/>
    <w:rsid w:val="00B0233B"/>
    <w:pPr>
      <w:numPr>
        <w:numId w:val="15"/>
      </w:numPr>
      <w:contextualSpacing/>
    </w:pPr>
  </w:style>
  <w:style w:type="paragraph" w:styleId="ListNumber5">
    <w:name w:val="List Number 5"/>
    <w:basedOn w:val="Normal"/>
    <w:uiPriority w:val="99"/>
    <w:semiHidden/>
    <w:unhideWhenUsed/>
    <w:rsid w:val="00B0233B"/>
    <w:pPr>
      <w:numPr>
        <w:numId w:val="16"/>
      </w:numPr>
      <w:contextualSpacing/>
    </w:pPr>
  </w:style>
  <w:style w:type="paragraph" w:styleId="MacroText">
    <w:name w:val="macro"/>
    <w:link w:val="MacroTextChar"/>
    <w:uiPriority w:val="99"/>
    <w:semiHidden/>
    <w:unhideWhenUsed/>
    <w:rsid w:val="00B0233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sz w:val="20"/>
      <w:szCs w:val="20"/>
      <w:lang w:val="en-US" w:eastAsia="zh-CN"/>
    </w:rPr>
  </w:style>
  <w:style w:type="character" w:customStyle="1" w:styleId="MacroTextChar">
    <w:name w:val="Macro Text Char"/>
    <w:basedOn w:val="DefaultParagraphFont"/>
    <w:link w:val="MacroText"/>
    <w:uiPriority w:val="99"/>
    <w:semiHidden/>
    <w:rsid w:val="00B0233B"/>
    <w:rPr>
      <w:rFonts w:ascii="Consolas" w:hAnsi="Consolas"/>
      <w:sz w:val="20"/>
      <w:szCs w:val="20"/>
      <w:lang w:val="en-US" w:eastAsia="zh-CN"/>
    </w:rPr>
  </w:style>
  <w:style w:type="paragraph" w:styleId="MessageHeader">
    <w:name w:val="Message Header"/>
    <w:basedOn w:val="Normal"/>
    <w:link w:val="MessageHeaderChar"/>
    <w:uiPriority w:val="99"/>
    <w:semiHidden/>
    <w:unhideWhenUsed/>
    <w:rsid w:val="00B0233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0233B"/>
    <w:rPr>
      <w:rFonts w:asciiTheme="majorHAnsi" w:eastAsiaTheme="majorEastAsia" w:hAnsiTheme="majorHAnsi" w:cstheme="majorBidi"/>
      <w:sz w:val="24"/>
      <w:szCs w:val="24"/>
      <w:shd w:val="pct20" w:color="auto" w:fill="auto"/>
      <w:lang w:val="en-US" w:eastAsia="zh-CN"/>
    </w:rPr>
  </w:style>
  <w:style w:type="paragraph" w:styleId="NormalWeb">
    <w:name w:val="Normal (Web)"/>
    <w:basedOn w:val="Normal"/>
    <w:uiPriority w:val="99"/>
    <w:semiHidden/>
    <w:unhideWhenUsed/>
    <w:rsid w:val="00B0233B"/>
    <w:rPr>
      <w:rFonts w:ascii="Times New Roman" w:hAnsi="Times New Roman" w:cs="Times New Roman"/>
      <w:sz w:val="24"/>
    </w:rPr>
  </w:style>
  <w:style w:type="paragraph" w:styleId="NormalIndent">
    <w:name w:val="Normal Indent"/>
    <w:basedOn w:val="Normal"/>
    <w:uiPriority w:val="99"/>
    <w:semiHidden/>
    <w:unhideWhenUsed/>
    <w:rsid w:val="00B0233B"/>
    <w:pPr>
      <w:ind w:left="720"/>
    </w:pPr>
  </w:style>
  <w:style w:type="paragraph" w:styleId="NoteHeading">
    <w:name w:val="Note Heading"/>
    <w:basedOn w:val="Normal"/>
    <w:next w:val="Normal"/>
    <w:link w:val="NoteHeadingChar"/>
    <w:uiPriority w:val="99"/>
    <w:semiHidden/>
    <w:unhideWhenUsed/>
    <w:rsid w:val="00B0233B"/>
  </w:style>
  <w:style w:type="character" w:customStyle="1" w:styleId="NoteHeadingChar">
    <w:name w:val="Note Heading Char"/>
    <w:basedOn w:val="DefaultParagraphFont"/>
    <w:link w:val="NoteHeading"/>
    <w:uiPriority w:val="99"/>
    <w:semiHidden/>
    <w:rsid w:val="00B0233B"/>
    <w:rPr>
      <w:szCs w:val="24"/>
      <w:lang w:val="en-US" w:eastAsia="zh-CN"/>
    </w:rPr>
  </w:style>
  <w:style w:type="paragraph" w:styleId="PlainText">
    <w:name w:val="Plain Text"/>
    <w:basedOn w:val="Normal"/>
    <w:link w:val="PlainTextChar"/>
    <w:uiPriority w:val="99"/>
    <w:semiHidden/>
    <w:unhideWhenUsed/>
    <w:rsid w:val="00B0233B"/>
    <w:rPr>
      <w:rFonts w:ascii="Consolas" w:hAnsi="Consolas"/>
      <w:sz w:val="21"/>
      <w:szCs w:val="21"/>
    </w:rPr>
  </w:style>
  <w:style w:type="character" w:customStyle="1" w:styleId="PlainTextChar">
    <w:name w:val="Plain Text Char"/>
    <w:basedOn w:val="DefaultParagraphFont"/>
    <w:link w:val="PlainText"/>
    <w:uiPriority w:val="99"/>
    <w:semiHidden/>
    <w:rsid w:val="00B0233B"/>
    <w:rPr>
      <w:rFonts w:ascii="Consolas" w:hAnsi="Consolas"/>
      <w:sz w:val="21"/>
      <w:szCs w:val="21"/>
      <w:lang w:val="en-US" w:eastAsia="zh-CN"/>
    </w:rPr>
  </w:style>
  <w:style w:type="paragraph" w:styleId="Salutation">
    <w:name w:val="Salutation"/>
    <w:basedOn w:val="Normal"/>
    <w:next w:val="Normal"/>
    <w:link w:val="SalutationChar"/>
    <w:uiPriority w:val="99"/>
    <w:semiHidden/>
    <w:unhideWhenUsed/>
    <w:rsid w:val="00B0233B"/>
  </w:style>
  <w:style w:type="character" w:customStyle="1" w:styleId="SalutationChar">
    <w:name w:val="Salutation Char"/>
    <w:basedOn w:val="DefaultParagraphFont"/>
    <w:link w:val="Salutation"/>
    <w:uiPriority w:val="99"/>
    <w:semiHidden/>
    <w:rsid w:val="00B0233B"/>
    <w:rPr>
      <w:szCs w:val="24"/>
      <w:lang w:val="en-US" w:eastAsia="zh-CN"/>
    </w:rPr>
  </w:style>
  <w:style w:type="paragraph" w:styleId="Signature">
    <w:name w:val="Signature"/>
    <w:basedOn w:val="Normal"/>
    <w:link w:val="SignatureChar"/>
    <w:uiPriority w:val="99"/>
    <w:semiHidden/>
    <w:unhideWhenUsed/>
    <w:rsid w:val="00B0233B"/>
    <w:pPr>
      <w:ind w:left="4320"/>
    </w:pPr>
  </w:style>
  <w:style w:type="character" w:customStyle="1" w:styleId="SignatureChar">
    <w:name w:val="Signature Char"/>
    <w:basedOn w:val="DefaultParagraphFont"/>
    <w:link w:val="Signature"/>
    <w:uiPriority w:val="99"/>
    <w:semiHidden/>
    <w:rsid w:val="00B0233B"/>
    <w:rPr>
      <w:szCs w:val="24"/>
      <w:lang w:val="en-US" w:eastAsia="zh-CN"/>
    </w:rPr>
  </w:style>
  <w:style w:type="paragraph" w:styleId="TableofAuthorities">
    <w:name w:val="table of authorities"/>
    <w:basedOn w:val="Normal"/>
    <w:next w:val="Normal"/>
    <w:uiPriority w:val="99"/>
    <w:semiHidden/>
    <w:unhideWhenUsed/>
    <w:rsid w:val="00B0233B"/>
    <w:pPr>
      <w:ind w:left="220" w:hanging="220"/>
    </w:pPr>
  </w:style>
  <w:style w:type="paragraph" w:styleId="TableofFigures">
    <w:name w:val="table of figures"/>
    <w:basedOn w:val="Normal"/>
    <w:next w:val="Normal"/>
    <w:uiPriority w:val="99"/>
    <w:semiHidden/>
    <w:unhideWhenUsed/>
    <w:rsid w:val="00B0233B"/>
  </w:style>
  <w:style w:type="paragraph" w:styleId="TOAHeading">
    <w:name w:val="toa heading"/>
    <w:basedOn w:val="Normal"/>
    <w:next w:val="Normal"/>
    <w:uiPriority w:val="99"/>
    <w:semiHidden/>
    <w:unhideWhenUsed/>
    <w:rsid w:val="00B0233B"/>
    <w:pPr>
      <w:spacing w:before="120"/>
    </w:pPr>
    <w:rPr>
      <w:rFonts w:asciiTheme="majorHAnsi" w:eastAsiaTheme="majorEastAsia" w:hAnsiTheme="majorHAnsi" w:cstheme="majorBidi"/>
      <w:b/>
      <w:bCs/>
      <w:sz w:val="24"/>
    </w:rPr>
  </w:style>
  <w:style w:type="numbering" w:styleId="ArticleSection">
    <w:name w:val="Outline List 3"/>
    <w:basedOn w:val="NoList"/>
    <w:uiPriority w:val="99"/>
    <w:semiHidden/>
    <w:unhideWhenUsed/>
    <w:rsid w:val="00B0233B"/>
    <w:pPr>
      <w:numPr>
        <w:numId w:val="17"/>
      </w:numPr>
    </w:pPr>
  </w:style>
  <w:style w:type="paragraph" w:customStyle="1" w:styleId="DoubleParaAlt">
    <w:name w:val="Double Para Alt"/>
    <w:aliases w:val="dpa"/>
    <w:basedOn w:val="Indent5legalcombo"/>
    <w:link w:val="DoubleParaAltChar"/>
    <w:qFormat/>
    <w:rsid w:val="00245BB6"/>
    <w:pPr>
      <w:ind w:left="2160"/>
    </w:pPr>
    <w:rPr>
      <w:i/>
    </w:rPr>
  </w:style>
  <w:style w:type="character" w:customStyle="1" w:styleId="DoubleParaAltChar">
    <w:name w:val="Double Para Alt Char"/>
    <w:aliases w:val="dpa Char"/>
    <w:basedOn w:val="Indent5legalcomboChar"/>
    <w:link w:val="DoubleParaAlt"/>
    <w:rsid w:val="00245BB6"/>
    <w:rPr>
      <w:rFonts w:eastAsiaTheme="minorEastAsia"/>
      <w:i/>
      <w:color w:val="000000"/>
      <w:szCs w:val="24"/>
      <w:lang w:val="en-US" w:eastAsia="zh-CN"/>
    </w:rPr>
  </w:style>
  <w:style w:type="character" w:customStyle="1" w:styleId="FooterBChar">
    <w:name w:val="Footer B Char"/>
    <w:basedOn w:val="DoubleParaChar"/>
    <w:link w:val="FooterB"/>
    <w:rsid w:val="002376B9"/>
    <w:rPr>
      <w:rFonts w:ascii="Times New Roman" w:hAnsi="Times New Roman" w:cs="Times New Roman"/>
      <w:sz w:val="15"/>
      <w:szCs w:val="24"/>
      <w:lang w:val="en-US"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25200">
      <w:bodyDiv w:val="1"/>
      <w:marLeft w:val="0"/>
      <w:marRight w:val="0"/>
      <w:marTop w:val="0"/>
      <w:marBottom w:val="0"/>
      <w:divBdr>
        <w:top w:val="none" w:sz="0" w:space="0" w:color="auto"/>
        <w:left w:val="none" w:sz="0" w:space="0" w:color="auto"/>
        <w:bottom w:val="none" w:sz="0" w:space="0" w:color="auto"/>
        <w:right w:val="none" w:sz="0" w:space="0" w:color="auto"/>
      </w:divBdr>
    </w:div>
    <w:div w:id="321155191">
      <w:bodyDiv w:val="1"/>
      <w:marLeft w:val="0"/>
      <w:marRight w:val="0"/>
      <w:marTop w:val="0"/>
      <w:marBottom w:val="0"/>
      <w:divBdr>
        <w:top w:val="none" w:sz="0" w:space="0" w:color="auto"/>
        <w:left w:val="none" w:sz="0" w:space="0" w:color="auto"/>
        <w:bottom w:val="none" w:sz="0" w:space="0" w:color="auto"/>
        <w:right w:val="none" w:sz="0" w:space="0" w:color="auto"/>
      </w:divBdr>
      <w:divsChild>
        <w:div w:id="535236860">
          <w:marLeft w:val="0"/>
          <w:marRight w:val="0"/>
          <w:marTop w:val="0"/>
          <w:marBottom w:val="0"/>
          <w:divBdr>
            <w:top w:val="none" w:sz="0" w:space="0" w:color="auto"/>
            <w:left w:val="none" w:sz="0" w:space="0" w:color="auto"/>
            <w:bottom w:val="none" w:sz="0" w:space="0" w:color="auto"/>
            <w:right w:val="none" w:sz="0" w:space="0" w:color="auto"/>
          </w:divBdr>
          <w:divsChild>
            <w:div w:id="1668748367">
              <w:marLeft w:val="0"/>
              <w:marRight w:val="0"/>
              <w:marTop w:val="0"/>
              <w:marBottom w:val="0"/>
              <w:divBdr>
                <w:top w:val="none" w:sz="0" w:space="0" w:color="auto"/>
                <w:left w:val="none" w:sz="0" w:space="0" w:color="auto"/>
                <w:bottom w:val="none" w:sz="0" w:space="0" w:color="auto"/>
                <w:right w:val="none" w:sz="0" w:space="0" w:color="auto"/>
              </w:divBdr>
              <w:divsChild>
                <w:div w:id="1213031293">
                  <w:marLeft w:val="0"/>
                  <w:marRight w:val="0"/>
                  <w:marTop w:val="0"/>
                  <w:marBottom w:val="0"/>
                  <w:divBdr>
                    <w:top w:val="none" w:sz="0" w:space="0" w:color="auto"/>
                    <w:left w:val="none" w:sz="0" w:space="0" w:color="auto"/>
                    <w:bottom w:val="none" w:sz="0" w:space="0" w:color="auto"/>
                    <w:right w:val="none" w:sz="0" w:space="0" w:color="auto"/>
                  </w:divBdr>
                  <w:divsChild>
                    <w:div w:id="1368794393">
                      <w:marLeft w:val="0"/>
                      <w:marRight w:val="0"/>
                      <w:marTop w:val="0"/>
                      <w:marBottom w:val="0"/>
                      <w:divBdr>
                        <w:top w:val="none" w:sz="0" w:space="0" w:color="auto"/>
                        <w:left w:val="none" w:sz="0" w:space="0" w:color="auto"/>
                        <w:bottom w:val="none" w:sz="0" w:space="0" w:color="auto"/>
                        <w:right w:val="none" w:sz="0" w:space="0" w:color="auto"/>
                      </w:divBdr>
                      <w:divsChild>
                        <w:div w:id="193690141">
                          <w:marLeft w:val="0"/>
                          <w:marRight w:val="0"/>
                          <w:marTop w:val="0"/>
                          <w:marBottom w:val="975"/>
                          <w:divBdr>
                            <w:top w:val="none" w:sz="0" w:space="0" w:color="auto"/>
                            <w:left w:val="none" w:sz="0" w:space="0" w:color="auto"/>
                            <w:bottom w:val="none" w:sz="0" w:space="0" w:color="auto"/>
                            <w:right w:val="none" w:sz="0" w:space="0" w:color="auto"/>
                          </w:divBdr>
                          <w:divsChild>
                            <w:div w:id="540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2398">
      <w:bodyDiv w:val="1"/>
      <w:marLeft w:val="0"/>
      <w:marRight w:val="0"/>
      <w:marTop w:val="0"/>
      <w:marBottom w:val="0"/>
      <w:divBdr>
        <w:top w:val="none" w:sz="0" w:space="0" w:color="auto"/>
        <w:left w:val="none" w:sz="0" w:space="0" w:color="auto"/>
        <w:bottom w:val="none" w:sz="0" w:space="0" w:color="auto"/>
        <w:right w:val="none" w:sz="0" w:space="0" w:color="auto"/>
      </w:divBdr>
    </w:div>
    <w:div w:id="959646293">
      <w:bodyDiv w:val="1"/>
      <w:marLeft w:val="0"/>
      <w:marRight w:val="0"/>
      <w:marTop w:val="0"/>
      <w:marBottom w:val="0"/>
      <w:divBdr>
        <w:top w:val="none" w:sz="0" w:space="0" w:color="auto"/>
        <w:left w:val="none" w:sz="0" w:space="0" w:color="auto"/>
        <w:bottom w:val="none" w:sz="0" w:space="0" w:color="auto"/>
        <w:right w:val="none" w:sz="0" w:space="0" w:color="auto"/>
      </w:divBdr>
    </w:div>
    <w:div w:id="1045523955">
      <w:bodyDiv w:val="1"/>
      <w:marLeft w:val="0"/>
      <w:marRight w:val="0"/>
      <w:marTop w:val="0"/>
      <w:marBottom w:val="0"/>
      <w:divBdr>
        <w:top w:val="none" w:sz="0" w:space="0" w:color="auto"/>
        <w:left w:val="none" w:sz="0" w:space="0" w:color="auto"/>
        <w:bottom w:val="none" w:sz="0" w:space="0" w:color="auto"/>
        <w:right w:val="none" w:sz="0" w:space="0" w:color="auto"/>
      </w:divBdr>
    </w:div>
    <w:div w:id="1168980705">
      <w:bodyDiv w:val="1"/>
      <w:marLeft w:val="0"/>
      <w:marRight w:val="0"/>
      <w:marTop w:val="0"/>
      <w:marBottom w:val="0"/>
      <w:divBdr>
        <w:top w:val="none" w:sz="0" w:space="0" w:color="auto"/>
        <w:left w:val="none" w:sz="0" w:space="0" w:color="auto"/>
        <w:bottom w:val="none" w:sz="0" w:space="0" w:color="auto"/>
        <w:right w:val="none" w:sz="0" w:space="0" w:color="auto"/>
      </w:divBdr>
    </w:div>
    <w:div w:id="1199120397">
      <w:bodyDiv w:val="1"/>
      <w:marLeft w:val="0"/>
      <w:marRight w:val="0"/>
      <w:marTop w:val="0"/>
      <w:marBottom w:val="0"/>
      <w:divBdr>
        <w:top w:val="none" w:sz="0" w:space="0" w:color="auto"/>
        <w:left w:val="none" w:sz="0" w:space="0" w:color="auto"/>
        <w:bottom w:val="none" w:sz="0" w:space="0" w:color="auto"/>
        <w:right w:val="none" w:sz="0" w:space="0" w:color="auto"/>
      </w:divBdr>
    </w:div>
    <w:div w:id="1338650082">
      <w:bodyDiv w:val="1"/>
      <w:marLeft w:val="0"/>
      <w:marRight w:val="0"/>
      <w:marTop w:val="0"/>
      <w:marBottom w:val="0"/>
      <w:divBdr>
        <w:top w:val="none" w:sz="0" w:space="0" w:color="auto"/>
        <w:left w:val="none" w:sz="0" w:space="0" w:color="auto"/>
        <w:bottom w:val="none" w:sz="0" w:space="0" w:color="auto"/>
        <w:right w:val="none" w:sz="0" w:space="0" w:color="auto"/>
      </w:divBdr>
    </w:div>
    <w:div w:id="1550918359">
      <w:bodyDiv w:val="1"/>
      <w:marLeft w:val="0"/>
      <w:marRight w:val="0"/>
      <w:marTop w:val="0"/>
      <w:marBottom w:val="0"/>
      <w:divBdr>
        <w:top w:val="none" w:sz="0" w:space="0" w:color="auto"/>
        <w:left w:val="none" w:sz="0" w:space="0" w:color="auto"/>
        <w:bottom w:val="none" w:sz="0" w:space="0" w:color="auto"/>
        <w:right w:val="none" w:sz="0" w:space="0" w:color="auto"/>
      </w:divBdr>
    </w:div>
    <w:div w:id="1724792642">
      <w:bodyDiv w:val="1"/>
      <w:marLeft w:val="0"/>
      <w:marRight w:val="0"/>
      <w:marTop w:val="0"/>
      <w:marBottom w:val="0"/>
      <w:divBdr>
        <w:top w:val="none" w:sz="0" w:space="0" w:color="auto"/>
        <w:left w:val="none" w:sz="0" w:space="0" w:color="auto"/>
        <w:bottom w:val="none" w:sz="0" w:space="0" w:color="auto"/>
        <w:right w:val="none" w:sz="0" w:space="0" w:color="auto"/>
      </w:divBdr>
    </w:div>
    <w:div w:id="1785029007">
      <w:bodyDiv w:val="1"/>
      <w:marLeft w:val="0"/>
      <w:marRight w:val="0"/>
      <w:marTop w:val="0"/>
      <w:marBottom w:val="0"/>
      <w:divBdr>
        <w:top w:val="none" w:sz="0" w:space="0" w:color="auto"/>
        <w:left w:val="none" w:sz="0" w:space="0" w:color="auto"/>
        <w:bottom w:val="none" w:sz="0" w:space="0" w:color="auto"/>
        <w:right w:val="none" w:sz="0" w:space="0" w:color="auto"/>
      </w:divBdr>
    </w:div>
    <w:div w:id="18966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customXml" Target="../customXml/item3.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links.fromcounsel.com/wf/click?upn=Za5otaZgSsEw3gyQyyEd-2FolfhcEatWf9HGsa6SMdtc4EJ-2FPHF2825MhO8AZVXWZgKrbC5CwZY0KWIpsbe6R-2BcT-2FsihEIqHAOTGUFkQmy17knG5ZUY-2BZ-2BwaEOIsa2WJ8CulE28oSQtOyHpSc-2BA1MJ09hCOZA0U1CsBfpXG0U1VSCnflHCfSn-2Bw9wCWTYxumn7DIO5GGOMiqEfhyEoVUOHNw-3D-3D_xkw3TA-2BJKrgvLwaQF4EzA37buWQB2C8StUh7bDHyNuaXlyHJiyNJE9pmzSWrZ6We1mhoaPUWGEmwulWOVjjb53fBYkmBf5TmmuLrvao88FVMbtbvyJ8Fgw7EegbfKnMuWmtiyaTRYRbW-2BOptlsktoPZfh04rKaX1J9dn2LQdh-2FFzSgzCWvGLlJ5XfwAUglB2Iw4-2BpwmQcatS6ZjlJOZ-2BC01PdlTmGUVOeRv6WQJ6SqM-3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5.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kex.com.hk/-/media/HKEX-Market/Listing/Rules-and-Guidance/Other-Resources/Listed-Issuers/Corporate-Governance-Practices/guide_board_dir.pdf?la=en" TargetMode="External"/><Relationship Id="rId2" Type="http://schemas.openxmlformats.org/officeDocument/2006/relationships/hyperlink" Target="https://ecgi.global/sites/default/files/working_papers/documents/finalfiegenbaumlicht.pdf" TargetMode="External"/><Relationship Id="rId1" Type="http://schemas.openxmlformats.org/officeDocument/2006/relationships/hyperlink" Target="https://ecgi.global/sites/default/files/working_papers/documents/finalfiegenbaumlicht.pdf" TargetMode="External"/></Relationships>
</file>

<file path=word/theme/theme1.xml><?xml version="1.0" encoding="utf-8"?>
<a:theme xmlns:a="http://schemas.openxmlformats.org/drawingml/2006/main" name="Skadde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kadden Times NR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2CEB22-4561-49BC-80D4-938D3F0ECB17}">
  <ds:schemaRefs>
    <ds:schemaRef ds:uri="http://schemas.openxmlformats.org/officeDocument/2006/bibliography"/>
  </ds:schemaRefs>
</ds:datastoreItem>
</file>

<file path=customXml/itemProps2.xml><?xml version="1.0" encoding="utf-8"?>
<ds:datastoreItem xmlns:ds="http://schemas.openxmlformats.org/officeDocument/2006/customXml" ds:itemID="{DDFD1C13-6808-4D74-9713-CE043E49BEB7}"/>
</file>

<file path=customXml/itemProps3.xml><?xml version="1.0" encoding="utf-8"?>
<ds:datastoreItem xmlns:ds="http://schemas.openxmlformats.org/officeDocument/2006/customXml" ds:itemID="{678F91D0-2926-4208-A5F5-BCCA8026BF6C}"/>
</file>

<file path=customXml/itemProps4.xml><?xml version="1.0" encoding="utf-8"?>
<ds:datastoreItem xmlns:ds="http://schemas.openxmlformats.org/officeDocument/2006/customXml" ds:itemID="{1710CF08-9EAF-4F04-9D9A-5C42A84689D9}"/>
</file>

<file path=docProps/app.xml><?xml version="1.0" encoding="utf-8"?>
<Properties xmlns="http://schemas.openxmlformats.org/officeDocument/2006/extended-properties" xmlns:vt="http://schemas.openxmlformats.org/officeDocument/2006/docPropsVTypes">
  <Template>Normal.dotm</Template>
  <TotalTime>0</TotalTime>
  <Pages>99</Pages>
  <Words>25547</Words>
  <Characters>145623</Characters>
  <Application>Microsoft Office Word</Application>
  <DocSecurity>4</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Skadden, Arps</Company>
  <LinksUpToDate>false</LinksUpToDate>
  <CharactersWithSpaces>170829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dc:creator>
  <cp:keywords/>
  <dc:description/>
  <cp:lastModifiedBy>D'ANIELLO Denise</cp:lastModifiedBy>
  <cp:revision>2</cp:revision>
  <cp:lastPrinted>2019-11-11T19:49:00Z</cp:lastPrinted>
  <dcterms:created xsi:type="dcterms:W3CDTF">2020-07-14T11:50:00Z</dcterms:created>
  <dcterms:modified xsi:type="dcterms:W3CDTF">2020-07-14T11:50:00Z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816000</vt:lpwstr>
  </property>
  <property fmtid="{D5CDD505-2E9C-101B-9397-08002B2CF9AE}" pid="3" name="Matter">
    <vt:lpwstr>3229</vt:lpwstr>
  </property>
  <property fmtid="{D5CDD505-2E9C-101B-9397-08002B2CF9AE}" pid="4" name="ContentTypeId">
    <vt:lpwstr>0x0101008822B9E06671B54FA89F14538B9B0FEA</vt:lpwstr>
  </property>
</Properties>
</file>