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476E" w14:textId="3ABAA7FC" w:rsidR="0032141A" w:rsidRPr="00B65D65" w:rsidRDefault="0032141A" w:rsidP="00B65D65">
      <w:pPr>
        <w:shd w:val="clear" w:color="auto" w:fill="621132"/>
        <w:jc w:val="center"/>
        <w:rPr>
          <w:rFonts w:ascii="Montserrat" w:hAnsi="Montserrat" w:cs="Times New Roman"/>
          <w:b/>
          <w:color w:val="FFFFFF" w:themeColor="background1"/>
          <w:lang w:val="es-ES" w:eastAsia="en-GB"/>
        </w:rPr>
      </w:pPr>
      <w:bookmarkStart w:id="0" w:name="_GoBack"/>
      <w:bookmarkEnd w:id="0"/>
      <w:r w:rsidRPr="00E743A7">
        <w:rPr>
          <w:rFonts w:ascii="Montserrat" w:hAnsi="Montserrat" w:cs="Times New Roman"/>
          <w:b/>
          <w:color w:val="FFFFFF" w:themeColor="background1"/>
        </w:rPr>
        <w:t>C</w:t>
      </w:r>
      <w:r w:rsidR="00AC4283" w:rsidRPr="00E743A7">
        <w:rPr>
          <w:rFonts w:ascii="Montserrat" w:hAnsi="Montserrat" w:cs="Times New Roman"/>
          <w:b/>
          <w:color w:val="FFFFFF" w:themeColor="background1"/>
        </w:rPr>
        <w:t>uestionario</w:t>
      </w:r>
      <w:r w:rsidRPr="00E743A7">
        <w:rPr>
          <w:rFonts w:ascii="Montserrat" w:hAnsi="Montserrat" w:cs="Times New Roman"/>
          <w:b/>
          <w:color w:val="FFFFFF" w:themeColor="background1"/>
          <w:lang w:val="es-ES" w:eastAsia="en-GB"/>
        </w:rPr>
        <w:t xml:space="preserve"> Asamblea General, resolución 68/268</w:t>
      </w:r>
    </w:p>
    <w:p w14:paraId="198A566B" w14:textId="385E26F2" w:rsidR="00AC4283" w:rsidRPr="00B80263" w:rsidRDefault="00AC4283" w:rsidP="00B80263">
      <w:pPr>
        <w:spacing w:before="120" w:after="120" w:line="312" w:lineRule="auto"/>
        <w:jc w:val="both"/>
        <w:rPr>
          <w:rFonts w:ascii="Montserrat" w:hAnsi="Montserrat" w:cs="Times New Roman"/>
          <w:i/>
          <w:lang w:val="es-ES"/>
        </w:rPr>
      </w:pPr>
      <w:r w:rsidRPr="00B80263">
        <w:rPr>
          <w:rFonts w:ascii="Montserrat" w:hAnsi="Montserrat" w:cs="Times New Roman"/>
          <w:i/>
          <w:lang w:val="es-ES"/>
        </w:rPr>
        <w:t>40.</w:t>
      </w:r>
      <w:r w:rsidRPr="00B80263">
        <w:rPr>
          <w:rFonts w:ascii="Montserrat" w:hAnsi="Montserrat" w:cs="Times New Roman"/>
          <w:i/>
          <w:lang w:val="es-ES"/>
        </w:rPr>
        <w:tab/>
        <w:t xml:space="preserve">Solicita al Secretario General que cada dos años le presente un informe amplio sobre el estado del sistema de órganos creados en virtud de tratados de derechos humanos y sobre los progresos realizados por esos órganos hacia el logro de una mayor eficiencia y eficacia de su trabajo que incluya el número de informes presentados y examinados por los comités, las visitas realizadas y </w:t>
      </w:r>
      <w:r w:rsidRPr="00B80263">
        <w:rPr>
          <w:rFonts w:ascii="Montserrat" w:hAnsi="Montserrat" w:cs="Times New Roman"/>
          <w:b/>
          <w:i/>
          <w:u w:val="single"/>
          <w:lang w:val="es-ES"/>
        </w:rPr>
        <w:t xml:space="preserve">las comunicaciones individuales recibidas y examinadas, </w:t>
      </w:r>
      <w:r w:rsidRPr="00B80263">
        <w:rPr>
          <w:rFonts w:ascii="Montserrat" w:hAnsi="Montserrat" w:cs="Times New Roman"/>
          <w:i/>
          <w:lang w:val="es-ES"/>
        </w:rPr>
        <w:t>cuando proceda, el retraso acumulado, las iniciativas de creación de capacidad y los resultados logrados, así como la situación con respecto a las ratificaciones, el posible aumento del número de informes presentados y la asignación de tiempo para las reuniones y las propuestas sobre medidas, en las que se tenga en cuenta especialmente la información y las observaciones de los Estados Miembros, para aumentar la participación de todos los Estados partes en el diálogo con los órganos creados en virtud de tratados;</w:t>
      </w:r>
    </w:p>
    <w:p w14:paraId="0F08DF8B" w14:textId="77777777" w:rsidR="0032141A" w:rsidRPr="00B80263" w:rsidRDefault="0032141A" w:rsidP="00B80263">
      <w:pPr>
        <w:spacing w:before="120" w:after="120" w:line="312" w:lineRule="auto"/>
        <w:jc w:val="both"/>
        <w:rPr>
          <w:rFonts w:ascii="Montserrat" w:hAnsi="Montserrat" w:cs="Times New Roman"/>
          <w:i/>
          <w:lang w:val="es-ES"/>
        </w:rPr>
      </w:pPr>
    </w:p>
    <w:p w14:paraId="6B220C07" w14:textId="72F5B1B1" w:rsidR="00F11753" w:rsidRPr="00B80263" w:rsidRDefault="00F11753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/>
          <w:lang w:val="es-ES"/>
        </w:rPr>
        <w:t>Respuesta:</w:t>
      </w:r>
      <w:r w:rsidRPr="00B80263">
        <w:rPr>
          <w:rFonts w:ascii="Montserrat" w:hAnsi="Montserrat" w:cs="Times New Roman"/>
          <w:lang w:val="es-ES"/>
        </w:rPr>
        <w:t xml:space="preserve"> </w:t>
      </w:r>
      <w:r w:rsidR="001B7F54" w:rsidRPr="00B80263">
        <w:rPr>
          <w:rFonts w:ascii="Montserrat" w:hAnsi="Montserrat" w:cs="Times New Roman"/>
          <w:lang w:val="es-ES"/>
        </w:rPr>
        <w:t>el Estado mexicano ha reconocido la competencia del (</w:t>
      </w:r>
      <w:r w:rsidR="001B7F54" w:rsidRPr="00B80263">
        <w:rPr>
          <w:rFonts w:ascii="Montserrat" w:hAnsi="Montserrat" w:cs="Times New Roman"/>
          <w:i/>
          <w:iCs/>
          <w:lang w:val="es-ES"/>
        </w:rPr>
        <w:t>i)</w:t>
      </w:r>
      <w:r w:rsidR="001B7F54" w:rsidRPr="00B80263">
        <w:rPr>
          <w:rFonts w:ascii="Montserrat" w:hAnsi="Montserrat" w:cs="Times New Roman"/>
          <w:lang w:val="es-ES"/>
        </w:rPr>
        <w:t xml:space="preserve"> Comité de Derechos Humanos, </w:t>
      </w:r>
      <w:r w:rsidR="001B7F54" w:rsidRPr="00B80263">
        <w:rPr>
          <w:rFonts w:ascii="Montserrat" w:hAnsi="Montserrat" w:cs="Times New Roman"/>
          <w:i/>
          <w:iCs/>
          <w:lang w:val="es-ES"/>
        </w:rPr>
        <w:t>(ii)</w:t>
      </w:r>
      <w:r w:rsidR="001B7F54" w:rsidRPr="00B80263">
        <w:rPr>
          <w:rFonts w:ascii="Montserrat" w:hAnsi="Montserrat" w:cs="Times New Roman"/>
          <w:lang w:val="es-ES"/>
        </w:rPr>
        <w:t xml:space="preserve"> el Comité contra la Tortura, </w:t>
      </w:r>
      <w:r w:rsidR="001B7F54" w:rsidRPr="00B80263">
        <w:rPr>
          <w:rFonts w:ascii="Montserrat" w:hAnsi="Montserrat" w:cs="Times New Roman"/>
          <w:i/>
          <w:iCs/>
          <w:lang w:val="es-ES"/>
        </w:rPr>
        <w:t>(iii)</w:t>
      </w:r>
      <w:r w:rsidR="001B7F54" w:rsidRPr="00B80263">
        <w:rPr>
          <w:rFonts w:ascii="Montserrat" w:hAnsi="Montserrat" w:cs="Times New Roman"/>
          <w:lang w:val="es-ES"/>
        </w:rPr>
        <w:t xml:space="preserve"> el Comité</w:t>
      </w:r>
      <w:r w:rsidR="001B7F54" w:rsidRPr="00B80263">
        <w:rPr>
          <w:rFonts w:ascii="Montserrat" w:hAnsi="Montserrat" w:cs="Times New Roman"/>
        </w:rPr>
        <w:t xml:space="preserve"> sobre los Derechos de las Personas con Discapacidad, y el </w:t>
      </w:r>
      <w:r w:rsidR="001B7F54" w:rsidRPr="00B80263">
        <w:rPr>
          <w:rFonts w:ascii="Montserrat" w:hAnsi="Montserrat" w:cs="Times New Roman"/>
          <w:i/>
          <w:iCs/>
        </w:rPr>
        <w:t>(iv)</w:t>
      </w:r>
      <w:r w:rsidR="001B7F54" w:rsidRPr="00B80263">
        <w:rPr>
          <w:rFonts w:ascii="Montserrat" w:hAnsi="Montserrat" w:cs="Times New Roman"/>
        </w:rPr>
        <w:t xml:space="preserve"> el</w:t>
      </w:r>
      <w:r w:rsidR="001B7F54" w:rsidRPr="00B80263">
        <w:rPr>
          <w:rFonts w:ascii="Montserrat" w:hAnsi="Montserrat" w:cs="Times New Roman"/>
          <w:b/>
          <w:bCs/>
        </w:rPr>
        <w:t xml:space="preserve"> </w:t>
      </w:r>
      <w:r w:rsidR="001B7F54" w:rsidRPr="00B80263">
        <w:rPr>
          <w:rFonts w:ascii="Montserrat" w:hAnsi="Montserrat" w:cs="Times New Roman"/>
        </w:rPr>
        <w:t xml:space="preserve">Comité para la Eliminación de la Discriminación Contra la Mujer. Adicionalmente, en virtud </w:t>
      </w:r>
      <w:r w:rsidR="00B80263">
        <w:rPr>
          <w:rFonts w:ascii="Montserrat" w:hAnsi="Montserrat" w:cs="Times New Roman"/>
        </w:rPr>
        <w:t xml:space="preserve">de </w:t>
      </w:r>
      <w:r w:rsidR="001B7F54" w:rsidRPr="00B80263">
        <w:rPr>
          <w:rFonts w:ascii="Montserrat" w:hAnsi="Montserrat" w:cs="Times New Roman"/>
        </w:rPr>
        <w:t>que el Estado mexicano es miembro del Consejo de Derechos Humanos, colabora con el Grupo de Trabajo sobre la Detención Arbitraria</w:t>
      </w:r>
      <w:r w:rsidR="00E743A7">
        <w:rPr>
          <w:rFonts w:ascii="Montserrat" w:hAnsi="Montserrat" w:cs="Times New Roman"/>
        </w:rPr>
        <w:t>.</w:t>
      </w:r>
    </w:p>
    <w:p w14:paraId="37A6701A" w14:textId="3B55DF89" w:rsidR="00F11753" w:rsidRPr="00B80263" w:rsidRDefault="00F11753" w:rsidP="00B80263">
      <w:pPr>
        <w:spacing w:before="120" w:after="120" w:line="312" w:lineRule="auto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</w:rPr>
        <w:t xml:space="preserve">En este tenor, la </w:t>
      </w:r>
      <w:r w:rsidRPr="00B80263">
        <w:rPr>
          <w:rFonts w:ascii="Montserrat" w:hAnsi="Montserrat" w:cs="Times New Roman"/>
          <w:color w:val="000000"/>
        </w:rPr>
        <w:t xml:space="preserve">Cancillería ha atendido todas y cada una de las peticiones que le han sido notificadas por parte de los Comités y del Grupo de Trabajo, atendiendo las particularidades de cada procedimiento, sin embargo a </w:t>
      </w:r>
      <w:r w:rsidRPr="00B80263">
        <w:rPr>
          <w:rFonts w:ascii="Montserrat" w:hAnsi="Montserrat" w:cs="Times New Roman"/>
          <w:i/>
          <w:color w:val="000000"/>
        </w:rPr>
        <w:t xml:space="preserve">grosso modo </w:t>
      </w:r>
      <w:r w:rsidRPr="00B80263">
        <w:rPr>
          <w:rFonts w:ascii="Montserrat" w:hAnsi="Montserrat" w:cs="Times New Roman"/>
          <w:color w:val="000000"/>
        </w:rPr>
        <w:t>se realiza lo siguiente:</w:t>
      </w:r>
    </w:p>
    <w:p w14:paraId="072756F0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Recepción de la petición a través de la Misión ante Organismos Internacionales en Ginebra.</w:t>
      </w:r>
    </w:p>
    <w:p w14:paraId="0B3EDF3A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Análisis de la información y determinación de las autoridades involucradas por parte de Cancillería.</w:t>
      </w:r>
    </w:p>
    <w:p w14:paraId="060663BB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Notificación de la petición y solicitud de información a las autoridades competentes sobre la admisibilidad y sobre el fondo del asunto.</w:t>
      </w:r>
    </w:p>
    <w:p w14:paraId="3E2C9E21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lastRenderedPageBreak/>
        <w:t>Se reitera la solicitud de información, en caso de no haber obtenido la información solicitada por parte de las autoridades competentes.</w:t>
      </w:r>
    </w:p>
    <w:p w14:paraId="50BB1D5F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Una vez que se recibe la información, ésta es enviada a los diversos Comités, mediante un informe estatal vía la Misión de México en Ginebra. Dependiendo del caso, se envía un informe de admisibilidad y posteriormente un informe sobre el fondo del asunto, o en su caso un informe</w:t>
      </w:r>
      <w:r w:rsidR="007417FA" w:rsidRPr="00B80263">
        <w:rPr>
          <w:rFonts w:ascii="Montserrat" w:hAnsi="Montserrat" w:cs="Times New Roman"/>
          <w:color w:val="000000"/>
        </w:rPr>
        <w:t xml:space="preserve"> que contenga ambas cuestiones.</w:t>
      </w:r>
    </w:p>
    <w:p w14:paraId="3562A6FF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Si los Comités o el Grupo de Trabajo considera que se cometieron violaciones a derechos humanos, podrán emitir recomendaciones.</w:t>
      </w:r>
    </w:p>
    <w:p w14:paraId="24AD442E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En caso de lo anterior, la Cancillería notificará las conclusiones y recomendaciones a la Secretaría de Gobernación y a las demás autoridades competentes, con el fin de que se atienda cada una de las mismas y proporcionen insumos sobre su cumplimiento.</w:t>
      </w:r>
    </w:p>
    <w:p w14:paraId="261D4D63" w14:textId="77777777" w:rsidR="00F11753" w:rsidRPr="00B80263" w:rsidRDefault="00F11753" w:rsidP="00B80263">
      <w:pPr>
        <w:pStyle w:val="ListParagraph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 xml:space="preserve">Con los insumos recabados, se procede a elaborar un informe sobre las acciones realizadas por el Estado para su cumplimiento. </w:t>
      </w:r>
    </w:p>
    <w:p w14:paraId="4D2E9D0A" w14:textId="77777777" w:rsidR="00F11753" w:rsidRPr="00B80263" w:rsidRDefault="00F11753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</w:p>
    <w:p w14:paraId="389A3BC8" w14:textId="686D52EC" w:rsidR="007658FB" w:rsidRPr="00B80263" w:rsidRDefault="00955565" w:rsidP="00B80263">
      <w:pPr>
        <w:spacing w:before="120" w:after="120" w:line="312" w:lineRule="auto"/>
        <w:jc w:val="both"/>
        <w:rPr>
          <w:rFonts w:ascii="Montserrat" w:hAnsi="Montserrat" w:cs="Times New Roman"/>
          <w:lang w:val="es-ES"/>
        </w:rPr>
      </w:pPr>
      <w:r w:rsidRPr="00B80263">
        <w:rPr>
          <w:rFonts w:ascii="Montserrat" w:hAnsi="Montserrat" w:cs="Times New Roman"/>
          <w:lang w:val="es-ES"/>
        </w:rPr>
        <w:t>A continuación</w:t>
      </w:r>
      <w:r w:rsidR="008F1DCC" w:rsidRPr="00B80263">
        <w:rPr>
          <w:rFonts w:ascii="Montserrat" w:hAnsi="Montserrat" w:cs="Times New Roman"/>
          <w:lang w:val="es-ES"/>
        </w:rPr>
        <w:t xml:space="preserve">, el Estado mexicano se permite informar sobre los asuntos actualmente vigentes en los respectivos Comités y en el Grupo de Trabajo: </w:t>
      </w:r>
      <w:r w:rsidRPr="00B80263">
        <w:rPr>
          <w:rFonts w:ascii="Montserrat" w:hAnsi="Montserrat" w:cs="Times New Roman"/>
          <w:lang w:val="es-ES"/>
        </w:rPr>
        <w:t xml:space="preserve"> </w:t>
      </w:r>
    </w:p>
    <w:p w14:paraId="098823DC" w14:textId="77777777" w:rsidR="0032141A" w:rsidRPr="00B80263" w:rsidRDefault="0032141A" w:rsidP="00B80263">
      <w:pPr>
        <w:spacing w:before="120" w:after="120" w:line="312" w:lineRule="auto"/>
        <w:jc w:val="both"/>
        <w:rPr>
          <w:rFonts w:ascii="Montserrat" w:hAnsi="Montserrat" w:cs="Times New Roman"/>
          <w:lang w:val="es-ES"/>
        </w:rPr>
      </w:pPr>
    </w:p>
    <w:p w14:paraId="2972EBF2" w14:textId="5FAE3B05" w:rsidR="008F1DCC" w:rsidRPr="00B80263" w:rsidRDefault="00EC75CD" w:rsidP="00B80263">
      <w:pPr>
        <w:pStyle w:val="ListParagraph"/>
        <w:numPr>
          <w:ilvl w:val="0"/>
          <w:numId w:val="5"/>
        </w:numPr>
        <w:spacing w:before="120" w:after="120" w:line="312" w:lineRule="auto"/>
        <w:ind w:left="426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/>
        </w:rPr>
        <w:t>6</w:t>
      </w:r>
      <w:r w:rsidRPr="00B80263">
        <w:rPr>
          <w:rFonts w:ascii="Montserrat" w:hAnsi="Montserrat" w:cs="Times New Roman"/>
        </w:rPr>
        <w:t xml:space="preserve"> Casos ante el Comité de Derechos Humanos.</w:t>
      </w:r>
    </w:p>
    <w:p w14:paraId="38D27B68" w14:textId="77777777" w:rsidR="008F1DCC" w:rsidRPr="00B80263" w:rsidRDefault="008F1DCC" w:rsidP="00B80263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Víctor Manuel Guajardo</w:t>
      </w:r>
    </w:p>
    <w:p w14:paraId="7DD50C1C" w14:textId="77777777" w:rsidR="008F1DCC" w:rsidRPr="00B80263" w:rsidRDefault="008F1DCC" w:rsidP="00B80263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Cs/>
        </w:rPr>
        <w:t>Carlos Antonio Villatoro Arguera</w:t>
      </w:r>
    </w:p>
    <w:p w14:paraId="713E8B60" w14:textId="77777777" w:rsidR="008F1DCC" w:rsidRPr="00B80263" w:rsidRDefault="008F1DCC" w:rsidP="00B80263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Roy Rivera Hidalgo</w:t>
      </w:r>
    </w:p>
    <w:p w14:paraId="0775CFCC" w14:textId="77777777" w:rsidR="008F1DCC" w:rsidRPr="00B80263" w:rsidRDefault="008F1DCC" w:rsidP="00B80263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Christian Téllez Padilla</w:t>
      </w:r>
    </w:p>
    <w:p w14:paraId="4DB18A91" w14:textId="77777777" w:rsidR="008F1DCC" w:rsidRPr="00B80263" w:rsidRDefault="008F1DCC" w:rsidP="00B80263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Jesús Israel Moreno </w:t>
      </w:r>
    </w:p>
    <w:p w14:paraId="24203E69" w14:textId="198A579B" w:rsidR="0037081E" w:rsidRPr="00B80263" w:rsidRDefault="008F1DCC" w:rsidP="00B80263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Alejandro Mora Arias</w:t>
      </w:r>
    </w:p>
    <w:p w14:paraId="5F9C4822" w14:textId="77777777" w:rsidR="0032141A" w:rsidRPr="00B80263" w:rsidRDefault="0032141A" w:rsidP="00B80263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Montserrat" w:hAnsi="Montserrat" w:cs="Times New Roman"/>
        </w:rPr>
      </w:pPr>
    </w:p>
    <w:p w14:paraId="0406F733" w14:textId="77777777" w:rsidR="00EC75CD" w:rsidRPr="00B80263" w:rsidRDefault="00EC75CD" w:rsidP="00B80263">
      <w:pPr>
        <w:pStyle w:val="ListParagraph"/>
        <w:numPr>
          <w:ilvl w:val="0"/>
          <w:numId w:val="5"/>
        </w:numPr>
        <w:spacing w:before="120" w:after="120" w:line="312" w:lineRule="auto"/>
        <w:ind w:left="567" w:hanging="425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/>
        </w:rPr>
        <w:t xml:space="preserve">2 </w:t>
      </w:r>
      <w:r w:rsidR="008F1DCC" w:rsidRPr="00B80263">
        <w:rPr>
          <w:rFonts w:ascii="Montserrat" w:hAnsi="Montserrat" w:cs="Times New Roman"/>
        </w:rPr>
        <w:t>Casos ante el Comité contra la T</w:t>
      </w:r>
      <w:r w:rsidRPr="00B80263">
        <w:rPr>
          <w:rFonts w:ascii="Montserrat" w:hAnsi="Montserrat" w:cs="Times New Roman"/>
        </w:rPr>
        <w:t>ortura.</w:t>
      </w:r>
    </w:p>
    <w:p w14:paraId="1A4603B8" w14:textId="77777777" w:rsidR="008F1DCC" w:rsidRPr="00B80263" w:rsidRDefault="008F1DCC" w:rsidP="00B80263">
      <w:pPr>
        <w:pStyle w:val="ListParagraph"/>
        <w:numPr>
          <w:ilvl w:val="0"/>
          <w:numId w:val="12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lastRenderedPageBreak/>
        <w:t>Nino Colman Hoyos Henao</w:t>
      </w:r>
    </w:p>
    <w:p w14:paraId="0B09796C" w14:textId="77777777" w:rsidR="008F1DCC" w:rsidRPr="00B80263" w:rsidRDefault="008F1DCC" w:rsidP="00B80263">
      <w:pPr>
        <w:pStyle w:val="ListParagraph"/>
        <w:numPr>
          <w:ilvl w:val="0"/>
          <w:numId w:val="12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Ronald James Wooden</w:t>
      </w:r>
    </w:p>
    <w:p w14:paraId="0583D3F8" w14:textId="77777777" w:rsidR="0037081E" w:rsidRPr="00B80263" w:rsidRDefault="0037081E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</w:p>
    <w:p w14:paraId="75A39A3C" w14:textId="29F476FD" w:rsidR="008F1DCC" w:rsidRPr="00B80263" w:rsidRDefault="00EC75CD" w:rsidP="00B80263">
      <w:pPr>
        <w:pStyle w:val="ListParagraph"/>
        <w:numPr>
          <w:ilvl w:val="0"/>
          <w:numId w:val="5"/>
        </w:numPr>
        <w:spacing w:before="120" w:after="120" w:line="312" w:lineRule="auto"/>
        <w:ind w:left="426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/>
        </w:rPr>
        <w:t>1</w:t>
      </w:r>
      <w:r w:rsidRPr="00B80263">
        <w:rPr>
          <w:rFonts w:ascii="Montserrat" w:hAnsi="Montserrat" w:cs="Times New Roman"/>
        </w:rPr>
        <w:t xml:space="preserve"> Caso ante el Comité sobre los Derechos d</w:t>
      </w:r>
      <w:r w:rsidR="008F1DCC" w:rsidRPr="00B80263">
        <w:rPr>
          <w:rFonts w:ascii="Montserrat" w:hAnsi="Montserrat" w:cs="Times New Roman"/>
        </w:rPr>
        <w:t>e las Personas con Discapacidad.</w:t>
      </w:r>
    </w:p>
    <w:p w14:paraId="2060F805" w14:textId="77777777" w:rsidR="008F1DCC" w:rsidRPr="00B80263" w:rsidRDefault="008F1DCC" w:rsidP="00B80263">
      <w:pPr>
        <w:pStyle w:val="ListParagraph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Arturo Medina Vela</w:t>
      </w:r>
    </w:p>
    <w:p w14:paraId="431793FC" w14:textId="77777777" w:rsidR="0037081E" w:rsidRPr="00B80263" w:rsidRDefault="0037081E" w:rsidP="00B80263">
      <w:pPr>
        <w:pStyle w:val="ListParagraph"/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</w:p>
    <w:p w14:paraId="7A94FEEA" w14:textId="77777777" w:rsidR="00EC75CD" w:rsidRPr="00B80263" w:rsidRDefault="00EC75CD" w:rsidP="00B80263">
      <w:pPr>
        <w:pStyle w:val="ListParagraph"/>
        <w:numPr>
          <w:ilvl w:val="0"/>
          <w:numId w:val="5"/>
        </w:numPr>
        <w:spacing w:before="120" w:after="120" w:line="312" w:lineRule="auto"/>
        <w:ind w:left="426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/>
        </w:rPr>
        <w:t>2</w:t>
      </w:r>
      <w:r w:rsidRPr="00B80263">
        <w:rPr>
          <w:rFonts w:ascii="Montserrat" w:hAnsi="Montserrat" w:cs="Times New Roman"/>
        </w:rPr>
        <w:t xml:space="preserve"> Casos pendientes de resolución ante el Grupo de Trabajo sob</w:t>
      </w:r>
      <w:r w:rsidR="008F1DCC" w:rsidRPr="00B80263">
        <w:rPr>
          <w:rFonts w:ascii="Montserrat" w:hAnsi="Montserrat" w:cs="Times New Roman"/>
        </w:rPr>
        <w:t>re la Detención Arbitraria</w:t>
      </w:r>
    </w:p>
    <w:p w14:paraId="3382AAB7" w14:textId="19574D99" w:rsidR="0032141A" w:rsidRPr="00B80263" w:rsidRDefault="0032141A" w:rsidP="00B80263">
      <w:pPr>
        <w:pStyle w:val="ListParagraph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José de la Paz Ferman Cruz y Aren Boyazhyan</w:t>
      </w:r>
    </w:p>
    <w:p w14:paraId="5BDAE3A9" w14:textId="77777777" w:rsidR="008F1DCC" w:rsidRPr="00B80263" w:rsidRDefault="008F1DCC" w:rsidP="00B80263">
      <w:pPr>
        <w:pStyle w:val="ListParagraph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Cs/>
        </w:rPr>
        <w:t>Rafael Méndez Valenzuela</w:t>
      </w:r>
    </w:p>
    <w:p w14:paraId="775CAA99" w14:textId="77777777" w:rsidR="0037081E" w:rsidRPr="00B80263" w:rsidRDefault="0037081E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</w:p>
    <w:p w14:paraId="3909B87A" w14:textId="2BB70F25" w:rsidR="00822964" w:rsidRPr="00B80263" w:rsidRDefault="00E34D93" w:rsidP="00B80263">
      <w:pPr>
        <w:pStyle w:val="ListParagraph"/>
        <w:numPr>
          <w:ilvl w:val="0"/>
          <w:numId w:val="5"/>
        </w:numPr>
        <w:spacing w:before="120" w:after="120" w:line="312" w:lineRule="auto"/>
        <w:ind w:left="426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  <w:b/>
        </w:rPr>
        <w:t>3</w:t>
      </w:r>
      <w:r w:rsidR="00822964" w:rsidRPr="00B80263">
        <w:rPr>
          <w:rFonts w:ascii="Montserrat" w:hAnsi="Montserrat" w:cs="Times New Roman"/>
        </w:rPr>
        <w:t xml:space="preserve"> dictámenes de Comités en casos contra México</w:t>
      </w:r>
    </w:p>
    <w:p w14:paraId="44F6F4C4" w14:textId="77777777" w:rsidR="008F1DCC" w:rsidRPr="00B80263" w:rsidRDefault="008F1DCC" w:rsidP="00B80263">
      <w:pPr>
        <w:pStyle w:val="ListParagraph"/>
        <w:spacing w:before="120" w:after="0" w:line="312" w:lineRule="auto"/>
        <w:contextualSpacing w:val="0"/>
        <w:jc w:val="both"/>
        <w:rPr>
          <w:rFonts w:ascii="Montserrat" w:hAnsi="Montserrat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3685"/>
      </w:tblGrid>
      <w:tr w:rsidR="0037081E" w:rsidRPr="00B80263" w14:paraId="50C497CD" w14:textId="77777777" w:rsidTr="008F1DCC">
        <w:tc>
          <w:tcPr>
            <w:tcW w:w="3670" w:type="dxa"/>
          </w:tcPr>
          <w:p w14:paraId="5118D1E1" w14:textId="77777777" w:rsidR="0037081E" w:rsidRPr="00B80263" w:rsidRDefault="007658FB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  <w:b/>
              </w:rPr>
            </w:pPr>
            <w:r w:rsidRPr="00B80263">
              <w:rPr>
                <w:rFonts w:ascii="Montserrat" w:hAnsi="Montserrat" w:cs="Times New Roman"/>
                <w:b/>
              </w:rPr>
              <w:t>Comité</w:t>
            </w:r>
          </w:p>
        </w:tc>
        <w:tc>
          <w:tcPr>
            <w:tcW w:w="3685" w:type="dxa"/>
          </w:tcPr>
          <w:p w14:paraId="403873F0" w14:textId="77777777" w:rsidR="0037081E" w:rsidRPr="00B80263" w:rsidRDefault="008F1DCC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  <w:b/>
              </w:rPr>
            </w:pPr>
            <w:r w:rsidRPr="00B80263">
              <w:rPr>
                <w:rFonts w:ascii="Montserrat" w:hAnsi="Montserrat" w:cs="Times New Roman"/>
                <w:b/>
              </w:rPr>
              <w:t>C</w:t>
            </w:r>
            <w:r w:rsidR="0037081E" w:rsidRPr="00B80263">
              <w:rPr>
                <w:rFonts w:ascii="Montserrat" w:hAnsi="Montserrat" w:cs="Times New Roman"/>
                <w:b/>
              </w:rPr>
              <w:t>aso</w:t>
            </w:r>
          </w:p>
        </w:tc>
      </w:tr>
      <w:tr w:rsidR="0037081E" w:rsidRPr="00B80263" w14:paraId="427CB74E" w14:textId="77777777" w:rsidTr="008F1DCC">
        <w:tc>
          <w:tcPr>
            <w:tcW w:w="3670" w:type="dxa"/>
          </w:tcPr>
          <w:p w14:paraId="2100769B" w14:textId="77777777" w:rsidR="0037081E" w:rsidRPr="00B80263" w:rsidRDefault="0037081E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</w:rPr>
            </w:pPr>
            <w:r w:rsidRPr="00B80263">
              <w:rPr>
                <w:rFonts w:ascii="Montserrat" w:hAnsi="Montserrat" w:cs="Times New Roman"/>
              </w:rPr>
              <w:t>Comité de Derechos Humanos</w:t>
            </w:r>
          </w:p>
        </w:tc>
        <w:tc>
          <w:tcPr>
            <w:tcW w:w="3685" w:type="dxa"/>
          </w:tcPr>
          <w:p w14:paraId="29D2D7B3" w14:textId="77777777" w:rsidR="0037081E" w:rsidRPr="00B80263" w:rsidRDefault="0037081E" w:rsidP="00B80263">
            <w:pPr>
              <w:spacing w:before="120" w:line="312" w:lineRule="auto"/>
              <w:jc w:val="both"/>
              <w:rPr>
                <w:rFonts w:ascii="Montserrat" w:hAnsi="Montserrat" w:cs="Times New Roman"/>
                <w:bCs/>
                <w:color w:val="000000"/>
              </w:rPr>
            </w:pPr>
            <w:r w:rsidRPr="00B80263">
              <w:rPr>
                <w:rFonts w:ascii="Montserrat" w:hAnsi="Montserrat" w:cs="Times New Roman"/>
                <w:bCs/>
                <w:color w:val="000000"/>
              </w:rPr>
              <w:t>Lydia Cacho Ribeiro</w:t>
            </w:r>
          </w:p>
          <w:p w14:paraId="18A9BB22" w14:textId="77777777" w:rsidR="0037081E" w:rsidRPr="00B80263" w:rsidRDefault="0037081E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</w:rPr>
            </w:pPr>
          </w:p>
        </w:tc>
      </w:tr>
      <w:tr w:rsidR="0037081E" w:rsidRPr="00B80263" w14:paraId="664BC835" w14:textId="77777777" w:rsidTr="008F1DCC">
        <w:tc>
          <w:tcPr>
            <w:tcW w:w="3670" w:type="dxa"/>
          </w:tcPr>
          <w:p w14:paraId="45910EC4" w14:textId="77777777" w:rsidR="0037081E" w:rsidRPr="00B80263" w:rsidRDefault="00FF2F7C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</w:rPr>
            </w:pPr>
            <w:r w:rsidRPr="00B80263">
              <w:rPr>
                <w:rFonts w:ascii="Montserrat" w:hAnsi="Montserrat" w:cs="Times New Roman"/>
              </w:rPr>
              <w:t>Comité contra la T</w:t>
            </w:r>
            <w:r w:rsidR="0037081E" w:rsidRPr="00B80263">
              <w:rPr>
                <w:rFonts w:ascii="Montserrat" w:hAnsi="Montserrat" w:cs="Times New Roman"/>
              </w:rPr>
              <w:t>ortura</w:t>
            </w:r>
          </w:p>
        </w:tc>
        <w:tc>
          <w:tcPr>
            <w:tcW w:w="3685" w:type="dxa"/>
          </w:tcPr>
          <w:p w14:paraId="627491DD" w14:textId="5C048D51" w:rsidR="0037081E" w:rsidRPr="00B80263" w:rsidRDefault="0037081E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eastAsia="Times New Roman" w:hAnsi="Montserrat" w:cs="Times New Roman"/>
                <w:bCs/>
                <w:color w:val="000000"/>
                <w:lang w:eastAsia="es-MX"/>
              </w:rPr>
            </w:pPr>
            <w:r w:rsidRPr="00B80263">
              <w:rPr>
                <w:rFonts w:ascii="Montserrat" w:eastAsia="Times New Roman" w:hAnsi="Montserrat" w:cs="Times New Roman"/>
                <w:bCs/>
                <w:color w:val="000000"/>
                <w:lang w:eastAsia="es-MX"/>
              </w:rPr>
              <w:t xml:space="preserve">Ramiro </w:t>
            </w:r>
            <w:r w:rsidR="0032141A" w:rsidRPr="00B80263">
              <w:rPr>
                <w:rFonts w:ascii="Montserrat" w:eastAsia="Times New Roman" w:hAnsi="Montserrat" w:cs="Times New Roman"/>
                <w:bCs/>
                <w:color w:val="000000"/>
                <w:lang w:eastAsia="es-MX"/>
              </w:rPr>
              <w:t>Ramírez</w:t>
            </w:r>
            <w:r w:rsidRPr="00B80263">
              <w:rPr>
                <w:rFonts w:ascii="Montserrat" w:eastAsia="Times New Roman" w:hAnsi="Montserrat" w:cs="Times New Roman"/>
                <w:bCs/>
                <w:color w:val="000000"/>
                <w:lang w:eastAsia="es-MX"/>
              </w:rPr>
              <w:t xml:space="preserve"> Martínez</w:t>
            </w:r>
          </w:p>
          <w:p w14:paraId="68F05077" w14:textId="77777777" w:rsidR="0032141A" w:rsidRPr="00B80263" w:rsidRDefault="0032141A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</w:rPr>
            </w:pPr>
          </w:p>
        </w:tc>
      </w:tr>
      <w:tr w:rsidR="0037081E" w:rsidRPr="00B80263" w14:paraId="61F22D69" w14:textId="77777777" w:rsidTr="008F1DCC">
        <w:tc>
          <w:tcPr>
            <w:tcW w:w="3670" w:type="dxa"/>
          </w:tcPr>
          <w:p w14:paraId="044C9770" w14:textId="77777777" w:rsidR="0037081E" w:rsidRPr="00B80263" w:rsidRDefault="0037081E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</w:rPr>
            </w:pPr>
            <w:r w:rsidRPr="00B80263">
              <w:rPr>
                <w:rFonts w:ascii="Montserrat" w:hAnsi="Montserrat" w:cs="Times New Roman"/>
              </w:rPr>
              <w:t>Comité para la Eliminación de la Discriminación contra la Mujer</w:t>
            </w:r>
          </w:p>
        </w:tc>
        <w:tc>
          <w:tcPr>
            <w:tcW w:w="3685" w:type="dxa"/>
          </w:tcPr>
          <w:p w14:paraId="095A52AC" w14:textId="77777777" w:rsidR="0037081E" w:rsidRPr="00B80263" w:rsidRDefault="0037081E" w:rsidP="00B80263">
            <w:pPr>
              <w:spacing w:before="120" w:line="312" w:lineRule="auto"/>
              <w:jc w:val="both"/>
              <w:rPr>
                <w:rFonts w:ascii="Montserrat" w:hAnsi="Montserrat" w:cs="Times New Roman"/>
                <w:bCs/>
                <w:color w:val="000000"/>
              </w:rPr>
            </w:pPr>
            <w:r w:rsidRPr="00B80263">
              <w:rPr>
                <w:rFonts w:ascii="Montserrat" w:hAnsi="Montserrat" w:cs="Times New Roman"/>
                <w:bCs/>
                <w:color w:val="000000"/>
              </w:rPr>
              <w:t xml:space="preserve">Pilar Argüello Trujillo </w:t>
            </w:r>
          </w:p>
          <w:p w14:paraId="69223FB0" w14:textId="77777777" w:rsidR="0037081E" w:rsidRPr="00B80263" w:rsidRDefault="0037081E" w:rsidP="00B80263">
            <w:pPr>
              <w:pStyle w:val="ListParagraph"/>
              <w:spacing w:before="120" w:line="312" w:lineRule="auto"/>
              <w:ind w:left="0"/>
              <w:contextualSpacing w:val="0"/>
              <w:jc w:val="both"/>
              <w:rPr>
                <w:rFonts w:ascii="Montserrat" w:hAnsi="Montserrat" w:cs="Times New Roman"/>
              </w:rPr>
            </w:pPr>
          </w:p>
        </w:tc>
      </w:tr>
    </w:tbl>
    <w:p w14:paraId="62AA99B8" w14:textId="77777777" w:rsidR="0032141A" w:rsidRPr="00B80263" w:rsidRDefault="0032141A" w:rsidP="00B80263">
      <w:pPr>
        <w:spacing w:before="120" w:after="0" w:line="312" w:lineRule="auto"/>
        <w:jc w:val="both"/>
        <w:rPr>
          <w:rFonts w:ascii="Montserrat" w:hAnsi="Montserrat" w:cs="Times New Roman"/>
        </w:rPr>
      </w:pPr>
    </w:p>
    <w:p w14:paraId="13C7FDC1" w14:textId="3C87AD13" w:rsidR="00EC75CD" w:rsidRPr="00B80263" w:rsidRDefault="00EC75CD" w:rsidP="00B80263">
      <w:pPr>
        <w:pStyle w:val="ListParagraph"/>
        <w:numPr>
          <w:ilvl w:val="0"/>
          <w:numId w:val="5"/>
        </w:numPr>
        <w:spacing w:before="120" w:after="120" w:line="312" w:lineRule="auto"/>
        <w:ind w:left="426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16 opiniones del Grupo de Trabajo sobre la Detención Arbitraria.</w:t>
      </w:r>
    </w:p>
    <w:p w14:paraId="7A5E8810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Paulo Jenaro Díez Gargari </w:t>
      </w:r>
    </w:p>
    <w:p w14:paraId="1796BB6F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Rubén Sarabia Sánchez</w:t>
      </w:r>
    </w:p>
    <w:p w14:paraId="0CA16147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Daniel García Rodríguez y Reyes Alpízar Ortiz</w:t>
      </w:r>
    </w:p>
    <w:p w14:paraId="261D8D01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Pedro Zaragoza Fuentes y Pedro Zaragoza Delgado</w:t>
      </w:r>
    </w:p>
    <w:p w14:paraId="56B71948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Eduardo Valencia Castellanos</w:t>
      </w:r>
    </w:p>
    <w:p w14:paraId="4951C8A8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Gerardo Pérez Camacho</w:t>
      </w:r>
    </w:p>
    <w:p w14:paraId="4550833D" w14:textId="77777777" w:rsidR="008F1DCC" w:rsidRPr="00B80263" w:rsidRDefault="008F1DCC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lastRenderedPageBreak/>
        <w:t>Raudel Gómez Olivas</w:t>
      </w:r>
    </w:p>
    <w:p w14:paraId="4C8B8B27" w14:textId="6A5C942A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Nestora Salgado </w:t>
      </w:r>
    </w:p>
    <w:p w14:paraId="206644CA" w14:textId="7CAD0F28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Enrique Guerrero Aviña </w:t>
      </w:r>
    </w:p>
    <w:p w14:paraId="0E69C942" w14:textId="162B740F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Damián Gallardo </w:t>
      </w:r>
    </w:p>
    <w:p w14:paraId="0B5AB495" w14:textId="1C10271D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Librado Jacinto Baños </w:t>
      </w:r>
    </w:p>
    <w:p w14:paraId="31CE762C" w14:textId="32B937D6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Pedro Celestino Canché </w:t>
      </w:r>
    </w:p>
    <w:p w14:paraId="62C5CB28" w14:textId="63A92D94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25 miembros del Frente Popular Revolucionario </w:t>
      </w:r>
    </w:p>
    <w:p w14:paraId="590F9A37" w14:textId="259B7484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Pablo López Alavéz </w:t>
      </w:r>
    </w:p>
    <w:p w14:paraId="469C2445" w14:textId="484490AB" w:rsidR="001B7F54" w:rsidRPr="00B80263" w:rsidRDefault="001B7F54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Mario Olivera Osorio</w:t>
      </w:r>
    </w:p>
    <w:p w14:paraId="0F676AD0" w14:textId="24B015F1" w:rsidR="0032141A" w:rsidRPr="00B80263" w:rsidRDefault="0032141A" w:rsidP="00B80263">
      <w:pPr>
        <w:pStyle w:val="ListParagraph"/>
        <w:numPr>
          <w:ilvl w:val="0"/>
          <w:numId w:val="14"/>
        </w:numPr>
        <w:spacing w:before="120" w:after="120" w:line="312" w:lineRule="auto"/>
        <w:ind w:left="1418"/>
        <w:contextualSpacing w:val="0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George Khory Layón</w:t>
      </w:r>
    </w:p>
    <w:p w14:paraId="19A73085" w14:textId="77777777" w:rsidR="0037081E" w:rsidRPr="00B80263" w:rsidRDefault="0037081E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</w:p>
    <w:p w14:paraId="300DD104" w14:textId="55284CA0" w:rsidR="007658FB" w:rsidRDefault="007658FB" w:rsidP="00B80263">
      <w:pPr>
        <w:spacing w:before="120" w:after="120" w:line="312" w:lineRule="auto"/>
        <w:jc w:val="both"/>
        <w:rPr>
          <w:rFonts w:ascii="Montserrat" w:hAnsi="Montserrat" w:cs="Times New Roman"/>
          <w:color w:val="000000"/>
          <w:lang w:val="es-ES"/>
        </w:rPr>
      </w:pPr>
      <w:r w:rsidRPr="00B80263">
        <w:rPr>
          <w:rFonts w:ascii="Montserrat" w:hAnsi="Montserrat" w:cs="Times New Roman"/>
        </w:rPr>
        <w:t xml:space="preserve">En otro orden de ideas, el Estado mexicano se permite informar que a pesar de todavía </w:t>
      </w:r>
      <w:r w:rsidR="006175FF" w:rsidRPr="00B80263">
        <w:rPr>
          <w:rFonts w:ascii="Montserrat" w:hAnsi="Montserrat" w:cs="Times New Roman"/>
          <w:color w:val="000000"/>
          <w:lang w:val="es-ES"/>
        </w:rPr>
        <w:t>no ha</w:t>
      </w:r>
      <w:r w:rsidRPr="00B80263">
        <w:rPr>
          <w:rFonts w:ascii="Montserrat" w:hAnsi="Montserrat" w:cs="Times New Roman"/>
          <w:color w:val="000000"/>
          <w:lang w:val="es-ES"/>
        </w:rPr>
        <w:t xml:space="preserve">ber </w:t>
      </w:r>
      <w:r w:rsidR="004617DB" w:rsidRPr="00B80263">
        <w:rPr>
          <w:rFonts w:ascii="Montserrat" w:hAnsi="Montserrat" w:cs="Times New Roman"/>
          <w:color w:val="000000"/>
          <w:lang w:val="es-ES"/>
        </w:rPr>
        <w:t xml:space="preserve">reconocido la competencia del Comité Contra las Desapariciones Forzadas (CED) </w:t>
      </w:r>
      <w:r w:rsidR="006175FF" w:rsidRPr="00B80263">
        <w:rPr>
          <w:rFonts w:ascii="Montserrat" w:hAnsi="Montserrat" w:cs="Times New Roman"/>
          <w:color w:val="000000"/>
          <w:lang w:val="es-ES"/>
        </w:rPr>
        <w:t xml:space="preserve">para recibir peticiones individuales, </w:t>
      </w:r>
      <w:r w:rsidR="004617DB" w:rsidRPr="00B80263">
        <w:rPr>
          <w:rFonts w:ascii="Montserrat" w:hAnsi="Montserrat" w:cs="Times New Roman"/>
          <w:color w:val="000000"/>
          <w:lang w:val="es-ES"/>
        </w:rPr>
        <w:t>de conformidad con el artículo 30 de</w:t>
      </w:r>
      <w:r w:rsidR="004617DB" w:rsidRPr="00B80263">
        <w:rPr>
          <w:rFonts w:ascii="Montserrat" w:hAnsi="Montserrat" w:cs="Times New Roman"/>
          <w:color w:val="000000"/>
        </w:rPr>
        <w:t xml:space="preserve"> la </w:t>
      </w:r>
      <w:r w:rsidR="004617DB" w:rsidRPr="00B80263">
        <w:rPr>
          <w:rFonts w:ascii="Montserrat" w:hAnsi="Montserrat" w:cs="Times New Roman"/>
          <w:i/>
          <w:color w:val="000000"/>
        </w:rPr>
        <w:t>Convención Internacional para la Protección de Todas las Personas contra las Desapariciones</w:t>
      </w:r>
      <w:r w:rsidR="004617DB" w:rsidRPr="00B80263">
        <w:rPr>
          <w:rFonts w:ascii="Montserrat" w:hAnsi="Montserrat" w:cs="Times New Roman"/>
          <w:color w:val="000000"/>
          <w:lang w:val="es-ES"/>
        </w:rPr>
        <w:t xml:space="preserve">, </w:t>
      </w:r>
      <w:r w:rsidR="006175FF" w:rsidRPr="00B80263">
        <w:rPr>
          <w:rFonts w:ascii="Montserrat" w:hAnsi="Montserrat" w:cs="Times New Roman"/>
          <w:color w:val="000000"/>
          <w:lang w:val="es-ES"/>
        </w:rPr>
        <w:t>existe otro mecanismo por medio del cual el CED da seguimiento a los casos de p</w:t>
      </w:r>
      <w:r w:rsidR="0001253B" w:rsidRPr="00B80263">
        <w:rPr>
          <w:rFonts w:ascii="Montserrat" w:hAnsi="Montserrat" w:cs="Times New Roman"/>
          <w:color w:val="000000"/>
          <w:lang w:val="es-ES"/>
        </w:rPr>
        <w:t xml:space="preserve">ersonas desaparecidas en México, </w:t>
      </w:r>
      <w:r w:rsidR="006175FF" w:rsidRPr="00B80263">
        <w:rPr>
          <w:rFonts w:ascii="Montserrat" w:hAnsi="Montserrat" w:cs="Times New Roman"/>
          <w:color w:val="000000"/>
          <w:lang w:val="es-ES"/>
        </w:rPr>
        <w:t>se trata de las acciones urgentes</w:t>
      </w:r>
      <w:r w:rsidR="004617DB" w:rsidRPr="00B80263">
        <w:rPr>
          <w:rFonts w:ascii="Montserrat" w:hAnsi="Montserrat" w:cs="Times New Roman"/>
          <w:color w:val="000000"/>
          <w:lang w:val="es-ES"/>
        </w:rPr>
        <w:t>.</w:t>
      </w:r>
    </w:p>
    <w:p w14:paraId="06108074" w14:textId="77777777" w:rsidR="00E743A7" w:rsidRPr="00B80263" w:rsidRDefault="00E743A7" w:rsidP="00B80263">
      <w:pPr>
        <w:spacing w:before="120" w:after="120" w:line="312" w:lineRule="auto"/>
        <w:jc w:val="both"/>
        <w:rPr>
          <w:rFonts w:ascii="Montserrat" w:hAnsi="Montserrat" w:cs="Times New Roman"/>
          <w:color w:val="000000"/>
          <w:lang w:val="es-ES"/>
        </w:rPr>
      </w:pPr>
    </w:p>
    <w:p w14:paraId="1D184BD7" w14:textId="77777777" w:rsidR="006175FF" w:rsidRPr="00B80263" w:rsidRDefault="006175FF" w:rsidP="00B80263">
      <w:pPr>
        <w:spacing w:before="120" w:after="120" w:line="312" w:lineRule="auto"/>
        <w:jc w:val="both"/>
        <w:rPr>
          <w:rFonts w:ascii="Montserrat" w:hAnsi="Montserrat" w:cs="Times New Roman"/>
          <w:color w:val="000000"/>
          <w:lang w:val="es-ES"/>
        </w:rPr>
      </w:pPr>
      <w:r w:rsidRPr="00B80263">
        <w:rPr>
          <w:rFonts w:ascii="Montserrat" w:hAnsi="Montserrat" w:cs="Times New Roman"/>
          <w:color w:val="000000"/>
          <w:lang w:val="es-ES"/>
        </w:rPr>
        <w:t>Esta herramienta se inicia cuando el CED recibe información fidedigna sobre casos urgentes de desaparición forzada, y le permite dar seguimiento a las investigaciones de personas desaparecidas, pidiendo al Estado que adopte las medidas necesarias para proteger a las personas que están en peligro, pero sin poder analizar el fondo del asunto y pronunciarse sobre su responsabilidad internacional. Por lo que el procedimiento de acciones urgentes consiste primordialmente en solicitudes de información y la emisión de recomendaciones al Estado.</w:t>
      </w:r>
    </w:p>
    <w:p w14:paraId="48223239" w14:textId="77777777" w:rsidR="007658FB" w:rsidRPr="00B80263" w:rsidRDefault="007658FB" w:rsidP="00B80263">
      <w:pPr>
        <w:spacing w:before="120" w:after="120" w:line="312" w:lineRule="auto"/>
        <w:jc w:val="both"/>
        <w:rPr>
          <w:rFonts w:ascii="Montserrat" w:hAnsi="Montserrat" w:cs="Times New Roman"/>
          <w:color w:val="000000"/>
          <w:lang w:val="es-ES"/>
        </w:rPr>
      </w:pPr>
    </w:p>
    <w:p w14:paraId="62ED9A9C" w14:textId="77777777" w:rsidR="006175FF" w:rsidRPr="00B80263" w:rsidRDefault="007658FB" w:rsidP="00B80263">
      <w:pPr>
        <w:spacing w:before="120" w:after="120" w:line="312" w:lineRule="auto"/>
        <w:jc w:val="both"/>
        <w:rPr>
          <w:rFonts w:ascii="Montserrat" w:hAnsi="Montserrat" w:cs="Times New Roman"/>
          <w:color w:val="000000"/>
          <w:lang w:val="es-ES"/>
        </w:rPr>
      </w:pPr>
      <w:r w:rsidRPr="00B80263">
        <w:rPr>
          <w:rFonts w:ascii="Montserrat" w:hAnsi="Montserrat" w:cs="Times New Roman"/>
          <w:color w:val="000000"/>
          <w:lang w:val="es-ES"/>
        </w:rPr>
        <w:t>Al respecto, a</w:t>
      </w:r>
      <w:r w:rsidR="006175FF" w:rsidRPr="00B80263">
        <w:rPr>
          <w:rFonts w:ascii="Montserrat" w:hAnsi="Montserrat" w:cs="Times New Roman"/>
          <w:color w:val="000000"/>
          <w:lang w:val="es-ES"/>
        </w:rPr>
        <w:t xml:space="preserve"> </w:t>
      </w:r>
      <w:r w:rsidR="004617DB" w:rsidRPr="00B80263">
        <w:rPr>
          <w:rFonts w:ascii="Montserrat" w:hAnsi="Montserrat" w:cs="Times New Roman"/>
          <w:color w:val="000000"/>
          <w:lang w:val="es-ES"/>
        </w:rPr>
        <w:t>marzo de 2019</w:t>
      </w:r>
      <w:r w:rsidR="006175FF" w:rsidRPr="00B80263">
        <w:rPr>
          <w:rFonts w:ascii="Montserrat" w:hAnsi="Montserrat" w:cs="Times New Roman"/>
          <w:color w:val="000000"/>
          <w:lang w:val="es-ES"/>
        </w:rPr>
        <w:t xml:space="preserve">, el Comité ha dictado </w:t>
      </w:r>
      <w:r w:rsidR="006175FF" w:rsidRPr="00B80263">
        <w:rPr>
          <w:rFonts w:ascii="Montserrat" w:hAnsi="Montserrat" w:cs="Times New Roman"/>
          <w:b/>
          <w:color w:val="000000"/>
          <w:lang w:val="es-ES"/>
        </w:rPr>
        <w:t>355</w:t>
      </w:r>
      <w:r w:rsidR="006175FF" w:rsidRPr="00B80263">
        <w:rPr>
          <w:rFonts w:ascii="Montserrat" w:hAnsi="Montserrat" w:cs="Times New Roman"/>
          <w:color w:val="000000"/>
          <w:lang w:val="es-ES"/>
        </w:rPr>
        <w:t xml:space="preserve"> acciones urgentes sobre </w:t>
      </w:r>
      <w:r w:rsidR="004617DB" w:rsidRPr="00B80263">
        <w:rPr>
          <w:rFonts w:ascii="Montserrat" w:hAnsi="Montserrat" w:cs="Times New Roman"/>
          <w:color w:val="000000"/>
          <w:lang w:val="es-ES"/>
        </w:rPr>
        <w:t>presuntas desapariciones forzadas en</w:t>
      </w:r>
      <w:r w:rsidRPr="00B80263">
        <w:rPr>
          <w:rFonts w:ascii="Montserrat" w:hAnsi="Montserrat" w:cs="Times New Roman"/>
          <w:color w:val="000000"/>
          <w:lang w:val="es-ES"/>
        </w:rPr>
        <w:t xml:space="preserve"> México, siendo así el </w:t>
      </w:r>
      <w:r w:rsidR="006175FF" w:rsidRPr="00B80263">
        <w:rPr>
          <w:rFonts w:ascii="Montserrat" w:hAnsi="Montserrat" w:cs="Times New Roman"/>
          <w:color w:val="000000"/>
          <w:lang w:val="es-ES"/>
        </w:rPr>
        <w:t>país</w:t>
      </w:r>
      <w:r w:rsidRPr="00B80263">
        <w:rPr>
          <w:rFonts w:ascii="Montserrat" w:hAnsi="Montserrat" w:cs="Times New Roman"/>
          <w:color w:val="000000"/>
          <w:lang w:val="es-ES"/>
        </w:rPr>
        <w:t xml:space="preserve"> que</w:t>
      </w:r>
      <w:r w:rsidR="006175FF" w:rsidRPr="00B80263">
        <w:rPr>
          <w:rFonts w:ascii="Montserrat" w:hAnsi="Montserrat" w:cs="Times New Roman"/>
          <w:color w:val="000000"/>
          <w:lang w:val="es-ES"/>
        </w:rPr>
        <w:t xml:space="preserve"> ha recibido el mayor número de acciones urgen</w:t>
      </w:r>
      <w:r w:rsidR="004617DB" w:rsidRPr="00B80263">
        <w:rPr>
          <w:rFonts w:ascii="Montserrat" w:hAnsi="Montserrat" w:cs="Times New Roman"/>
          <w:color w:val="000000"/>
          <w:lang w:val="es-ES"/>
        </w:rPr>
        <w:t>tes de todos los Estados Parte.</w:t>
      </w:r>
    </w:p>
    <w:p w14:paraId="50512DB6" w14:textId="77777777" w:rsidR="006175FF" w:rsidRPr="00B80263" w:rsidRDefault="006175FF" w:rsidP="00B80263">
      <w:pPr>
        <w:spacing w:before="120" w:after="120" w:line="312" w:lineRule="auto"/>
        <w:jc w:val="both"/>
        <w:rPr>
          <w:rFonts w:ascii="Montserrat" w:hAnsi="Montserrat" w:cs="Times New Roman"/>
          <w:lang w:val="es-ES"/>
        </w:rPr>
      </w:pPr>
    </w:p>
    <w:p w14:paraId="55536D31" w14:textId="77777777" w:rsidR="008E55D5" w:rsidRPr="00B80263" w:rsidRDefault="007658FB" w:rsidP="00B80263">
      <w:pPr>
        <w:spacing w:before="120" w:after="120" w:line="312" w:lineRule="auto"/>
        <w:jc w:val="both"/>
        <w:rPr>
          <w:rFonts w:ascii="Montserrat" w:hAnsi="Montserrat" w:cs="Times New Roman"/>
          <w:lang w:val="es-ES"/>
        </w:rPr>
      </w:pPr>
      <w:r w:rsidRPr="00B80263">
        <w:rPr>
          <w:rFonts w:ascii="Montserrat" w:hAnsi="Montserrat" w:cs="Times New Roman"/>
          <w:lang w:val="es-ES"/>
        </w:rPr>
        <w:t xml:space="preserve">Todas las acciones urgentes han sido atendidas </w:t>
      </w:r>
      <w:r w:rsidR="008E55D5" w:rsidRPr="00B80263">
        <w:rPr>
          <w:rFonts w:ascii="Montserrat" w:hAnsi="Montserrat" w:cs="Times New Roman"/>
          <w:color w:val="000000"/>
        </w:rPr>
        <w:t>de conformidad con el siguiente procedimiento:</w:t>
      </w:r>
    </w:p>
    <w:p w14:paraId="7C90D4FA" w14:textId="77777777" w:rsidR="008E55D5" w:rsidRPr="00B80263" w:rsidRDefault="008E55D5" w:rsidP="00B80263">
      <w:pPr>
        <w:pStyle w:val="ListParagraph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Recepción de la acción urgente a través de la Misión ante Organismos Internacionales en Ginebra.</w:t>
      </w:r>
    </w:p>
    <w:p w14:paraId="5B477567" w14:textId="77777777" w:rsidR="008E55D5" w:rsidRPr="00B80263" w:rsidRDefault="008E55D5" w:rsidP="00B80263">
      <w:pPr>
        <w:pStyle w:val="ListParagraph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Análisis de la información y determinación de las autoridades involucradas por parte de Cancillería.</w:t>
      </w:r>
    </w:p>
    <w:p w14:paraId="5F6FD08D" w14:textId="77777777" w:rsidR="008E55D5" w:rsidRPr="00B80263" w:rsidRDefault="008E55D5" w:rsidP="00B80263">
      <w:pPr>
        <w:pStyle w:val="ListParagraph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Notificación de la acción urgente y solicitud de información a las autoridades competentes:</w:t>
      </w:r>
    </w:p>
    <w:p w14:paraId="5FA08CC9" w14:textId="77777777" w:rsidR="008E55D5" w:rsidRPr="00B80263" w:rsidRDefault="008E55D5" w:rsidP="00B80263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Identificar a la autoridad investigadora responsable (ya sea del fuero federal y/o local).</w:t>
      </w:r>
    </w:p>
    <w:p w14:paraId="2D45D383" w14:textId="77777777" w:rsidR="008E55D5" w:rsidRPr="00B80263" w:rsidRDefault="008E55D5" w:rsidP="00B80263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Notificación a la Secretaría de Gobernación en caso de que el CED haya incluido medidas cautelares.</w:t>
      </w:r>
    </w:p>
    <w:p w14:paraId="6AD00FEB" w14:textId="77777777" w:rsidR="008E55D5" w:rsidRPr="00B80263" w:rsidRDefault="008E55D5" w:rsidP="00B80263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Se envía oficialmente la acción urgente a las autoridades competentes, transcribiendo las preocupaciones, recomendaciones y solicitudes de información del CED. Además se acompaña el texto íntegro que es enviado por parte del CED.</w:t>
      </w:r>
    </w:p>
    <w:p w14:paraId="4AFFA793" w14:textId="77777777" w:rsidR="008E55D5" w:rsidRPr="00B80263" w:rsidRDefault="008E55D5" w:rsidP="00B80263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 xml:space="preserve">Se solicitan los insumos a las autoridades competentes para atender la solicitud de información formulada por el CED y se establece un plazo, de conformidad con aquél otorgado al Estado mexicano. </w:t>
      </w:r>
    </w:p>
    <w:p w14:paraId="4CCCA052" w14:textId="77777777" w:rsidR="008E55D5" w:rsidRPr="00B80263" w:rsidRDefault="008E55D5" w:rsidP="00B80263">
      <w:pPr>
        <w:pStyle w:val="ListParagraph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>Se reitera la solicitud de información, en caso de no haber obtenido la información solicitada por parte de las autoridades competentes o en caso de haber recibido una reiteración de información por parte del CED.</w:t>
      </w:r>
    </w:p>
    <w:p w14:paraId="6FF14A40" w14:textId="696D54AE" w:rsidR="00EC75CD" w:rsidRPr="00B80263" w:rsidRDefault="008E55D5" w:rsidP="00B80263">
      <w:pPr>
        <w:pStyle w:val="ListParagraph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ascii="Montserrat" w:hAnsi="Montserrat" w:cs="Times New Roman"/>
          <w:color w:val="000000"/>
        </w:rPr>
      </w:pPr>
      <w:r w:rsidRPr="00B80263">
        <w:rPr>
          <w:rFonts w:ascii="Montserrat" w:hAnsi="Montserrat" w:cs="Times New Roman"/>
          <w:color w:val="000000"/>
        </w:rPr>
        <w:t xml:space="preserve">Una vez que se recibe la información, ésta es enviada al CED, mediante un informe estatal vía la Misión de México en Ginebra. </w:t>
      </w:r>
    </w:p>
    <w:p w14:paraId="1D945A6C" w14:textId="51892B8B" w:rsidR="006C1E32" w:rsidRPr="00B80263" w:rsidRDefault="006C1E32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 xml:space="preserve">Por otro lado, México ha cumplido con las obligaciones derivadas del Pacto Internacional de Derechos Económicos, Sociales y Culturales, las cuales son supervisadas por el Comité de Derechos Económicos, Sociales y Culturales (CDESC), y se encuentra al corriente en la presentación de informes periódicos a este órgano. </w:t>
      </w:r>
    </w:p>
    <w:p w14:paraId="5F5DA3D8" w14:textId="43470D2B" w:rsidR="006C1E32" w:rsidRPr="00B80263" w:rsidRDefault="006C1E32" w:rsidP="00B80263">
      <w:pPr>
        <w:spacing w:before="120" w:after="120" w:line="312" w:lineRule="auto"/>
        <w:jc w:val="both"/>
        <w:rPr>
          <w:rFonts w:ascii="Montserrat" w:hAnsi="Montserrat"/>
          <w:lang w:val="es-ES_tradnl"/>
        </w:rPr>
      </w:pPr>
      <w:r w:rsidRPr="00B80263">
        <w:rPr>
          <w:rFonts w:ascii="Montserrat" w:hAnsi="Montserrat"/>
          <w:lang w:val="es-ES_tradnl"/>
        </w:rPr>
        <w:t>El V y VI Informe Periódico del Estado Mexicano sobre la aplicación del Pacto Internacional de Derechos Económicos, Sociales y Culturales (PIDESC) fue</w:t>
      </w:r>
      <w:r w:rsidR="00B80263" w:rsidRPr="00B80263">
        <w:rPr>
          <w:rFonts w:ascii="Montserrat" w:hAnsi="Montserrat"/>
          <w:lang w:val="es-ES_tradnl"/>
        </w:rPr>
        <w:t xml:space="preserve"> entregado el 8 de junio de 2016 y fue publicado el 20 de julio del 2016.</w:t>
      </w:r>
    </w:p>
    <w:p w14:paraId="19FEDF70" w14:textId="770713E2" w:rsidR="006C1E32" w:rsidRPr="00B80263" w:rsidRDefault="00B80263" w:rsidP="00B80263">
      <w:pPr>
        <w:spacing w:before="120" w:after="120" w:line="312" w:lineRule="auto"/>
        <w:jc w:val="both"/>
        <w:rPr>
          <w:rFonts w:ascii="Montserrat" w:hAnsi="Montserrat"/>
          <w:lang w:val="es-ES_tradnl"/>
        </w:rPr>
      </w:pPr>
      <w:r w:rsidRPr="00B80263">
        <w:rPr>
          <w:rFonts w:ascii="Montserrat" w:hAnsi="Montserrat"/>
          <w:lang w:val="es-ES_tradnl"/>
        </w:rPr>
        <w:t>Actualmente, México ha iniciado el proceso interno a fin de presentar el informe de medio término correspondiente</w:t>
      </w:r>
      <w:r w:rsidR="00E743A7">
        <w:rPr>
          <w:rFonts w:ascii="Montserrat" w:hAnsi="Montserrat"/>
          <w:lang w:val="es-ES_tradnl"/>
        </w:rPr>
        <w:t xml:space="preserve"> al cumplimiento de obligaciones derivadas del PIDESC</w:t>
      </w:r>
      <w:r w:rsidRPr="00B80263">
        <w:rPr>
          <w:rFonts w:ascii="Montserrat" w:hAnsi="Montserrat"/>
          <w:lang w:val="es-ES_tradnl"/>
        </w:rPr>
        <w:t>, en septiembre del 2019.</w:t>
      </w:r>
    </w:p>
    <w:p w14:paraId="16BA5F28" w14:textId="77777777" w:rsidR="007658FB" w:rsidRPr="00B80263" w:rsidRDefault="007658FB" w:rsidP="00B80263">
      <w:pPr>
        <w:spacing w:before="120" w:after="120" w:line="312" w:lineRule="auto"/>
        <w:jc w:val="both"/>
        <w:rPr>
          <w:rFonts w:ascii="Montserrat" w:hAnsi="Montserrat" w:cs="Times New Roman"/>
        </w:rPr>
      </w:pPr>
      <w:r w:rsidRPr="00B80263">
        <w:rPr>
          <w:rFonts w:ascii="Montserrat" w:hAnsi="Montserrat" w:cs="Times New Roman"/>
        </w:rPr>
        <w:t>Por todo lo anterior, el Estado mexicano se permite informar que cada una de las solicitudes recibidas los</w:t>
      </w:r>
      <w:r w:rsidRPr="00B80263">
        <w:rPr>
          <w:rFonts w:ascii="Montserrat" w:hAnsi="Montserrat" w:cs="Times New Roman"/>
          <w:lang w:val="es-ES"/>
        </w:rPr>
        <w:t xml:space="preserve"> órganos creados en virtud de tratados de derechos humanos, son atendidas de manera oportuna y eficaz,</w:t>
      </w:r>
      <w:r w:rsidRPr="00B80263">
        <w:rPr>
          <w:rFonts w:ascii="Montserrat" w:hAnsi="Montserrat" w:cs="Times New Roman"/>
        </w:rPr>
        <w:t xml:space="preserve"> con el fin de cumplir con sus obligaciones internacionales.</w:t>
      </w:r>
    </w:p>
    <w:p w14:paraId="06E13636" w14:textId="77777777" w:rsidR="007658FB" w:rsidRPr="007658FB" w:rsidRDefault="007658FB" w:rsidP="007658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8FB" w:rsidRPr="007658F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FE27" w14:textId="77777777" w:rsidR="008F1051" w:rsidRDefault="008F1051" w:rsidP="00B65D65">
      <w:pPr>
        <w:spacing w:after="0" w:line="240" w:lineRule="auto"/>
      </w:pPr>
      <w:r>
        <w:separator/>
      </w:r>
    </w:p>
  </w:endnote>
  <w:endnote w:type="continuationSeparator" w:id="0">
    <w:p w14:paraId="5A83113A" w14:textId="77777777" w:rsidR="008F1051" w:rsidRDefault="008F1051" w:rsidP="00B6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868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38E98" w14:textId="52492866" w:rsidR="00B65D65" w:rsidRDefault="00B65D65">
            <w:pPr>
              <w:pStyle w:val="Footer"/>
              <w:jc w:val="right"/>
            </w:pPr>
            <w:r w:rsidRPr="00B65D65">
              <w:rPr>
                <w:rFonts w:ascii="Montserrat" w:hAnsi="Montserrat"/>
                <w:lang w:val="es-ES"/>
              </w:rPr>
              <w:t xml:space="preserve">Página </w:t>
            </w:r>
            <w:r w:rsidRPr="00B65D65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B65D65">
              <w:rPr>
                <w:rFonts w:ascii="Montserrat" w:hAnsi="Montserrat"/>
                <w:b/>
                <w:bCs/>
              </w:rPr>
              <w:instrText>PAGE</w:instrText>
            </w:r>
            <w:r w:rsidRPr="00B65D65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2D32">
              <w:rPr>
                <w:rFonts w:ascii="Montserrat" w:hAnsi="Montserrat"/>
                <w:b/>
                <w:bCs/>
                <w:noProof/>
              </w:rPr>
              <w:t>1</w:t>
            </w:r>
            <w:r w:rsidRPr="00B65D65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B65D65">
              <w:rPr>
                <w:rFonts w:ascii="Montserrat" w:hAnsi="Montserrat"/>
                <w:lang w:val="es-ES"/>
              </w:rPr>
              <w:t xml:space="preserve"> de </w:t>
            </w:r>
            <w:r w:rsidRPr="00B65D65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B65D65">
              <w:rPr>
                <w:rFonts w:ascii="Montserrat" w:hAnsi="Montserrat"/>
                <w:b/>
                <w:bCs/>
              </w:rPr>
              <w:instrText>NUMPAGES</w:instrText>
            </w:r>
            <w:r w:rsidRPr="00B65D65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2D32">
              <w:rPr>
                <w:rFonts w:ascii="Montserrat" w:hAnsi="Montserrat"/>
                <w:b/>
                <w:bCs/>
                <w:noProof/>
              </w:rPr>
              <w:t>1</w:t>
            </w:r>
            <w:r w:rsidRPr="00B65D65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0E491" w14:textId="77777777" w:rsidR="00B65D65" w:rsidRDefault="00B65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D9B6" w14:textId="77777777" w:rsidR="008F1051" w:rsidRDefault="008F1051" w:rsidP="00B65D65">
      <w:pPr>
        <w:spacing w:after="0" w:line="240" w:lineRule="auto"/>
      </w:pPr>
      <w:r>
        <w:separator/>
      </w:r>
    </w:p>
  </w:footnote>
  <w:footnote w:type="continuationSeparator" w:id="0">
    <w:p w14:paraId="17C0CA2A" w14:textId="77777777" w:rsidR="008F1051" w:rsidRDefault="008F1051" w:rsidP="00B6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32B"/>
    <w:multiLevelType w:val="hybridMultilevel"/>
    <w:tmpl w:val="FE56DD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1074"/>
    <w:multiLevelType w:val="hybridMultilevel"/>
    <w:tmpl w:val="990AA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7F1"/>
    <w:multiLevelType w:val="hybridMultilevel"/>
    <w:tmpl w:val="DF625FA8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C791A"/>
    <w:multiLevelType w:val="hybridMultilevel"/>
    <w:tmpl w:val="AA1C6C5C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93BAE"/>
    <w:multiLevelType w:val="hybridMultilevel"/>
    <w:tmpl w:val="58AAE5D6"/>
    <w:lvl w:ilvl="0" w:tplc="6D023D5C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602A"/>
    <w:multiLevelType w:val="hybridMultilevel"/>
    <w:tmpl w:val="C92888AC"/>
    <w:lvl w:ilvl="0" w:tplc="51CC6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A7165"/>
    <w:multiLevelType w:val="hybridMultilevel"/>
    <w:tmpl w:val="15C0E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36C1"/>
    <w:multiLevelType w:val="hybridMultilevel"/>
    <w:tmpl w:val="909AF6F8"/>
    <w:lvl w:ilvl="0" w:tplc="4D005E36">
      <w:start w:val="2"/>
      <w:numFmt w:val="bullet"/>
      <w:lvlText w:val=""/>
      <w:lvlJc w:val="left"/>
      <w:pPr>
        <w:ind w:left="284" w:hanging="284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6E17"/>
    <w:multiLevelType w:val="hybridMultilevel"/>
    <w:tmpl w:val="7DC68A44"/>
    <w:lvl w:ilvl="0" w:tplc="5322C9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A9E"/>
    <w:multiLevelType w:val="hybridMultilevel"/>
    <w:tmpl w:val="B656B0C8"/>
    <w:lvl w:ilvl="0" w:tplc="08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446D69"/>
    <w:multiLevelType w:val="hybridMultilevel"/>
    <w:tmpl w:val="FC0AAE4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101"/>
    <w:multiLevelType w:val="hybridMultilevel"/>
    <w:tmpl w:val="1CE4C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5453"/>
    <w:multiLevelType w:val="hybridMultilevel"/>
    <w:tmpl w:val="58AAE5D6"/>
    <w:lvl w:ilvl="0" w:tplc="6D023D5C">
      <w:start w:val="1"/>
      <w:numFmt w:val="decimal"/>
      <w:lvlText w:val="%1)"/>
      <w:lvlJc w:val="left"/>
      <w:pPr>
        <w:ind w:left="720" w:hanging="360"/>
      </w:pPr>
      <w:rPr>
        <w:rFonts w:eastAsia="Time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011B"/>
    <w:multiLevelType w:val="hybridMultilevel"/>
    <w:tmpl w:val="3B3E3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3DCF"/>
    <w:multiLevelType w:val="hybridMultilevel"/>
    <w:tmpl w:val="4522BAA8"/>
    <w:lvl w:ilvl="0" w:tplc="ADE6D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35F9"/>
    <w:multiLevelType w:val="hybridMultilevel"/>
    <w:tmpl w:val="C24C99D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83"/>
    <w:rsid w:val="0001253B"/>
    <w:rsid w:val="00185369"/>
    <w:rsid w:val="001B7F54"/>
    <w:rsid w:val="00307690"/>
    <w:rsid w:val="0032141A"/>
    <w:rsid w:val="00335A77"/>
    <w:rsid w:val="0037081E"/>
    <w:rsid w:val="00394A98"/>
    <w:rsid w:val="00425C87"/>
    <w:rsid w:val="004617DB"/>
    <w:rsid w:val="00483DD4"/>
    <w:rsid w:val="006175FF"/>
    <w:rsid w:val="006C1E32"/>
    <w:rsid w:val="007417FA"/>
    <w:rsid w:val="007658FB"/>
    <w:rsid w:val="00822964"/>
    <w:rsid w:val="008E55D5"/>
    <w:rsid w:val="008F1051"/>
    <w:rsid w:val="008F1DCC"/>
    <w:rsid w:val="00955565"/>
    <w:rsid w:val="00AA7166"/>
    <w:rsid w:val="00AC4283"/>
    <w:rsid w:val="00B65D65"/>
    <w:rsid w:val="00B80263"/>
    <w:rsid w:val="00C22D32"/>
    <w:rsid w:val="00E34D93"/>
    <w:rsid w:val="00E743A7"/>
    <w:rsid w:val="00EC75CD"/>
    <w:rsid w:val="00F11753"/>
    <w:rsid w:val="00FC3EFB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AE5C"/>
  <w15:chartTrackingRefBased/>
  <w15:docId w15:val="{8FBAACD5-A1ED-4690-A0FA-DB41979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"/>
    <w:basedOn w:val="Normal"/>
    <w:link w:val="ListParagraphChar"/>
    <w:uiPriority w:val="34"/>
    <w:qFormat/>
    <w:rsid w:val="00EC75CD"/>
    <w:pPr>
      <w:ind w:left="720"/>
      <w:contextualSpacing/>
    </w:p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"/>
    <w:basedOn w:val="DefaultParagraphFont"/>
    <w:link w:val="ListParagraph"/>
    <w:uiPriority w:val="34"/>
    <w:locked/>
    <w:rsid w:val="008E55D5"/>
  </w:style>
  <w:style w:type="table" w:styleId="TableGrid">
    <w:name w:val="Table Grid"/>
    <w:basedOn w:val="TableNormal"/>
    <w:uiPriority w:val="39"/>
    <w:rsid w:val="0037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65"/>
  </w:style>
  <w:style w:type="paragraph" w:styleId="Footer">
    <w:name w:val="footer"/>
    <w:basedOn w:val="Normal"/>
    <w:link w:val="FooterChar"/>
    <w:uiPriority w:val="99"/>
    <w:unhideWhenUsed/>
    <w:rsid w:val="00B65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2F2AB-9AF6-4E1C-B9D4-431D8723FB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28E327-2F0A-4E8A-B81E-AD792DE60E27}"/>
</file>

<file path=customXml/itemProps3.xml><?xml version="1.0" encoding="utf-8"?>
<ds:datastoreItem xmlns:ds="http://schemas.openxmlformats.org/officeDocument/2006/customXml" ds:itemID="{5E02DCC7-0D3C-43E8-A41F-F525F6640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subject/>
  <dc:creator>Reyes Rosiñol, Carolina</dc:creator>
  <cp:keywords/>
  <dc:description/>
  <cp:lastModifiedBy>BROWN Helen</cp:lastModifiedBy>
  <cp:revision>2</cp:revision>
  <dcterms:created xsi:type="dcterms:W3CDTF">2019-04-29T13:52:00Z</dcterms:created>
  <dcterms:modified xsi:type="dcterms:W3CDTF">2019-04-29T13:52:00Z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