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22" w:rsidRPr="00A64227" w:rsidRDefault="002E3722" w:rsidP="002E3722">
      <w:pPr>
        <w:tabs>
          <w:tab w:val="left" w:pos="851"/>
          <w:tab w:val="left" w:pos="1134"/>
        </w:tabs>
        <w:ind w:left="1134" w:hanging="1134"/>
        <w:rPr>
          <w:b/>
          <w:sz w:val="24"/>
          <w:szCs w:val="24"/>
          <w:u w:val="single"/>
        </w:rPr>
      </w:pPr>
      <w:r w:rsidRPr="00A64227">
        <w:rPr>
          <w:b/>
          <w:sz w:val="24"/>
          <w:szCs w:val="24"/>
        </w:rPr>
        <w:t>Subject:</w:t>
      </w:r>
      <w:r w:rsidRPr="00A64227">
        <w:rPr>
          <w:b/>
          <w:sz w:val="24"/>
          <w:szCs w:val="24"/>
        </w:rPr>
        <w:tab/>
      </w:r>
      <w:r w:rsidRPr="00A64227">
        <w:rPr>
          <w:b/>
          <w:sz w:val="24"/>
          <w:szCs w:val="24"/>
          <w:u w:val="single"/>
        </w:rPr>
        <w:t>Applications for eight vacancies of mandate holders to be appointed at the 45</w:t>
      </w:r>
      <w:r w:rsidRPr="00A64227">
        <w:rPr>
          <w:b/>
          <w:sz w:val="24"/>
          <w:szCs w:val="24"/>
          <w:u w:val="single"/>
          <w:vertAlign w:val="superscript"/>
        </w:rPr>
        <w:t>th</w:t>
      </w:r>
      <w:r w:rsidRPr="00A64227">
        <w:rPr>
          <w:b/>
          <w:sz w:val="24"/>
          <w:szCs w:val="24"/>
          <w:u w:val="single"/>
        </w:rPr>
        <w:t xml:space="preserve"> session of the Human Rights Council</w:t>
      </w:r>
    </w:p>
    <w:p w:rsidR="002E3722" w:rsidRPr="00A64227" w:rsidRDefault="002E3722" w:rsidP="002E3722">
      <w:pPr>
        <w:rPr>
          <w:b/>
          <w:sz w:val="24"/>
          <w:szCs w:val="24"/>
        </w:rPr>
      </w:pPr>
    </w:p>
    <w:p w:rsidR="002E3722" w:rsidRPr="00A64227" w:rsidRDefault="002E3722" w:rsidP="002E3722">
      <w:pPr>
        <w:ind w:firstLine="851"/>
        <w:jc w:val="both"/>
        <w:rPr>
          <w:sz w:val="24"/>
          <w:szCs w:val="24"/>
        </w:rPr>
      </w:pPr>
      <w:r w:rsidRPr="00A64227">
        <w:rPr>
          <w:sz w:val="24"/>
          <w:szCs w:val="24"/>
        </w:rPr>
        <w:t>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the following eight mandate holders are to be appointed at the forty-fifth session of the Council (14 September to 2 October 2020</w:t>
      </w:r>
      <w:r w:rsidR="00CF04C9">
        <w:rPr>
          <w:sz w:val="24"/>
          <w:szCs w:val="24"/>
        </w:rPr>
        <w:t xml:space="preserve"> tbc</w:t>
      </w:r>
      <w:r w:rsidRPr="00A64227">
        <w:rPr>
          <w:sz w:val="24"/>
          <w:szCs w:val="24"/>
        </w:rPr>
        <w:t>):</w:t>
      </w:r>
    </w:p>
    <w:p w:rsidR="002E3722" w:rsidRPr="00A64227" w:rsidRDefault="002E3722" w:rsidP="002E3722">
      <w:pPr>
        <w:shd w:val="clear" w:color="auto" w:fill="FFFFFF"/>
        <w:outlineLvl w:val="3"/>
        <w:rPr>
          <w:b/>
          <w:bCs/>
          <w:sz w:val="24"/>
          <w:szCs w:val="24"/>
          <w:lang w:eastAsia="en-GB"/>
        </w:rPr>
      </w:pPr>
    </w:p>
    <w:p w:rsidR="002E3722" w:rsidRPr="00A64227" w:rsidRDefault="002E3722" w:rsidP="00296D35">
      <w:pPr>
        <w:numPr>
          <w:ilvl w:val="0"/>
          <w:numId w:val="25"/>
        </w:numPr>
        <w:spacing w:after="120"/>
        <w:ind w:left="576" w:hanging="288"/>
        <w:jc w:val="both"/>
        <w:rPr>
          <w:b/>
          <w:sz w:val="24"/>
          <w:szCs w:val="24"/>
        </w:rPr>
      </w:pPr>
      <w:r w:rsidRPr="00A64227">
        <w:rPr>
          <w:rFonts w:eastAsia="Calibri"/>
          <w:b/>
          <w:sz w:val="24"/>
          <w:szCs w:val="24"/>
        </w:rPr>
        <w:t xml:space="preserve">Independent Expert on the situation of human rights in the Sudan </w:t>
      </w:r>
      <w:r w:rsidRPr="00A64227">
        <w:rPr>
          <w:rFonts w:eastAsia="Calibri"/>
          <w:sz w:val="24"/>
          <w:szCs w:val="24"/>
        </w:rPr>
        <w:t>(</w:t>
      </w:r>
      <w:hyperlink r:id="rId12" w:history="1">
        <w:r w:rsidRPr="00A64227">
          <w:rPr>
            <w:rStyle w:val="Hyperlink"/>
            <w:rFonts w:eastAsia="Calibri"/>
            <w:sz w:val="24"/>
            <w:szCs w:val="24"/>
          </w:rPr>
          <w:t xml:space="preserve">HRC resolution </w:t>
        </w:r>
        <w:r w:rsidRPr="00A64227">
          <w:rPr>
            <w:rStyle w:val="Hyperlink"/>
            <w:rFonts w:eastAsia="Calibri"/>
            <w:bCs/>
            <w:sz w:val="24"/>
            <w:szCs w:val="24"/>
          </w:rPr>
          <w:t>42/35</w:t>
        </w:r>
      </w:hyperlink>
      <w:r w:rsidRPr="00A64227">
        <w:rPr>
          <w:rFonts w:eastAsia="Calibri"/>
          <w:sz w:val="24"/>
          <w:szCs w:val="24"/>
        </w:rPr>
        <w:t>)</w:t>
      </w:r>
      <w:r w:rsidRPr="00A64227">
        <w:rPr>
          <w:rFonts w:eastAsia="Calibri"/>
          <w:sz w:val="24"/>
          <w:szCs w:val="24"/>
          <w:vertAlign w:val="superscript"/>
          <w:lang w:val="fr-CH"/>
        </w:rPr>
        <w:footnoteReference w:id="1"/>
      </w:r>
    </w:p>
    <w:p w:rsidR="002E3722" w:rsidRPr="00A64227" w:rsidRDefault="002E3722" w:rsidP="00296D35">
      <w:pPr>
        <w:numPr>
          <w:ilvl w:val="0"/>
          <w:numId w:val="25"/>
        </w:numPr>
        <w:spacing w:after="120"/>
        <w:ind w:left="576" w:hanging="288"/>
        <w:jc w:val="both"/>
        <w:rPr>
          <w:b/>
          <w:sz w:val="24"/>
          <w:szCs w:val="24"/>
        </w:rPr>
      </w:pPr>
      <w:r w:rsidRPr="00A64227">
        <w:rPr>
          <w:rFonts w:eastAsia="MS Mincho"/>
          <w:b/>
          <w:color w:val="000000"/>
          <w:sz w:val="24"/>
          <w:szCs w:val="24"/>
          <w:lang w:eastAsia="ja-JP"/>
        </w:rPr>
        <w:t>Special Rapporteur on the human rights to safe drinking water and sanitation</w:t>
      </w:r>
      <w:r w:rsidRPr="00A64227">
        <w:rPr>
          <w:rFonts w:eastAsia="MS Mincho"/>
          <w:color w:val="000000"/>
          <w:sz w:val="24"/>
          <w:szCs w:val="24"/>
          <w:lang w:eastAsia="ja-JP"/>
        </w:rPr>
        <w:t xml:space="preserve"> (</w:t>
      </w:r>
      <w:hyperlink r:id="rId13" w:history="1">
        <w:r w:rsidRPr="00A64227">
          <w:rPr>
            <w:rFonts w:eastAsia="MS Mincho"/>
            <w:color w:val="0000FF"/>
            <w:sz w:val="24"/>
            <w:szCs w:val="24"/>
            <w:u w:val="single"/>
            <w:lang w:eastAsia="ja-JP"/>
          </w:rPr>
          <w:t>HRC resolution 42/5</w:t>
        </w:r>
      </w:hyperlink>
      <w:r w:rsidRPr="00A64227">
        <w:rPr>
          <w:rFonts w:eastAsia="MS Mincho"/>
          <w:color w:val="000000"/>
          <w:sz w:val="24"/>
          <w:szCs w:val="24"/>
          <w:lang w:eastAsia="ja-JP"/>
        </w:rPr>
        <w:t>)</w:t>
      </w:r>
    </w:p>
    <w:p w:rsidR="002E3722" w:rsidRPr="00A64227" w:rsidRDefault="002E3722" w:rsidP="00296D35">
      <w:pPr>
        <w:numPr>
          <w:ilvl w:val="0"/>
          <w:numId w:val="25"/>
        </w:numPr>
        <w:spacing w:after="120"/>
        <w:ind w:left="576" w:hanging="288"/>
        <w:jc w:val="both"/>
        <w:rPr>
          <w:b/>
          <w:sz w:val="24"/>
          <w:szCs w:val="24"/>
        </w:rPr>
      </w:pPr>
      <w:r w:rsidRPr="00A64227">
        <w:rPr>
          <w:rFonts w:eastAsia="MS Mincho"/>
          <w:b/>
          <w:color w:val="000000"/>
          <w:sz w:val="24"/>
          <w:szCs w:val="24"/>
          <w:lang w:eastAsia="ja-JP"/>
        </w:rPr>
        <w:t>Special Rapporteur on the rights of persons with disabilities</w:t>
      </w:r>
      <w:r w:rsidRPr="00A64227">
        <w:rPr>
          <w:rFonts w:eastAsia="MS Mincho"/>
          <w:color w:val="000000"/>
          <w:sz w:val="24"/>
          <w:szCs w:val="24"/>
          <w:lang w:eastAsia="ja-JP"/>
        </w:rPr>
        <w:t xml:space="preserve"> (</w:t>
      </w:r>
      <w:hyperlink r:id="rId14" w:history="1">
        <w:r w:rsidRPr="00A64227">
          <w:rPr>
            <w:rFonts w:eastAsia="MS Mincho"/>
            <w:color w:val="0000FF"/>
            <w:sz w:val="24"/>
            <w:szCs w:val="24"/>
            <w:u w:val="single"/>
            <w:lang w:eastAsia="ja-JP"/>
          </w:rPr>
          <w:t>HRC resolution 35/6</w:t>
        </w:r>
      </w:hyperlink>
      <w:r w:rsidRPr="00A64227">
        <w:rPr>
          <w:rFonts w:eastAsia="MS Mincho"/>
          <w:color w:val="000000"/>
          <w:sz w:val="24"/>
          <w:szCs w:val="24"/>
          <w:lang w:eastAsia="ja-JP"/>
        </w:rPr>
        <w:t>)</w:t>
      </w:r>
      <w:r w:rsidRPr="00A64227">
        <w:rPr>
          <w:rFonts w:eastAsia="Calibri"/>
          <w:sz w:val="24"/>
          <w:szCs w:val="24"/>
          <w:vertAlign w:val="superscript"/>
        </w:rPr>
        <w:t>1</w:t>
      </w:r>
    </w:p>
    <w:p w:rsidR="002E3722" w:rsidRPr="00A64227" w:rsidRDefault="002E3722" w:rsidP="00296D35">
      <w:pPr>
        <w:numPr>
          <w:ilvl w:val="0"/>
          <w:numId w:val="25"/>
        </w:numPr>
        <w:spacing w:after="120"/>
        <w:ind w:left="576" w:hanging="288"/>
        <w:jc w:val="both"/>
        <w:rPr>
          <w:b/>
          <w:sz w:val="24"/>
          <w:szCs w:val="24"/>
        </w:rPr>
      </w:pPr>
      <w:r w:rsidRPr="00A64227">
        <w:rPr>
          <w:rFonts w:eastAsia="MS Mincho"/>
          <w:b/>
          <w:color w:val="000000"/>
          <w:sz w:val="24"/>
          <w:szCs w:val="24"/>
          <w:lang w:eastAsia="ja-JP"/>
        </w:rPr>
        <w:t>Working Group on Arbitrary Detention, member from African States</w:t>
      </w:r>
      <w:r w:rsidRPr="00A64227">
        <w:rPr>
          <w:rFonts w:eastAsia="MS Mincho"/>
          <w:color w:val="000000"/>
          <w:sz w:val="24"/>
          <w:szCs w:val="24"/>
          <w:lang w:eastAsia="ja-JP"/>
        </w:rPr>
        <w:t xml:space="preserve"> (</w:t>
      </w:r>
      <w:hyperlink r:id="rId15" w:history="1">
        <w:r w:rsidRPr="00A64227">
          <w:rPr>
            <w:rFonts w:eastAsia="MS Mincho"/>
            <w:color w:val="0000FF"/>
            <w:sz w:val="24"/>
            <w:szCs w:val="24"/>
            <w:u w:val="single"/>
            <w:lang w:eastAsia="ja-JP"/>
          </w:rPr>
          <w:t>HRC resolution 42/22</w:t>
        </w:r>
      </w:hyperlink>
      <w:r w:rsidRPr="00A64227">
        <w:rPr>
          <w:rFonts w:eastAsia="MS Mincho"/>
          <w:color w:val="000000"/>
          <w:sz w:val="24"/>
          <w:szCs w:val="24"/>
          <w:lang w:eastAsia="ja-JP"/>
        </w:rPr>
        <w:t>)</w:t>
      </w:r>
    </w:p>
    <w:p w:rsidR="002E3722" w:rsidRPr="00A64227" w:rsidRDefault="002E3722" w:rsidP="00296D35">
      <w:pPr>
        <w:numPr>
          <w:ilvl w:val="0"/>
          <w:numId w:val="25"/>
        </w:numPr>
        <w:spacing w:after="120"/>
        <w:ind w:left="576" w:hanging="288"/>
        <w:jc w:val="both"/>
        <w:rPr>
          <w:b/>
          <w:sz w:val="24"/>
          <w:szCs w:val="24"/>
        </w:rPr>
      </w:pPr>
      <w:r w:rsidRPr="00A64227">
        <w:rPr>
          <w:rFonts w:eastAsia="MS Mincho"/>
          <w:b/>
          <w:color w:val="000000"/>
          <w:sz w:val="24"/>
          <w:szCs w:val="24"/>
          <w:lang w:eastAsia="ja-JP"/>
        </w:rPr>
        <w:t>Working Group on Arbitrary Detention, member from Latin American and Caribbean States</w:t>
      </w:r>
      <w:r w:rsidRPr="00A64227">
        <w:rPr>
          <w:rFonts w:eastAsia="MS Mincho"/>
          <w:color w:val="000000"/>
          <w:sz w:val="24"/>
          <w:szCs w:val="24"/>
          <w:lang w:eastAsia="ja-JP"/>
        </w:rPr>
        <w:t xml:space="preserve"> (</w:t>
      </w:r>
      <w:hyperlink r:id="rId16" w:history="1">
        <w:r w:rsidRPr="00A64227">
          <w:rPr>
            <w:rFonts w:eastAsia="MS Mincho"/>
            <w:color w:val="0000FF"/>
            <w:sz w:val="24"/>
            <w:szCs w:val="24"/>
            <w:u w:val="single"/>
            <w:lang w:eastAsia="ja-JP"/>
          </w:rPr>
          <w:t>HRC resolution 42/22</w:t>
        </w:r>
      </w:hyperlink>
      <w:r w:rsidRPr="00A64227">
        <w:rPr>
          <w:rFonts w:eastAsia="MS Mincho"/>
          <w:color w:val="000000"/>
          <w:sz w:val="24"/>
          <w:szCs w:val="24"/>
          <w:lang w:eastAsia="ja-JP"/>
        </w:rPr>
        <w:t>)</w:t>
      </w:r>
    </w:p>
    <w:p w:rsidR="002E3722" w:rsidRPr="00A64227" w:rsidRDefault="002E3722" w:rsidP="00296D35">
      <w:pPr>
        <w:numPr>
          <w:ilvl w:val="0"/>
          <w:numId w:val="25"/>
        </w:numPr>
        <w:spacing w:after="120"/>
        <w:ind w:left="576" w:hanging="288"/>
        <w:jc w:val="both"/>
        <w:rPr>
          <w:b/>
          <w:sz w:val="24"/>
          <w:szCs w:val="24"/>
        </w:rPr>
      </w:pPr>
      <w:r w:rsidRPr="00A64227">
        <w:rPr>
          <w:rFonts w:eastAsia="MS Mincho"/>
          <w:b/>
          <w:color w:val="000000"/>
          <w:sz w:val="24"/>
          <w:szCs w:val="24"/>
          <w:lang w:eastAsia="ja-JP"/>
        </w:rPr>
        <w:t>Working Group on discrimination against women and girls, member form Latin American and Caribbean States</w:t>
      </w:r>
      <w:r w:rsidRPr="00A64227">
        <w:rPr>
          <w:rFonts w:eastAsia="MS Mincho"/>
          <w:color w:val="000000"/>
          <w:sz w:val="24"/>
          <w:szCs w:val="24"/>
          <w:lang w:eastAsia="ja-JP"/>
        </w:rPr>
        <w:t xml:space="preserve"> (</w:t>
      </w:r>
      <w:hyperlink r:id="rId17" w:history="1">
        <w:r w:rsidRPr="00A64227">
          <w:rPr>
            <w:rFonts w:eastAsia="MS Mincho"/>
            <w:color w:val="0000FF"/>
            <w:sz w:val="24"/>
            <w:szCs w:val="24"/>
            <w:u w:val="single"/>
            <w:lang w:eastAsia="ja-JP"/>
          </w:rPr>
          <w:t>HRC resolution 41/6</w:t>
        </w:r>
      </w:hyperlink>
      <w:r w:rsidRPr="00A64227">
        <w:rPr>
          <w:rFonts w:eastAsia="MS Mincho"/>
          <w:color w:val="000000"/>
          <w:sz w:val="24"/>
          <w:szCs w:val="24"/>
          <w:lang w:eastAsia="ja-JP"/>
        </w:rPr>
        <w:t>)</w:t>
      </w:r>
    </w:p>
    <w:p w:rsidR="002E3722" w:rsidRPr="00A64227" w:rsidRDefault="002E3722" w:rsidP="00296D35">
      <w:pPr>
        <w:numPr>
          <w:ilvl w:val="0"/>
          <w:numId w:val="25"/>
        </w:numPr>
        <w:spacing w:after="120"/>
        <w:ind w:left="576" w:hanging="288"/>
        <w:jc w:val="both"/>
        <w:rPr>
          <w:b/>
          <w:sz w:val="24"/>
          <w:szCs w:val="24"/>
        </w:rPr>
      </w:pPr>
      <w:r w:rsidRPr="00A64227">
        <w:rPr>
          <w:rFonts w:eastAsia="MS Mincho"/>
          <w:b/>
          <w:color w:val="000000"/>
          <w:sz w:val="24"/>
          <w:szCs w:val="24"/>
          <w:lang w:eastAsia="ja-JP"/>
        </w:rPr>
        <w:t>Working Group on Enforced or Involuntary Disappearances, member from African States</w:t>
      </w:r>
      <w:r w:rsidRPr="00A64227">
        <w:rPr>
          <w:rFonts w:eastAsia="MS Mincho"/>
          <w:color w:val="000000"/>
          <w:sz w:val="24"/>
          <w:szCs w:val="24"/>
          <w:lang w:eastAsia="ja-JP"/>
        </w:rPr>
        <w:t xml:space="preserve"> (</w:t>
      </w:r>
      <w:hyperlink r:id="rId18" w:history="1">
        <w:r w:rsidRPr="00A64227">
          <w:rPr>
            <w:rFonts w:eastAsia="MS Mincho"/>
            <w:color w:val="0000FF"/>
            <w:sz w:val="24"/>
            <w:szCs w:val="24"/>
            <w:u w:val="single"/>
            <w:lang w:eastAsia="ja-JP"/>
          </w:rPr>
          <w:t>HRC resolution 36/6</w:t>
        </w:r>
      </w:hyperlink>
      <w:r w:rsidRPr="00A64227">
        <w:rPr>
          <w:rFonts w:eastAsia="MS Mincho"/>
          <w:color w:val="000000"/>
          <w:sz w:val="24"/>
          <w:szCs w:val="24"/>
          <w:lang w:eastAsia="ja-JP"/>
        </w:rPr>
        <w:t>)</w:t>
      </w:r>
      <w:r w:rsidRPr="00A64227">
        <w:rPr>
          <w:rFonts w:eastAsia="MS Mincho"/>
          <w:color w:val="000000"/>
          <w:sz w:val="24"/>
          <w:szCs w:val="24"/>
          <w:vertAlign w:val="superscript"/>
          <w:lang w:eastAsia="ja-JP"/>
        </w:rPr>
        <w:t>1</w:t>
      </w:r>
    </w:p>
    <w:p w:rsidR="002E3722" w:rsidRPr="00A64227" w:rsidRDefault="002E3722" w:rsidP="00296D35">
      <w:pPr>
        <w:numPr>
          <w:ilvl w:val="0"/>
          <w:numId w:val="25"/>
        </w:numPr>
        <w:spacing w:after="120"/>
        <w:ind w:left="576" w:hanging="288"/>
        <w:jc w:val="both"/>
        <w:rPr>
          <w:b/>
          <w:sz w:val="24"/>
          <w:szCs w:val="24"/>
        </w:rPr>
      </w:pPr>
      <w:r w:rsidRPr="00A64227">
        <w:rPr>
          <w:rFonts w:eastAsia="MS Mincho"/>
          <w:b/>
          <w:color w:val="000000"/>
          <w:sz w:val="24"/>
          <w:szCs w:val="24"/>
          <w:lang w:eastAsia="ja-JP"/>
        </w:rPr>
        <w:t xml:space="preserve">Working Group on the use of </w:t>
      </w:r>
      <w:r w:rsidRPr="00A64227">
        <w:rPr>
          <w:rFonts w:eastAsia="MS Mincho"/>
          <w:b/>
          <w:bCs/>
          <w:color w:val="000000"/>
          <w:sz w:val="24"/>
          <w:szCs w:val="24"/>
          <w:lang w:eastAsia="ja-JP"/>
        </w:rPr>
        <w:t>mercenaries</w:t>
      </w:r>
      <w:r w:rsidRPr="00A64227">
        <w:rPr>
          <w:rFonts w:eastAsia="MS Mincho"/>
          <w:b/>
          <w:color w:val="000000"/>
          <w:sz w:val="24"/>
          <w:szCs w:val="24"/>
          <w:lang w:eastAsia="ja-JP"/>
        </w:rPr>
        <w:t xml:space="preserve"> as a means of violating human rights and impeding the exercise of the right of peoples to self-determination, member from Asia-Pacific States</w:t>
      </w:r>
      <w:r w:rsidRPr="00A64227">
        <w:rPr>
          <w:rFonts w:eastAsia="MS Mincho"/>
          <w:color w:val="000000"/>
          <w:sz w:val="24"/>
          <w:szCs w:val="24"/>
          <w:lang w:eastAsia="ja-JP"/>
        </w:rPr>
        <w:t xml:space="preserve"> (</w:t>
      </w:r>
      <w:hyperlink r:id="rId19" w:history="1">
        <w:r w:rsidRPr="00A64227">
          <w:rPr>
            <w:rFonts w:eastAsia="MS Mincho"/>
            <w:color w:val="0000FF"/>
            <w:sz w:val="24"/>
            <w:szCs w:val="24"/>
            <w:u w:val="single"/>
            <w:lang w:eastAsia="ja-JP"/>
          </w:rPr>
          <w:t>HRC resolution 42/9</w:t>
        </w:r>
      </w:hyperlink>
      <w:r w:rsidRPr="00A64227">
        <w:rPr>
          <w:rFonts w:eastAsia="MS Mincho"/>
          <w:color w:val="000000"/>
          <w:sz w:val="24"/>
          <w:szCs w:val="24"/>
          <w:lang w:eastAsia="ja-JP"/>
        </w:rPr>
        <w:t>)</w:t>
      </w:r>
    </w:p>
    <w:p w:rsidR="002E3722" w:rsidRPr="00A64227" w:rsidRDefault="002E3722" w:rsidP="002E3722">
      <w:pPr>
        <w:jc w:val="both"/>
        <w:rPr>
          <w:sz w:val="24"/>
          <w:szCs w:val="24"/>
        </w:rPr>
      </w:pPr>
    </w:p>
    <w:p w:rsidR="002E3722" w:rsidRPr="002E3722" w:rsidRDefault="002E3722" w:rsidP="002E3722">
      <w:pPr>
        <w:ind w:firstLine="851"/>
        <w:jc w:val="both"/>
        <w:rPr>
          <w:sz w:val="24"/>
          <w:szCs w:val="24"/>
        </w:rPr>
      </w:pPr>
      <w:r w:rsidRPr="00A64227">
        <w:rPr>
          <w:sz w:val="24"/>
          <w:szCs w:val="24"/>
        </w:rPr>
        <w:t xml:space="preserve">Individual applications, including a motivation letter, must be submitted and received by </w:t>
      </w:r>
      <w:r w:rsidR="00CF04C9">
        <w:rPr>
          <w:b/>
          <w:bCs/>
          <w:sz w:val="24"/>
          <w:szCs w:val="24"/>
          <w:u w:val="single"/>
        </w:rPr>
        <w:t>30</w:t>
      </w:r>
      <w:r w:rsidRPr="00A64227">
        <w:rPr>
          <w:b/>
          <w:bCs/>
          <w:sz w:val="24"/>
          <w:szCs w:val="24"/>
          <w:u w:val="single"/>
        </w:rPr>
        <w:t xml:space="preserve"> July 2020</w:t>
      </w:r>
      <w:r w:rsidRPr="00A64227">
        <w:rPr>
          <w:b/>
          <w:sz w:val="24"/>
          <w:szCs w:val="24"/>
          <w:u w:val="single"/>
        </w:rPr>
        <w:t xml:space="preserve"> (12 noon Greenwich Mean Time / GMT)</w:t>
      </w:r>
      <w:r w:rsidRPr="00A64227">
        <w:rPr>
          <w:b/>
          <w:sz w:val="24"/>
          <w:szCs w:val="24"/>
        </w:rPr>
        <w:t xml:space="preserve"> </w:t>
      </w:r>
      <w:r w:rsidRPr="00A64227">
        <w:rPr>
          <w:sz w:val="24"/>
          <w:szCs w:val="24"/>
        </w:rPr>
        <w:t xml:space="preserve">through the on-line application procedure, which consists of (1) an online survey and (2) an application form in Word format. Updated information on the selection and appointment procedure is available at the following web page: </w:t>
      </w:r>
      <w:hyperlink r:id="rId20" w:history="1">
        <w:r w:rsidRPr="00A64227">
          <w:rPr>
            <w:rStyle w:val="Hyperlink"/>
            <w:sz w:val="24"/>
            <w:szCs w:val="24"/>
          </w:rPr>
          <w:t>https://www.ohchr.org/EN/HRBodies/HRC/SP/Pages/Nominations.aspx</w:t>
        </w:r>
      </w:hyperlink>
      <w:r w:rsidRPr="00A64227">
        <w:rPr>
          <w:sz w:val="24"/>
          <w:szCs w:val="24"/>
        </w:rPr>
        <w:t xml:space="preserve"> </w:t>
      </w:r>
    </w:p>
    <w:p w:rsidR="002E3722" w:rsidRPr="00A64227" w:rsidRDefault="002E3722" w:rsidP="002E3722">
      <w:pPr>
        <w:ind w:firstLine="851"/>
        <w:rPr>
          <w:sz w:val="24"/>
          <w:szCs w:val="24"/>
        </w:rPr>
      </w:pPr>
    </w:p>
    <w:p w:rsidR="002E3722" w:rsidRPr="00A64227" w:rsidRDefault="002E3722" w:rsidP="002E3722">
      <w:pPr>
        <w:ind w:firstLine="851"/>
        <w:jc w:val="both"/>
        <w:rPr>
          <w:sz w:val="24"/>
          <w:szCs w:val="24"/>
        </w:rPr>
      </w:pPr>
      <w:r w:rsidRPr="00A64227">
        <w:rPr>
          <w:sz w:val="24"/>
          <w:szCs w:val="24"/>
        </w:rPr>
        <w:t>In case of technical difficulties, the Secretariat may be contacted by email at</w:t>
      </w:r>
      <w:r w:rsidRPr="00A64227">
        <w:rPr>
          <w:b/>
          <w:color w:val="094EE7"/>
          <w:sz w:val="24"/>
          <w:szCs w:val="24"/>
        </w:rPr>
        <w:t xml:space="preserve"> </w:t>
      </w:r>
      <w:hyperlink r:id="rId21" w:history="1">
        <w:r w:rsidRPr="00A64227">
          <w:rPr>
            <w:rStyle w:val="Hyperlink"/>
            <w:sz w:val="24"/>
            <w:szCs w:val="24"/>
          </w:rPr>
          <w:t>hrcspecialprocedures@ohchr.org</w:t>
        </w:r>
      </w:hyperlink>
      <w:r w:rsidRPr="00A64227">
        <w:rPr>
          <w:color w:val="094EE7"/>
          <w:sz w:val="24"/>
          <w:szCs w:val="24"/>
        </w:rPr>
        <w:t>.</w:t>
      </w:r>
    </w:p>
    <w:p w:rsidR="002E3722" w:rsidRPr="00A64227" w:rsidRDefault="002E3722" w:rsidP="002E3722">
      <w:pPr>
        <w:ind w:firstLine="851"/>
        <w:rPr>
          <w:color w:val="094EE7"/>
          <w:sz w:val="24"/>
          <w:szCs w:val="24"/>
        </w:rPr>
      </w:pPr>
    </w:p>
    <w:p w:rsidR="002E3722" w:rsidRPr="00A64227" w:rsidRDefault="002E3722" w:rsidP="002E3722">
      <w:pPr>
        <w:ind w:firstLine="851"/>
        <w:jc w:val="both"/>
        <w:rPr>
          <w:sz w:val="24"/>
          <w:szCs w:val="24"/>
        </w:rPr>
      </w:pPr>
      <w:r w:rsidRPr="00A64227">
        <w:rPr>
          <w:sz w:val="24"/>
          <w:szCs w:val="24"/>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rsidR="002E3722" w:rsidRPr="00A64227" w:rsidRDefault="002E3722" w:rsidP="002E3722">
      <w:pPr>
        <w:jc w:val="both"/>
        <w:rPr>
          <w:sz w:val="24"/>
          <w:szCs w:val="24"/>
        </w:rPr>
      </w:pPr>
    </w:p>
    <w:p w:rsidR="00C82CCE" w:rsidRPr="002E3722" w:rsidRDefault="00CF04C9" w:rsidP="004009C2">
      <w:pPr>
        <w:jc w:val="right"/>
      </w:pPr>
      <w:r>
        <w:rPr>
          <w:sz w:val="24"/>
          <w:szCs w:val="24"/>
        </w:rPr>
        <w:t>22</w:t>
      </w:r>
      <w:bookmarkStart w:id="0" w:name="_GoBack"/>
      <w:bookmarkEnd w:id="0"/>
      <w:r w:rsidR="002E3722" w:rsidRPr="00A64227">
        <w:rPr>
          <w:sz w:val="24"/>
          <w:szCs w:val="24"/>
        </w:rPr>
        <w:t xml:space="preserve"> June 2020</w:t>
      </w:r>
    </w:p>
    <w:sectPr w:rsidR="00C82CCE" w:rsidRPr="002E3722" w:rsidSect="004009C2">
      <w:headerReference w:type="default" r:id="rId22"/>
      <w:footerReference w:type="default" r:id="rId23"/>
      <w:headerReference w:type="first" r:id="rId24"/>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 w:id="1">
    <w:p w:rsidR="002E3722" w:rsidRPr="005A07CB" w:rsidRDefault="002E3722" w:rsidP="002E3722">
      <w:pPr>
        <w:pStyle w:val="FootnoteText"/>
        <w:jc w:val="both"/>
        <w:rPr>
          <w:sz w:val="22"/>
          <w:szCs w:val="22"/>
        </w:rPr>
      </w:pPr>
      <w:r w:rsidRPr="005A07CB">
        <w:rPr>
          <w:rStyle w:val="FootnoteReference"/>
          <w:sz w:val="22"/>
          <w:szCs w:val="22"/>
        </w:rPr>
        <w:footnoteRef/>
      </w:r>
      <w:r w:rsidRPr="005A07CB">
        <w:rPr>
          <w:sz w:val="22"/>
          <w:szCs w:val="22"/>
        </w:rPr>
        <w:t xml:space="preserve"> The appointment of these </w:t>
      </w:r>
      <w:r>
        <w:rPr>
          <w:sz w:val="22"/>
          <w:szCs w:val="22"/>
        </w:rPr>
        <w:t xml:space="preserve">special procedure </w:t>
      </w:r>
      <w:r w:rsidRPr="005A07CB">
        <w:rPr>
          <w:sz w:val="22"/>
          <w:szCs w:val="22"/>
        </w:rPr>
        <w:t xml:space="preserve">mandate holders will be made provided the mandates themselves are extended by the Human Rights Council.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4009C2">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96D35" w:rsidRDefault="00440E30" w:rsidP="002E3722">
    <w:pPr>
      <w:pStyle w:val="Header"/>
      <w:tabs>
        <w:tab w:val="clear" w:pos="4153"/>
        <w:tab w:val="clear" w:pos="8306"/>
        <w:tab w:val="right" w:pos="3686"/>
        <w:tab w:val="left" w:pos="5812"/>
      </w:tabs>
      <w:spacing w:before="80" w:after="360"/>
      <w:jc w:val="center"/>
      <w:rPr>
        <w:sz w:val="14"/>
        <w:szCs w:val="14"/>
        <w:lang w:val="fr-CH"/>
      </w:rPr>
    </w:pPr>
    <w:r w:rsidRPr="00296D35">
      <w:rPr>
        <w:sz w:val="14"/>
        <w:szCs w:val="14"/>
        <w:lang w:val="fr-CH"/>
      </w:rPr>
      <w:t>www.ohc</w:t>
    </w:r>
    <w:r w:rsidR="00CD1C98" w:rsidRPr="00296D35">
      <w:rPr>
        <w:sz w:val="14"/>
        <w:szCs w:val="14"/>
        <w:lang w:val="fr-CH"/>
      </w:rPr>
      <w:t xml:space="preserve">hr.org • </w:t>
    </w:r>
    <w:r w:rsidR="00083BD0" w:rsidRPr="00296D35">
      <w:rPr>
        <w:sz w:val="14"/>
        <w:szCs w:val="14"/>
        <w:lang w:val="fr-CH"/>
      </w:rPr>
      <w:t xml:space="preserve">FAX: </w:t>
    </w:r>
    <w:r w:rsidR="000E197C" w:rsidRPr="00296D35">
      <w:rPr>
        <w:sz w:val="14"/>
        <w:szCs w:val="14"/>
        <w:lang w:val="fr-CH"/>
      </w:rPr>
      <w:t xml:space="preserve">+41 22 917 9008 • E-MAIL: </w:t>
    </w:r>
    <w:r w:rsidR="002E3722" w:rsidRPr="00296D35">
      <w:rPr>
        <w:sz w:val="14"/>
        <w:szCs w:val="14"/>
        <w:lang w:val="fr-CH"/>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1772BD4"/>
    <w:multiLevelType w:val="hybridMultilevel"/>
    <w:tmpl w:val="C45C92F0"/>
    <w:lvl w:ilvl="0" w:tplc="781C2C4C">
      <w:start w:val="1"/>
      <w:numFmt w:val="decimal"/>
      <w:lvlText w:val="%1."/>
      <w:lvlJc w:val="left"/>
      <w:pPr>
        <w:ind w:left="360" w:hanging="360"/>
      </w:pPr>
      <w:rPr>
        <w:b/>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23761"/>
    <w:rsid w:val="00335FB9"/>
    <w:rsid w:val="00356299"/>
    <w:rsid w:val="00361113"/>
    <w:rsid w:val="00396E4C"/>
    <w:rsid w:val="00397748"/>
    <w:rsid w:val="003A3957"/>
    <w:rsid w:val="003B269D"/>
    <w:rsid w:val="003C37C3"/>
    <w:rsid w:val="003D3D66"/>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84F09"/>
    <w:rsid w:val="00B84F46"/>
    <w:rsid w:val="00BA09BA"/>
    <w:rsid w:val="00BD6119"/>
    <w:rsid w:val="00BD71DF"/>
    <w:rsid w:val="00BE1715"/>
    <w:rsid w:val="00C12BED"/>
    <w:rsid w:val="00C23DDD"/>
    <w:rsid w:val="00C35851"/>
    <w:rsid w:val="00C55DF5"/>
    <w:rsid w:val="00C64254"/>
    <w:rsid w:val="00C74811"/>
    <w:rsid w:val="00C772EF"/>
    <w:rsid w:val="00C82CCE"/>
    <w:rsid w:val="00CB1C6E"/>
    <w:rsid w:val="00CC5BEF"/>
    <w:rsid w:val="00CD1C98"/>
    <w:rsid w:val="00CE18A9"/>
    <w:rsid w:val="00CF04C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2F7E"/>
    <w:rsid w:val="00DD4909"/>
    <w:rsid w:val="00DE0614"/>
    <w:rsid w:val="00DE3254"/>
    <w:rsid w:val="00DF21B7"/>
    <w:rsid w:val="00E033EA"/>
    <w:rsid w:val="00E15347"/>
    <w:rsid w:val="00E25CDA"/>
    <w:rsid w:val="00E410AD"/>
    <w:rsid w:val="00E550E4"/>
    <w:rsid w:val="00E60057"/>
    <w:rsid w:val="00E679E8"/>
    <w:rsid w:val="00E70962"/>
    <w:rsid w:val="00E82AB3"/>
    <w:rsid w:val="00E977BA"/>
    <w:rsid w:val="00EA6B3E"/>
    <w:rsid w:val="00EE5BA8"/>
    <w:rsid w:val="00EF0062"/>
    <w:rsid w:val="00F006B5"/>
    <w:rsid w:val="00F0632F"/>
    <w:rsid w:val="00F20492"/>
    <w:rsid w:val="00F207CC"/>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F39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A/HRC/RES/42/5" TargetMode="External"/><Relationship Id="rId18" Type="http://schemas.openxmlformats.org/officeDocument/2006/relationships/hyperlink" Target="https://undocs.org/en/A/HRC/RES/3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cspecialprocedures@ohchr.org" TargetMode="External"/><Relationship Id="rId7" Type="http://schemas.openxmlformats.org/officeDocument/2006/relationships/styles" Target="styles.xml"/><Relationship Id="rId12" Type="http://schemas.openxmlformats.org/officeDocument/2006/relationships/hyperlink" Target="https://undocs.org/en/A/HRC/RES/42/35" TargetMode="External"/><Relationship Id="rId17" Type="http://schemas.openxmlformats.org/officeDocument/2006/relationships/hyperlink" Target="https://undocs.org/en/A/HRC/RES/4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en/A/HRC/RES/42/22" TargetMode="External"/><Relationship Id="rId20" Type="http://schemas.openxmlformats.org/officeDocument/2006/relationships/hyperlink" Target="https://www.ohchr.org/EN/HRBodies/HRC/SP/Pages/Nomination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undocs.org/en/A/HRC/RES/42/22"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ndocs.org/en/A/HRC/RES/42/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n/A/HRC/RES/35/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21b3d08-a5e2-4f02-8982-bc11301f3769"/>
    <ds:schemaRef ds:uri="http://schemas.microsoft.com/sharepoint/v3"/>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F68ACE1E-C972-4101-A9AB-5A62EADD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2581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2922</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2020-06-21T20:45:00Z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