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9132" w14:textId="77777777" w:rsidR="00596091" w:rsidRPr="00775A80" w:rsidRDefault="00D95DF1" w:rsidP="00596091">
      <w:pPr>
        <w:jc w:val="center"/>
        <w:rPr>
          <w:rFonts w:ascii="Arial" w:hAnsi="Arial" w:cs="Arial"/>
          <w:b/>
          <w:color w:val="262626"/>
          <w:sz w:val="20"/>
          <w:szCs w:val="20"/>
          <w:lang w:bidi="en-US"/>
        </w:rPr>
      </w:pPr>
      <w:r w:rsidRPr="00775A80">
        <w:rPr>
          <w:rFonts w:ascii="Arial" w:hAnsi="Arial" w:cs="Arial"/>
          <w:b/>
          <w:color w:val="262626"/>
          <w:sz w:val="20"/>
          <w:szCs w:val="20"/>
          <w:lang w:bidi="en-US"/>
        </w:rPr>
        <w:t>NPM</w:t>
      </w:r>
      <w:r w:rsidRPr="00775A80">
        <w:rPr>
          <w:rStyle w:val="FootnoteReference"/>
          <w:rFonts w:ascii="Arial" w:hAnsi="Arial" w:cs="Arial"/>
          <w:b/>
          <w:color w:val="262626"/>
          <w:sz w:val="20"/>
          <w:szCs w:val="20"/>
          <w:lang w:bidi="en-US"/>
        </w:rPr>
        <w:footnoteReference w:id="1"/>
      </w:r>
      <w:r w:rsidRPr="00775A80">
        <w:rPr>
          <w:rFonts w:ascii="Arial" w:hAnsi="Arial" w:cs="Arial"/>
          <w:b/>
          <w:color w:val="262626"/>
          <w:sz w:val="20"/>
          <w:szCs w:val="20"/>
          <w:lang w:bidi="en-US"/>
        </w:rPr>
        <w:t xml:space="preserve"> </w:t>
      </w:r>
      <w:r w:rsidR="00082AE5">
        <w:rPr>
          <w:rFonts w:ascii="Arial" w:hAnsi="Arial" w:cs="Arial"/>
          <w:b/>
          <w:color w:val="262626"/>
          <w:sz w:val="20"/>
          <w:szCs w:val="20"/>
          <w:lang w:bidi="en-US"/>
        </w:rPr>
        <w:t>A</w:t>
      </w:r>
      <w:r w:rsidR="00596091" w:rsidRPr="00775A80">
        <w:rPr>
          <w:rFonts w:ascii="Arial" w:hAnsi="Arial" w:cs="Arial"/>
          <w:b/>
          <w:color w:val="262626"/>
          <w:sz w:val="20"/>
          <w:szCs w:val="20"/>
          <w:lang w:bidi="en-US"/>
        </w:rPr>
        <w:t>ssessment</w:t>
      </w:r>
      <w:r w:rsidR="001E3D82" w:rsidRPr="00775A80">
        <w:rPr>
          <w:rFonts w:ascii="Arial" w:hAnsi="Arial" w:cs="Arial"/>
          <w:b/>
          <w:color w:val="262626"/>
          <w:sz w:val="20"/>
          <w:szCs w:val="20"/>
          <w:lang w:bidi="en-US"/>
        </w:rPr>
        <w:t xml:space="preserve"> </w:t>
      </w:r>
      <w:r w:rsidR="0052196B" w:rsidRPr="00775A80">
        <w:rPr>
          <w:rFonts w:ascii="Arial" w:hAnsi="Arial" w:cs="Arial"/>
          <w:b/>
          <w:color w:val="262626"/>
          <w:sz w:val="20"/>
          <w:szCs w:val="20"/>
          <w:lang w:bidi="en-US"/>
        </w:rPr>
        <w:t>matrix</w:t>
      </w:r>
      <w:r w:rsidR="0021609F">
        <w:rPr>
          <w:rFonts w:ascii="Arial" w:hAnsi="Arial" w:cs="Arial"/>
          <w:b/>
          <w:color w:val="262626"/>
          <w:sz w:val="20"/>
          <w:szCs w:val="20"/>
          <w:lang w:bidi="en-US"/>
        </w:rPr>
        <w:t xml:space="preserve"> for States</w:t>
      </w:r>
    </w:p>
    <w:p w14:paraId="5A78FCD6" w14:textId="77777777" w:rsidR="00034D3E" w:rsidRDefault="00034D3E" w:rsidP="00520486">
      <w:pPr>
        <w:rPr>
          <w:rFonts w:ascii="Arial" w:hAnsi="Arial" w:cs="Arial"/>
          <w:sz w:val="20"/>
          <w:szCs w:val="20"/>
          <w:lang w:val="en-GB"/>
        </w:rPr>
      </w:pPr>
    </w:p>
    <w:p w14:paraId="6E887721" w14:textId="77777777" w:rsidR="005B61C1" w:rsidRPr="00775A80" w:rsidRDefault="005B61C1" w:rsidP="00520486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850"/>
        <w:gridCol w:w="3782"/>
        <w:gridCol w:w="1536"/>
        <w:gridCol w:w="732"/>
        <w:gridCol w:w="850"/>
        <w:gridCol w:w="709"/>
        <w:gridCol w:w="6378"/>
        <w:gridCol w:w="36"/>
      </w:tblGrid>
      <w:tr w:rsidR="00087EA8" w:rsidRPr="00775A80" w14:paraId="1449184C" w14:textId="77777777" w:rsidTr="0069576A">
        <w:trPr>
          <w:cantSplit/>
          <w:jc w:val="center"/>
        </w:trPr>
        <w:tc>
          <w:tcPr>
            <w:tcW w:w="850" w:type="dxa"/>
            <w:shd w:val="clear" w:color="auto" w:fill="FFFF99"/>
          </w:tcPr>
          <w:p w14:paraId="044F2195" w14:textId="77777777" w:rsidR="00087EA8" w:rsidRDefault="00087EA8" w:rsidP="00BF5F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023" w:type="dxa"/>
            <w:gridSpan w:val="7"/>
            <w:shd w:val="clear" w:color="auto" w:fill="FFFF99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AC7F684" w14:textId="77777777" w:rsidR="00087EA8" w:rsidRPr="00775A80" w:rsidRDefault="00087EA8" w:rsidP="00BF5F65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Introduction</w:t>
            </w:r>
          </w:p>
        </w:tc>
      </w:tr>
      <w:tr w:rsidR="00087EA8" w:rsidRPr="00775A80" w14:paraId="4A8F1018" w14:textId="77777777" w:rsidTr="0069576A">
        <w:trPr>
          <w:gridAfter w:val="1"/>
          <w:wAfter w:w="36" w:type="dxa"/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5335D647" w14:textId="77777777" w:rsidR="00087EA8" w:rsidRPr="00775A80" w:rsidRDefault="00087EA8" w:rsidP="005204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36" w:type="dxa"/>
          </w:tcPr>
          <w:p w14:paraId="536A443F" w14:textId="77777777" w:rsidR="00087EA8" w:rsidRPr="00775A80" w:rsidRDefault="00087EA8" w:rsidP="0052048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ASSESSSMENT TOOL PARAGRAPH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2EC918A7" w14:textId="77777777" w:rsidR="00087EA8" w:rsidRPr="00775A80" w:rsidRDefault="00087EA8" w:rsidP="0052048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73C38A7E" w14:textId="77777777" w:rsidR="00087EA8" w:rsidRPr="00775A80" w:rsidRDefault="00087EA8" w:rsidP="00BF5F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Partial</w:t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2FA4FD15" w14:textId="77777777" w:rsidR="00087EA8" w:rsidRPr="00775A80" w:rsidRDefault="00087EA8" w:rsidP="0052048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b/>
                <w:sz w:val="20"/>
                <w:szCs w:val="20"/>
                <w:lang w:val="es-ES"/>
              </w:rPr>
              <w:t>YES</w:t>
            </w:r>
          </w:p>
        </w:tc>
        <w:tc>
          <w:tcPr>
            <w:tcW w:w="6378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678DEB77" w14:textId="77777777" w:rsidR="00087EA8" w:rsidRPr="00775A80" w:rsidRDefault="00087EA8" w:rsidP="005204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b/>
                <w:sz w:val="20"/>
                <w:szCs w:val="20"/>
                <w:lang w:val="es-ES"/>
              </w:rPr>
              <w:t>Comments</w:t>
            </w:r>
          </w:p>
        </w:tc>
      </w:tr>
      <w:tr w:rsidR="00087EA8" w:rsidRPr="00775A80" w14:paraId="75F77002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D6936B7" w14:textId="1A15627D" w:rsidR="00087EA8" w:rsidRPr="00775A80" w:rsidRDefault="00087EA8" w:rsidP="00720A4C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Is 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education and information regarding the prohibition against torture fully included in the training of any personnel who might be involved in depriving persons of their </w:t>
            </w:r>
            <w:bookmarkStart w:id="0" w:name="_GoBack"/>
            <w:bookmarkEnd w:id="0"/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liberty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78650E0D" w14:textId="77777777" w:rsidR="00087EA8" w:rsidRPr="00775A80" w:rsidRDefault="00087EA8" w:rsidP="005204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411DB3">
              <w:rPr>
                <w:rFonts w:ascii="Arial" w:hAnsi="Arial" w:cs="Arial"/>
                <w:sz w:val="20"/>
                <w:szCs w:val="20"/>
                <w:lang w:val="es-ES"/>
              </w:rPr>
              <w:t xml:space="preserve"> and 9.5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7D9076D" w14:textId="77777777" w:rsidR="00087EA8" w:rsidRPr="00775A80" w:rsidRDefault="00087EA8" w:rsidP="005204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BFEC06E" w14:textId="77777777" w:rsidR="00087EA8" w:rsidRPr="00775A80" w:rsidRDefault="00087EA8" w:rsidP="005204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7292204" w14:textId="77777777" w:rsidR="00087EA8" w:rsidRPr="00775A80" w:rsidRDefault="00087EA8" w:rsidP="005204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00AB611" w14:textId="77777777" w:rsidR="00087EA8" w:rsidRPr="00775A80" w:rsidRDefault="00087EA8" w:rsidP="00520486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87EA8" w:rsidRPr="00775A80" w14:paraId="0E08262D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090E1A8" w14:textId="77777777" w:rsidR="00087EA8" w:rsidRPr="005C3782" w:rsidRDefault="00087EA8" w:rsidP="00697E4F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Is the prohibition of torture, cruel, inhuman and degrading treatment and punishment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included in the working regulations of such personnel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412DB748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1DD296A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C8A7C54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7D0A4E5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529AC4" w14:textId="77777777" w:rsidR="00087EA8" w:rsidRPr="00775A80" w:rsidRDefault="00087EA8" w:rsidP="001E3D82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7EA8" w:rsidRPr="00775A80" w14:paraId="3F69324F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9AD3F12" w14:textId="77777777" w:rsidR="00087EA8" w:rsidRPr="00775A80" w:rsidRDefault="00087EA8" w:rsidP="00697E4F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Are 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all methods and processes of taking the libert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y and freedom of a person 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systematically reviewed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3659949E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5A74DA3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E5A30B2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50AE546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E0A6249" w14:textId="77777777" w:rsidR="00087EA8" w:rsidRPr="00775A80" w:rsidRDefault="00087EA8" w:rsidP="001E3D82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7EA8" w:rsidRPr="00775A80" w14:paraId="20A69452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1BBC57C" w14:textId="77777777" w:rsidR="00087EA8" w:rsidRPr="00697E4F" w:rsidRDefault="00087EA8" w:rsidP="00512F2D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Does the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State Party guarantee the organisational and functional independence of the NPM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5B93F625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656C9F3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A8E4751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F52D8AD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84F2E0D" w14:textId="77777777" w:rsidR="00087EA8" w:rsidRPr="00775A80" w:rsidRDefault="00087EA8" w:rsidP="001E3D82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7EA8" w:rsidRPr="00775A80" w14:paraId="56FD1F12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7956806" w14:textId="0B554D8D" w:rsidR="004F5DE3" w:rsidRPr="0069576A" w:rsidRDefault="00087EA8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Has the State Party provided the NPM 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with the necessary</w:t>
            </w:r>
            <w:r w:rsidR="004F5DE3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, sufficient and appropriate 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resources to enable it to carry out its functions in accordance wit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h the requirements of the OPCAT?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</w:t>
            </w:r>
          </w:p>
        </w:tc>
        <w:tc>
          <w:tcPr>
            <w:tcW w:w="1536" w:type="dxa"/>
          </w:tcPr>
          <w:p w14:paraId="79C48877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3B438B7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3F08525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D30ACEA" w14:textId="77777777" w:rsidR="00087EA8" w:rsidRPr="00775A80" w:rsidRDefault="00087EA8" w:rsidP="00E856F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F6669FF" w14:textId="77777777" w:rsidR="00087EA8" w:rsidRPr="00775A80" w:rsidRDefault="00087EA8" w:rsidP="001E3D82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5282E497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73D3F6C" w14:textId="3BB9D30C" w:rsidR="0069576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</w:pPr>
            <w:r w:rsidRPr="0069576A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Has resourcing been done in cooperation with the NPM, hearing its actual needs and estimations?</w:t>
            </w:r>
          </w:p>
        </w:tc>
        <w:tc>
          <w:tcPr>
            <w:tcW w:w="1536" w:type="dxa"/>
          </w:tcPr>
          <w:p w14:paraId="33B6F7FD" w14:textId="77777777" w:rsidR="0069576A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D547204" w14:textId="09ADFF9B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BA6B367" w14:textId="733388FD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53D8036" w14:textId="1B1B4E25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36C72F4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3151F09A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79DE1A9" w14:textId="77777777" w:rsidR="0069576A" w:rsidRPr="005C3782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lastRenderedPageBreak/>
              <w:t>Does t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he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State Party </w:t>
            </w:r>
            <w:r w:rsidRPr="00697E4F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r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efrain from supervising the NPM?</w:t>
            </w:r>
          </w:p>
          <w:p w14:paraId="0EE6EE5C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</w:p>
        </w:tc>
        <w:tc>
          <w:tcPr>
            <w:tcW w:w="1536" w:type="dxa"/>
          </w:tcPr>
          <w:p w14:paraId="4C52EA5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3F581F9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C87E9ED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525F2F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BE73E68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51DB229A" w14:textId="77777777" w:rsidTr="0069576A">
        <w:trPr>
          <w:cantSplit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F880F1A" w14:textId="77777777" w:rsidR="0069576A" w:rsidRPr="000D3277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Does the </w:t>
            </w:r>
            <w:r w:rsidRPr="00170CD2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NPM have the capacity to operate in conformity with the principles relevant to the status of national institutions for the promotion and protection of human rights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(Paris Principles)</w:t>
            </w:r>
            <w:r>
              <w:rPr>
                <w:rStyle w:val="FootnoteReference"/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footnoteReference w:id="2"/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30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DBF421E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D5870C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4EB9A7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D91EA6D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6C8FBC6E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2B1A00B" w14:textId="75E0C033" w:rsidR="0069576A" w:rsidRPr="00BE28A9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Is </w:t>
            </w:r>
            <w:r w:rsidRPr="00BE28A9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the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SP </w:t>
            </w:r>
            <w:r w:rsidRPr="00BE28A9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maintain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ing</w:t>
            </w:r>
            <w:r w:rsidRPr="00BE28A9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direct, contact with the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SPT?</w:t>
            </w:r>
          </w:p>
        </w:tc>
        <w:tc>
          <w:tcPr>
            <w:tcW w:w="1536" w:type="dxa"/>
          </w:tcPr>
          <w:p w14:paraId="335591F9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4CDDE5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8D7842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EF4954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80F4325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658CD190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13CA791" w14:textId="77777777" w:rsidR="0069576A" w:rsidRPr="005C3782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>Does the State Party systematically and periodically carry out self-evaluation of its obligations with respect to the NPM?</w:t>
            </w:r>
          </w:p>
        </w:tc>
        <w:tc>
          <w:tcPr>
            <w:tcW w:w="1536" w:type="dxa"/>
          </w:tcPr>
          <w:p w14:paraId="6EF55D2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604C969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0AFAC5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E746937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2F53F5F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0DBC02A5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BB0DF61" w14:textId="50E65B91" w:rsidR="0069576A" w:rsidRPr="00CD1502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 xml:space="preserve">Does the SP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engage</w:t>
            </w:r>
            <w:r w:rsidRPr="0082713E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in a meaningful process of dialogue with the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NPM</w:t>
            </w:r>
            <w:r w:rsidRPr="0082713E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concerning the implementation of any recommendations made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by the latter?</w:t>
            </w:r>
          </w:p>
        </w:tc>
        <w:tc>
          <w:tcPr>
            <w:tcW w:w="1536" w:type="dxa"/>
          </w:tcPr>
          <w:p w14:paraId="5B76652D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9.1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814607D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0C67FE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A251790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C059899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13D4F6F4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B2052A" w14:textId="7D1C2D11" w:rsidR="0069576A" w:rsidRDefault="0069576A" w:rsidP="008416E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SP seek </w:t>
            </w:r>
            <w:r w:rsidR="008416EE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NPM</w:t>
            </w:r>
            <w:r w:rsidR="008416EE">
              <w:rPr>
                <w:rFonts w:ascii="Arial" w:hAnsi="Arial" w:cs="Arial"/>
                <w:sz w:val="20"/>
                <w:szCs w:val="20"/>
                <w:lang w:val="en-GB"/>
              </w:rPr>
              <w:t>’s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contribution </w:t>
            </w:r>
            <w:r w:rsidRPr="006C5375">
              <w:rPr>
                <w:rFonts w:ascii="Arial" w:hAnsi="Arial" w:cs="Arial"/>
                <w:sz w:val="20"/>
                <w:szCs w:val="20"/>
                <w:lang w:val="en-GB"/>
              </w:rPr>
              <w:t>to the reports which States Parties are required to submit to United Nations bodies and committees, and to regional institutions, pursuant to their treaty obligations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1536" w:type="dxa"/>
          </w:tcPr>
          <w:p w14:paraId="117D08A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9.8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4C2CEA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07FD06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26A446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1CDEB9E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141ECC0D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C129DFE" w14:textId="77777777" w:rsidR="0069576A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</w:tcPr>
          <w:p w14:paraId="214411A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673C8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2897AE7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F3CDFC8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620320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561A0C2C" w14:textId="77777777" w:rsidTr="0069576A">
        <w:trPr>
          <w:cantSplit/>
          <w:jc w:val="center"/>
        </w:trPr>
        <w:tc>
          <w:tcPr>
            <w:tcW w:w="850" w:type="dxa"/>
            <w:shd w:val="clear" w:color="auto" w:fill="FFFF99"/>
          </w:tcPr>
          <w:p w14:paraId="7C86D800" w14:textId="77777777" w:rsidR="0069576A" w:rsidRDefault="0069576A" w:rsidP="0069576A">
            <w:pPr>
              <w:keepNext/>
              <w:spacing w:before="60" w:after="60"/>
              <w:rPr>
                <w:rFonts w:ascii="Arial" w:hAnsi="Arial" w:cs="Arial"/>
                <w:b/>
                <w:color w:val="262626"/>
                <w:sz w:val="20"/>
                <w:szCs w:val="20"/>
                <w:lang w:bidi="en-US"/>
              </w:rPr>
            </w:pPr>
          </w:p>
        </w:tc>
        <w:tc>
          <w:tcPr>
            <w:tcW w:w="14023" w:type="dxa"/>
            <w:gridSpan w:val="7"/>
            <w:shd w:val="clear" w:color="auto" w:fill="FFFF99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C196A90" w14:textId="77777777" w:rsidR="0069576A" w:rsidRPr="00775A80" w:rsidRDefault="0069576A" w:rsidP="0069576A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bidi="en-US"/>
              </w:rPr>
              <w:t>Organisation of the NPM</w:t>
            </w:r>
          </w:p>
        </w:tc>
      </w:tr>
      <w:tr w:rsidR="0069576A" w:rsidRPr="00775A80" w14:paraId="66938AD8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4051E979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b/>
                <w:color w:val="262626"/>
                <w:sz w:val="20"/>
                <w:szCs w:val="20"/>
                <w:lang w:bidi="en-US"/>
              </w:rPr>
              <w:t>Factors to evaluate</w:t>
            </w:r>
          </w:p>
        </w:tc>
        <w:tc>
          <w:tcPr>
            <w:tcW w:w="1536" w:type="dxa"/>
          </w:tcPr>
          <w:p w14:paraId="2176999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5DEF903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4A7BB38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Partial</w:t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06A3AC1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b/>
                <w:sz w:val="20"/>
                <w:szCs w:val="20"/>
                <w:lang w:val="es-ES"/>
              </w:rPr>
              <w:t>YES</w:t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500EE5D2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b/>
                <w:sz w:val="20"/>
                <w:szCs w:val="20"/>
                <w:lang w:val="es-ES"/>
              </w:rPr>
              <w:t>Comments</w:t>
            </w:r>
          </w:p>
        </w:tc>
      </w:tr>
      <w:tr w:rsidR="0069576A" w:rsidRPr="00775A80" w14:paraId="56529110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5426D57" w14:textId="77777777" w:rsidR="0069576A" w:rsidRPr="00775A80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61C1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lastRenderedPageBreak/>
              <w:t>Are the mandate and powers of the NPM clearly set forth in a constitutional or new or existing legislative text, specifying its composition and its sphere of competence?</w:t>
            </w:r>
          </w:p>
        </w:tc>
        <w:tc>
          <w:tcPr>
            <w:tcW w:w="1536" w:type="dxa"/>
          </w:tcPr>
          <w:p w14:paraId="2069798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967D82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FDB4AA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ACB81E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C43F673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3871E226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893F33F" w14:textId="77777777" w:rsidR="0069576A" w:rsidRPr="00775A80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 xml:space="preserve">Does this same constitutional text or legislation specify that </w:t>
            </w:r>
            <w:r w:rsidRPr="006024FE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the visiting mandate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of the NPM extends</w:t>
            </w:r>
            <w:r w:rsidRPr="006024FE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to all places where people are or may be deprived of their liberty, as set out in Article 4 of the OPCAT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1EE788F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37E0D60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5D3E4B6" w14:textId="77777777" w:rsidR="0069576A" w:rsidRPr="00775A80" w:rsidRDefault="0069576A" w:rsidP="0069576A">
            <w:pPr>
              <w:spacing w:before="60" w:after="60"/>
              <w:ind w:left="2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CF9BC8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3C1AF62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65EFDB93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3FD9158" w14:textId="77777777" w:rsidR="0069576A" w:rsidRPr="00775A80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Does t</w:t>
            </w:r>
            <w:r w:rsidRPr="0027602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he relevant legislation specify the period of office of the members of the NPM (for either a determined or undetermined period)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31BD7FA9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DD7540E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8C078D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AE9F068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BB8A71D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30E99929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DC780A7" w14:textId="77777777" w:rsidR="0069576A" w:rsidRPr="00775A80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Does the relevant legislation </w:t>
            </w:r>
            <w:r w:rsidRPr="0027602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specify any grounds for their dismissal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299F4FE0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FC8099B" w14:textId="77777777" w:rsidR="0069576A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18257938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0A8211F" w14:textId="77777777" w:rsidR="0069576A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7D0BA2E9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275C034" w14:textId="77777777" w:rsidR="0069576A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3A5B5299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C7C8AE7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0E0F40F0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CA57A30" w14:textId="77777777" w:rsidR="0069576A" w:rsidRPr="00775A80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 xml:space="preserve">Does the legislation </w:t>
            </w:r>
            <w:r w:rsidRPr="00CD6192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guarantee that </w:t>
            </w:r>
            <w:r w:rsidRPr="005B61C1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both the members of the NPM and its staff</w:t>
            </w:r>
            <w:r w:rsidRPr="00CD6192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enjoy such privileges and immunities as are necessary for the independent exercise of their functions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434D311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3604AC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0212922" w14:textId="77777777" w:rsidR="0069576A" w:rsidRPr="00775A80" w:rsidRDefault="0069576A" w:rsidP="0069576A">
            <w:pPr>
              <w:spacing w:before="60" w:after="60"/>
              <w:ind w:left="2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333AE5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0B4AAF4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3961DF3E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A3AF90C" w14:textId="77777777" w:rsidR="0069576A" w:rsidRPr="00B834A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 xml:space="preserve">Does the legislation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address</w:t>
            </w:r>
            <w:r w:rsidRPr="00CD6192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the issue of reprisals and other actions of such a nature against NPM members, their partners or any person who has communicated with the NPM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43713499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8FBB98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C088798" w14:textId="77777777" w:rsidR="0069576A" w:rsidRPr="00775A80" w:rsidRDefault="0069576A" w:rsidP="0069576A">
            <w:pPr>
              <w:spacing w:before="60" w:after="60"/>
              <w:ind w:left="2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E46A41E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712DAD4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114C6CFB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ABE1A66" w14:textId="77777777" w:rsidR="0069576A" w:rsidRPr="00775A80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NPM have the power to </w:t>
            </w:r>
            <w:r w:rsidRPr="006B5B9F">
              <w:rPr>
                <w:rFonts w:ascii="Arial" w:hAnsi="Arial" w:cs="Arial"/>
                <w:sz w:val="20"/>
                <w:szCs w:val="20"/>
                <w:lang w:val="en-GB"/>
              </w:rPr>
              <w:t>freely select the places of depr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6B5B9F">
              <w:rPr>
                <w:rFonts w:ascii="Arial" w:hAnsi="Arial" w:cs="Arial"/>
                <w:sz w:val="20"/>
                <w:szCs w:val="20"/>
                <w:lang w:val="en-GB"/>
              </w:rPr>
              <w:t>vation of liberty in which visits are to be carried out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1536" w:type="dxa"/>
          </w:tcPr>
          <w:p w14:paraId="6A07A2D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1FE8EE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DBC5535" w14:textId="77777777" w:rsidR="0069576A" w:rsidRPr="00775A80" w:rsidRDefault="0069576A" w:rsidP="0069576A">
            <w:pPr>
              <w:spacing w:before="60" w:after="60"/>
              <w:ind w:left="2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D1DBBAE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8B5CB7E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63AE292B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BFD823F" w14:textId="77777777" w:rsidR="0069576A" w:rsidRPr="00E81A9B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Does the NPM have the power to undertake </w:t>
            </w:r>
            <w:r w:rsidRPr="00E81A9B">
              <w:rPr>
                <w:rFonts w:ascii="Arial" w:hAnsi="Arial" w:cs="Arial"/>
                <w:sz w:val="20"/>
                <w:szCs w:val="20"/>
                <w:lang w:val="en-GB"/>
              </w:rPr>
              <w:t>the regular examination of the treatment of persons deprived of their liberty in those places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1536" w:type="dxa"/>
          </w:tcPr>
          <w:p w14:paraId="077A730C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F9C43C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E076B8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637337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EBDD556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7D5782A3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B6E4A29" w14:textId="77777777" w:rsidR="0069576A" w:rsidRPr="00E81A9B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Does the NPM have the power to determine the timing of such visits?</w:t>
            </w:r>
          </w:p>
        </w:tc>
        <w:tc>
          <w:tcPr>
            <w:tcW w:w="1536" w:type="dxa"/>
          </w:tcPr>
          <w:p w14:paraId="411FE42E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F81980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9B1D37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09E8AD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52FFF06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2500E571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13B91EA" w14:textId="77777777" w:rsidR="0069576A" w:rsidRPr="000361D0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NPM have the power to determine </w:t>
            </w:r>
            <w:r w:rsidRPr="00E81A9B">
              <w:rPr>
                <w:rFonts w:ascii="Arial" w:hAnsi="Arial" w:cs="Arial"/>
                <w:sz w:val="20"/>
                <w:szCs w:val="20"/>
                <w:lang w:val="en-GB"/>
              </w:rPr>
              <w:t>whether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visits</w:t>
            </w:r>
            <w:r w:rsidRPr="00E81A9B">
              <w:rPr>
                <w:rFonts w:ascii="Arial" w:hAnsi="Arial" w:cs="Arial"/>
                <w:sz w:val="20"/>
                <w:szCs w:val="20"/>
                <w:lang w:val="en-GB"/>
              </w:rPr>
              <w:t xml:space="preserve"> are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be announced or unannounced?</w:t>
            </w:r>
          </w:p>
        </w:tc>
        <w:tc>
          <w:tcPr>
            <w:tcW w:w="1536" w:type="dxa"/>
          </w:tcPr>
          <w:p w14:paraId="05598AA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729484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5C62E7E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EF2972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B9D84EA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22AADD71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E6EF120" w14:textId="77777777" w:rsidR="0069576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Does the NPM have the power to s</w:t>
            </w:r>
            <w:r w:rsidRPr="00E81A9B">
              <w:rPr>
                <w:rFonts w:ascii="Arial" w:hAnsi="Arial" w:cs="Arial"/>
                <w:sz w:val="20"/>
                <w:szCs w:val="20"/>
                <w:lang w:val="en-GB"/>
              </w:rPr>
              <w:t>elect the persons to be interviewed</w:t>
            </w:r>
          </w:p>
        </w:tc>
        <w:tc>
          <w:tcPr>
            <w:tcW w:w="1536" w:type="dxa"/>
          </w:tcPr>
          <w:p w14:paraId="712520A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861AFA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69D955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6769FA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FD82907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576A" w:rsidRPr="00775A80" w14:paraId="7377E4E9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FFE011C" w14:textId="77777777" w:rsidR="0069576A" w:rsidRPr="0001743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 w:rsidRPr="005B61C1"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 xml:space="preserve">Does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>the NPM</w:t>
            </w:r>
            <w:r w:rsidRPr="005B61C1"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 xml:space="preserve"> have </w:t>
            </w:r>
            <w:r w:rsidRPr="005B61C1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access to all personal and sensitive information necessary for pursuing its mandate?</w:t>
            </w:r>
          </w:p>
        </w:tc>
        <w:tc>
          <w:tcPr>
            <w:tcW w:w="1536" w:type="dxa"/>
          </w:tcPr>
          <w:p w14:paraId="1E7D4679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12.2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705456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04387A3" w14:textId="77777777" w:rsidR="0069576A" w:rsidRPr="00775A80" w:rsidRDefault="0069576A" w:rsidP="0069576A">
            <w:pPr>
              <w:spacing w:before="60" w:after="60"/>
              <w:ind w:left="2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9B7332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4336A0A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775A80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775A80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775A80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775A80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69576A" w:rsidRPr="00775A80" w14:paraId="2231A4B5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995B268" w14:textId="77777777" w:rsidR="0069576A" w:rsidRPr="005B61C1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>Does it have access to all premises?</w:t>
            </w:r>
          </w:p>
        </w:tc>
        <w:tc>
          <w:tcPr>
            <w:tcW w:w="1536" w:type="dxa"/>
          </w:tcPr>
          <w:p w14:paraId="5EEA320C" w14:textId="77777777" w:rsidR="0069576A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12.2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98ED04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6D8E612" w14:textId="77777777" w:rsidR="0069576A" w:rsidRPr="00775A80" w:rsidRDefault="0069576A" w:rsidP="0069576A">
            <w:pPr>
              <w:spacing w:before="60" w:after="60"/>
              <w:ind w:left="2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9FF15CE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9F474CD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0FE3150B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5886B20" w14:textId="77777777" w:rsidR="0069576A" w:rsidRPr="005B61C1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>Does it have access to all persons necessary for pursuing its mandate?</w:t>
            </w:r>
          </w:p>
        </w:tc>
        <w:tc>
          <w:tcPr>
            <w:tcW w:w="1536" w:type="dxa"/>
          </w:tcPr>
          <w:p w14:paraId="3D828D62" w14:textId="77777777" w:rsidR="0069576A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12.2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476AB8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79EA24B" w14:textId="77777777" w:rsidR="0069576A" w:rsidRPr="00775A80" w:rsidRDefault="0069576A" w:rsidP="0069576A">
            <w:pPr>
              <w:spacing w:before="60" w:after="60"/>
              <w:ind w:left="2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C5120E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25271C2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50A68DAC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5AAFA40" w14:textId="77777777" w:rsidR="0069576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Does it have the power </w:t>
            </w:r>
            <w:r w:rsidRPr="0001743A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to make recommendations to the relevant authorities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5B4F260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12.3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6724D3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A08B75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B6EF460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AA1EA4F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73DB7C72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095E96F" w14:textId="77777777" w:rsidR="0069576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 xml:space="preserve">Does it have </w:t>
            </w:r>
            <w:r w:rsidRPr="0001743A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the right to have contact with the SPT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32291B0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12.5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DFE6488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363ADD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21000D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AFE2B9A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4C242023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64228E2" w14:textId="77777777" w:rsidR="0069576A" w:rsidRPr="00B06211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>Are all these powers set out in the legislation?</w:t>
            </w:r>
          </w:p>
        </w:tc>
        <w:tc>
          <w:tcPr>
            <w:tcW w:w="1536" w:type="dxa"/>
          </w:tcPr>
          <w:p w14:paraId="73274F8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622B75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CDFB78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D8FAD39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BF549FC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06C5E93E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0F1C585" w14:textId="77777777" w:rsidR="0069576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Are </w:t>
            </w:r>
            <w:r w:rsidRPr="00B06211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m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embers of the NPM</w:t>
            </w:r>
            <w:r w:rsidRPr="00B06211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selected through an open, transparent and inclusive process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76333AE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13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66D97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2B0F99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A64673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8D82310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32A05487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1C234EB" w14:textId="77777777" w:rsidR="0069576A" w:rsidRPr="006B7F8E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Is t</w:t>
            </w:r>
            <w:r w:rsidRPr="006B7F8E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he selection process prescribed in the governing NPM legislation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0274DDE9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13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871F28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714E48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3D4DD98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8460E52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45829651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BD798E2" w14:textId="77777777" w:rsidR="0069576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</w:pPr>
            <w:r w:rsidRPr="005B61C1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lastRenderedPageBreak/>
              <w:t>If the NPM performs other functions in addition to those under the OPCAT, are the NPM functions located within a separate unit or department, with its own staff and a separate budget?</w:t>
            </w:r>
          </w:p>
        </w:tc>
        <w:tc>
          <w:tcPr>
            <w:tcW w:w="1536" w:type="dxa"/>
          </w:tcPr>
          <w:p w14:paraId="2910E7C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898705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B19C80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71B0D3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3D6763B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409E06EC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DCD75F2" w14:textId="77777777" w:rsidR="0069576A" w:rsidRPr="009B1107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Has the </w:t>
            </w:r>
            <w:r w:rsidRPr="00D74A16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State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made</w:t>
            </w:r>
            <w:r w:rsidRPr="00D74A16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available the necessary resources for the effective functioning of the national preventive mechanisms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0E329A8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6602B07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25F8587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592920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2F87499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156726A8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97C5099" w14:textId="77777777" w:rsidR="0069576A" w:rsidRPr="007E5FC4" w:rsidRDefault="0069576A" w:rsidP="0069576A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E5FC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Follow-up on SPT’s and own recommendations for changes</w:t>
            </w:r>
          </w:p>
        </w:tc>
        <w:tc>
          <w:tcPr>
            <w:tcW w:w="1536" w:type="dxa"/>
          </w:tcPr>
          <w:p w14:paraId="012CAE4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A2702E8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5A756B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FB5DCE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EE8007A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2C1D2928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142C8CF" w14:textId="17DD30C6" w:rsidR="0069576A" w:rsidRPr="006C6F1B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Does t</w:t>
            </w:r>
            <w:r w:rsidRPr="002E348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he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SP</w:t>
            </w:r>
            <w:r w:rsidRPr="002E348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maintain a constructive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dialogue with the NPM</w:t>
            </w:r>
            <w:r w:rsidRPr="002E348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regarding the implementation of recommendations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6A1E758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34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D8EBA9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7982B4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3C25F5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2D0B784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482D19A3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E064A9F" w14:textId="77777777" w:rsidR="0069576A" w:rsidRPr="006C6F1B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Does the </w:t>
            </w:r>
            <w:r w:rsidRPr="002E348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dialogue involve both written and oral exchanges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0269B658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34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C84F5C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3D4D84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779697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7CEEB7E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548E0749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53D6C64" w14:textId="77777777" w:rsidR="0069576A" w:rsidRPr="006C6F1B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Are a</w:t>
            </w:r>
            <w:r w:rsidRPr="002E348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ddressees of the recommendations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required, </w:t>
            </w:r>
            <w:r w:rsidRPr="002E348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on request from the NPM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, to</w:t>
            </w:r>
            <w:r w:rsidRPr="002E348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 develop a concrete policy or plan of action to commence reform where needed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2073FA9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34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C605608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6D1441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52D7E92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D5D6F93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4BFC4EA1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7BA4DCA" w14:textId="77777777" w:rsidR="0069576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 xml:space="preserve">Are there instances where the NPM recommends </w:t>
            </w:r>
            <w:r w:rsidRPr="002E348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that authorities immediately put an end to certain practices and initiate a criminal investigation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71472927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34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202B727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D3921E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3D70A8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BBC25A1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4C5031BF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96158B9" w14:textId="77777777" w:rsidR="0069576A" w:rsidRPr="006C6F1B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Are v</w:t>
            </w:r>
            <w:r w:rsidRPr="00242786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isit reports, including recommendations, published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169569B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35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D04F69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27483F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AF6E89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D46484B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4016E7E6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B9157AF" w14:textId="77777777" w:rsidR="0069576A" w:rsidRPr="006C6F1B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Are annual reports published?</w:t>
            </w:r>
          </w:p>
        </w:tc>
        <w:tc>
          <w:tcPr>
            <w:tcW w:w="1536" w:type="dxa"/>
          </w:tcPr>
          <w:p w14:paraId="51DDB29C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35, 47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119E2F0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923E9FB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1D3FF07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CEB75E7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1D5D2AFD" w14:textId="77777777" w:rsidTr="0069576A">
        <w:trPr>
          <w:cantSplit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7BFBD94" w14:textId="77777777" w:rsidR="0069576A" w:rsidRPr="00E86565" w:rsidRDefault="0069576A" w:rsidP="0069576A">
            <w:pPr>
              <w:spacing w:before="60" w:after="60"/>
              <w:rPr>
                <w:rFonts w:ascii="Arial" w:hAnsi="Arial" w:cs="Arial"/>
                <w:b/>
                <w:color w:val="262626"/>
                <w:sz w:val="20"/>
                <w:szCs w:val="20"/>
                <w:lang w:bidi="en-US"/>
              </w:rPr>
            </w:pPr>
            <w:r w:rsidRPr="00E86565">
              <w:rPr>
                <w:rFonts w:ascii="Arial" w:hAnsi="Arial" w:cs="Arial"/>
                <w:b/>
                <w:color w:val="262626"/>
                <w:sz w:val="20"/>
                <w:szCs w:val="20"/>
                <w:lang w:val="en-GB" w:bidi="en-US"/>
              </w:rPr>
              <w:t>Issues related to the legislative framework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8ED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23B0DA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E868F6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B398D2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9E83C46" w14:textId="77777777" w:rsidR="0069576A" w:rsidRPr="00EB1A3D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6344F025" w14:textId="77777777" w:rsidTr="0069576A">
        <w:trPr>
          <w:cantSplit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A46F26C" w14:textId="77777777" w:rsidR="0069576A" w:rsidRPr="00952FEE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 place of detention</w:t>
            </w:r>
            <w:r w:rsidRPr="005836F2">
              <w:rPr>
                <w:rFonts w:ascii="Arial" w:hAnsi="Arial" w:cs="Arial"/>
                <w:sz w:val="20"/>
                <w:szCs w:val="20"/>
                <w:lang w:val="en-GB"/>
              </w:rPr>
              <w:t xml:space="preserve"> defined by the national law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9C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E2018D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0658409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1873340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AC5D9E6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6CA0725D" w14:textId="77777777" w:rsidTr="0069576A">
        <w:trPr>
          <w:cantSplit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6BD9FFE" w14:textId="77777777" w:rsidR="0069576A" w:rsidRPr="00952FEE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Does this definition k</w:t>
            </w:r>
            <w:r w:rsidRPr="005836F2">
              <w:rPr>
                <w:rFonts w:ascii="Arial" w:hAnsi="Arial" w:cs="Arial"/>
                <w:sz w:val="20"/>
                <w:szCs w:val="20"/>
                <w:lang w:val="en-GB"/>
              </w:rPr>
              <w:t>eep in mind the OPCAT principles and protection of human ri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ghts?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A56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9F210C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67A330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9037440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48F6848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4F8767C5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2503C50" w14:textId="77777777" w:rsidR="0069576A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Is t</w:t>
            </w:r>
            <w:r w:rsidRPr="00C26184"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he NPM mandated to assess draft and existing legislation against the State Party’s international obligations and against other international standards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GB" w:bidi="en-US"/>
              </w:rPr>
              <w:t>?</w:t>
            </w:r>
          </w:p>
        </w:tc>
        <w:tc>
          <w:tcPr>
            <w:tcW w:w="1536" w:type="dxa"/>
          </w:tcPr>
          <w:p w14:paraId="3B26C3D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40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93510AF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3CDFF2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0C1BB54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33C68A5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9576A" w:rsidRPr="00775A80" w14:paraId="7B298081" w14:textId="77777777" w:rsidTr="0069576A">
        <w:trPr>
          <w:cantSplit/>
          <w:jc w:val="center"/>
        </w:trPr>
        <w:tc>
          <w:tcPr>
            <w:tcW w:w="463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8A4C4A4" w14:textId="77777777" w:rsidR="0069576A" w:rsidRPr="005C3782" w:rsidRDefault="0069576A" w:rsidP="0069576A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>Does the l</w:t>
            </w:r>
            <w:r w:rsidRPr="00C26184"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>egislation</w:t>
            </w: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 xml:space="preserve"> establishing the NPM</w:t>
            </w:r>
            <w:r w:rsidRPr="00C26184"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 xml:space="preserve"> clearly state the obligation for competent authorities to examine the recommendations of the NPM and to enter into a dialogue with it regarding the implementation of its recommendations</w:t>
            </w:r>
            <w:r>
              <w:rPr>
                <w:rFonts w:ascii="Arial" w:hAnsi="Arial" w:cs="Arial"/>
                <w:color w:val="262626"/>
                <w:sz w:val="20"/>
                <w:szCs w:val="20"/>
                <w:lang w:bidi="en-US"/>
              </w:rPr>
              <w:t>?</w:t>
            </w:r>
          </w:p>
        </w:tc>
        <w:tc>
          <w:tcPr>
            <w:tcW w:w="1536" w:type="dxa"/>
          </w:tcPr>
          <w:p w14:paraId="0418736A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41</w:t>
            </w:r>
          </w:p>
        </w:tc>
        <w:tc>
          <w:tcPr>
            <w:tcW w:w="732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91066F3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54A5005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EEC9E31" w14:textId="77777777" w:rsidR="0069576A" w:rsidRPr="00775A80" w:rsidRDefault="0069576A" w:rsidP="0069576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720A4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775A8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414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67D977D" w14:textId="77777777" w:rsidR="0069576A" w:rsidRPr="00775A80" w:rsidRDefault="0069576A" w:rsidP="006957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F6C43C" w14:textId="77777777" w:rsidR="00520486" w:rsidRPr="00775A80" w:rsidRDefault="00520486" w:rsidP="00520486">
      <w:pPr>
        <w:rPr>
          <w:rFonts w:ascii="Arial" w:hAnsi="Arial" w:cs="Arial"/>
          <w:sz w:val="20"/>
          <w:szCs w:val="20"/>
          <w:lang w:val="en-GB"/>
        </w:rPr>
      </w:pPr>
    </w:p>
    <w:sectPr w:rsidR="00520486" w:rsidRPr="00775A80" w:rsidSect="00087EA8">
      <w:headerReference w:type="default" r:id="rId12"/>
      <w:footerReference w:type="default" r:id="rId13"/>
      <w:pgSz w:w="15840" w:h="12240" w:orient="landscape" w:code="1"/>
      <w:pgMar w:top="720" w:right="720" w:bottom="540" w:left="72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EF046" w14:textId="77777777" w:rsidR="00E82BF1" w:rsidRDefault="00E82BF1">
      <w:r>
        <w:separator/>
      </w:r>
    </w:p>
  </w:endnote>
  <w:endnote w:type="continuationSeparator" w:id="0">
    <w:p w14:paraId="1EE8FECE" w14:textId="77777777" w:rsidR="00E82BF1" w:rsidRDefault="00E8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7B3E8" w14:textId="77777777" w:rsidR="00087EA8" w:rsidRDefault="008416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A4C">
      <w:rPr>
        <w:noProof/>
      </w:rPr>
      <w:t>4</w:t>
    </w:r>
    <w:r>
      <w:rPr>
        <w:noProof/>
      </w:rPr>
      <w:fldChar w:fldCharType="end"/>
    </w:r>
  </w:p>
  <w:p w14:paraId="25ADC471" w14:textId="77777777" w:rsidR="00087EA8" w:rsidRPr="00BC0584" w:rsidRDefault="00087EA8" w:rsidP="00520486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65707" w14:textId="77777777" w:rsidR="00E82BF1" w:rsidRDefault="00E82BF1">
      <w:r>
        <w:separator/>
      </w:r>
    </w:p>
  </w:footnote>
  <w:footnote w:type="continuationSeparator" w:id="0">
    <w:p w14:paraId="724AC521" w14:textId="77777777" w:rsidR="00E82BF1" w:rsidRDefault="00E82BF1">
      <w:r>
        <w:continuationSeparator/>
      </w:r>
    </w:p>
  </w:footnote>
  <w:footnote w:id="1">
    <w:p w14:paraId="19000BDB" w14:textId="77777777" w:rsidR="00087EA8" w:rsidRPr="00BF5F65" w:rsidRDefault="00087EA8" w:rsidP="00D95DF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BF5F65">
        <w:rPr>
          <w:lang w:val="en-GB"/>
        </w:rPr>
        <w:t>Following the criteria established by OPCAT, the SPT Guidelines on NPM</w:t>
      </w:r>
      <w:r>
        <w:rPr>
          <w:lang w:val="en-GB"/>
        </w:rPr>
        <w:t>s, and the Self-assessment tool for NPMs.</w:t>
      </w:r>
      <w:r w:rsidRPr="00BF5F65">
        <w:rPr>
          <w:lang w:val="en-GB"/>
        </w:rPr>
        <w:t xml:space="preserve"> </w:t>
      </w:r>
    </w:p>
  </w:footnote>
  <w:footnote w:id="2">
    <w:p w14:paraId="31D38E87" w14:textId="77777777" w:rsidR="0069576A" w:rsidRPr="00A2768D" w:rsidRDefault="0069576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32123">
          <w:rPr>
            <w:rStyle w:val="Hyperlink"/>
          </w:rPr>
          <w:t>http://www.ohchr.org/EN/ProfessionalInterest/Pages/StatusOfNationalInstitutions.aspx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C746D" w14:textId="77777777" w:rsidR="00087EA8" w:rsidRPr="00BC0584" w:rsidRDefault="00087EA8" w:rsidP="00520486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12CE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73FB8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025D4C"/>
    <w:multiLevelType w:val="multilevel"/>
    <w:tmpl w:val="D5A6F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DD0804"/>
    <w:multiLevelType w:val="multilevel"/>
    <w:tmpl w:val="85DCB5DC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D088E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3B3AA8"/>
    <w:multiLevelType w:val="multilevel"/>
    <w:tmpl w:val="4B1E3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62626"/>
      </w:rPr>
    </w:lvl>
  </w:abstractNum>
  <w:abstractNum w:abstractNumId="6" w15:restartNumberingAfterBreak="0">
    <w:nsid w:val="0A6B66C7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AC724F6"/>
    <w:multiLevelType w:val="multilevel"/>
    <w:tmpl w:val="72CC8CD0"/>
    <w:lvl w:ilvl="0">
      <w:start w:val="6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B13DDB"/>
    <w:multiLevelType w:val="multilevel"/>
    <w:tmpl w:val="6A000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62626"/>
      </w:rPr>
    </w:lvl>
  </w:abstractNum>
  <w:abstractNum w:abstractNumId="9" w15:restartNumberingAfterBreak="0">
    <w:nsid w:val="11C43EAF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751D8F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8230A9"/>
    <w:multiLevelType w:val="multilevel"/>
    <w:tmpl w:val="F968932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6A15BA"/>
    <w:multiLevelType w:val="multilevel"/>
    <w:tmpl w:val="8F901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596356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E03408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84268B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CB4D01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4042E43"/>
    <w:multiLevelType w:val="multilevel"/>
    <w:tmpl w:val="E38036BC"/>
    <w:lvl w:ilvl="0">
      <w:start w:val="6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6A505EF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202D05"/>
    <w:multiLevelType w:val="hybridMultilevel"/>
    <w:tmpl w:val="1C16FD68"/>
    <w:lvl w:ilvl="0" w:tplc="AAC6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17FE8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ED1823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E712CEA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724523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0303787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173289F"/>
    <w:multiLevelType w:val="hybridMultilevel"/>
    <w:tmpl w:val="7396E2BC"/>
    <w:lvl w:ilvl="0" w:tplc="FDECF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A091C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7954FB"/>
    <w:multiLevelType w:val="hybridMultilevel"/>
    <w:tmpl w:val="0F2A4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32B32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5540B1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7C3916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9C47838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2D39A7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397B11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2AE7FA0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6721A0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1A1AF1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7601F69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DF40CE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B2C36C6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BE153A0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14F3548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BBE0306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BFF2F40"/>
    <w:multiLevelType w:val="multilevel"/>
    <w:tmpl w:val="5832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0"/>
  </w:num>
  <w:num w:numId="5">
    <w:abstractNumId w:val="5"/>
  </w:num>
  <w:num w:numId="6">
    <w:abstractNumId w:val="31"/>
  </w:num>
  <w:num w:numId="7">
    <w:abstractNumId w:val="12"/>
  </w:num>
  <w:num w:numId="8">
    <w:abstractNumId w:val="21"/>
  </w:num>
  <w:num w:numId="9">
    <w:abstractNumId w:val="42"/>
  </w:num>
  <w:num w:numId="10">
    <w:abstractNumId w:val="24"/>
  </w:num>
  <w:num w:numId="11">
    <w:abstractNumId w:val="33"/>
  </w:num>
  <w:num w:numId="12">
    <w:abstractNumId w:val="20"/>
  </w:num>
  <w:num w:numId="13">
    <w:abstractNumId w:val="29"/>
  </w:num>
  <w:num w:numId="14">
    <w:abstractNumId w:val="16"/>
  </w:num>
  <w:num w:numId="15">
    <w:abstractNumId w:val="3"/>
  </w:num>
  <w:num w:numId="16">
    <w:abstractNumId w:val="38"/>
  </w:num>
  <w:num w:numId="17">
    <w:abstractNumId w:val="2"/>
  </w:num>
  <w:num w:numId="18">
    <w:abstractNumId w:val="26"/>
  </w:num>
  <w:num w:numId="19">
    <w:abstractNumId w:val="11"/>
  </w:num>
  <w:num w:numId="20">
    <w:abstractNumId w:val="17"/>
  </w:num>
  <w:num w:numId="21">
    <w:abstractNumId w:val="7"/>
  </w:num>
  <w:num w:numId="22">
    <w:abstractNumId w:val="8"/>
  </w:num>
  <w:num w:numId="23">
    <w:abstractNumId w:val="6"/>
  </w:num>
  <w:num w:numId="24">
    <w:abstractNumId w:val="28"/>
  </w:num>
  <w:num w:numId="25">
    <w:abstractNumId w:val="9"/>
  </w:num>
  <w:num w:numId="26">
    <w:abstractNumId w:val="37"/>
  </w:num>
  <w:num w:numId="27">
    <w:abstractNumId w:val="43"/>
  </w:num>
  <w:num w:numId="28">
    <w:abstractNumId w:val="34"/>
  </w:num>
  <w:num w:numId="29">
    <w:abstractNumId w:val="1"/>
  </w:num>
  <w:num w:numId="30">
    <w:abstractNumId w:val="32"/>
  </w:num>
  <w:num w:numId="31">
    <w:abstractNumId w:val="36"/>
  </w:num>
  <w:num w:numId="32">
    <w:abstractNumId w:val="30"/>
  </w:num>
  <w:num w:numId="33">
    <w:abstractNumId w:val="14"/>
  </w:num>
  <w:num w:numId="34">
    <w:abstractNumId w:val="40"/>
  </w:num>
  <w:num w:numId="35">
    <w:abstractNumId w:val="13"/>
  </w:num>
  <w:num w:numId="36">
    <w:abstractNumId w:val="10"/>
  </w:num>
  <w:num w:numId="37">
    <w:abstractNumId w:val="18"/>
  </w:num>
  <w:num w:numId="38">
    <w:abstractNumId w:val="15"/>
  </w:num>
  <w:num w:numId="39">
    <w:abstractNumId w:val="41"/>
  </w:num>
  <w:num w:numId="40">
    <w:abstractNumId w:val="35"/>
  </w:num>
  <w:num w:numId="41">
    <w:abstractNumId w:val="4"/>
  </w:num>
  <w:num w:numId="42">
    <w:abstractNumId w:val="22"/>
  </w:num>
  <w:num w:numId="43">
    <w:abstractNumId w:val="3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E9"/>
    <w:rsid w:val="00012B2A"/>
    <w:rsid w:val="00017401"/>
    <w:rsid w:val="0001743A"/>
    <w:rsid w:val="0001766C"/>
    <w:rsid w:val="00031928"/>
    <w:rsid w:val="000322C6"/>
    <w:rsid w:val="00034D3E"/>
    <w:rsid w:val="000361D0"/>
    <w:rsid w:val="0004465B"/>
    <w:rsid w:val="00044E17"/>
    <w:rsid w:val="00052318"/>
    <w:rsid w:val="000532F1"/>
    <w:rsid w:val="00061F58"/>
    <w:rsid w:val="00077B5E"/>
    <w:rsid w:val="00082AE5"/>
    <w:rsid w:val="00085A83"/>
    <w:rsid w:val="00087EA8"/>
    <w:rsid w:val="000A3F32"/>
    <w:rsid w:val="000B37D1"/>
    <w:rsid w:val="000B3B53"/>
    <w:rsid w:val="000B5154"/>
    <w:rsid w:val="000D1A2F"/>
    <w:rsid w:val="000D3277"/>
    <w:rsid w:val="000E2B81"/>
    <w:rsid w:val="000E3C5F"/>
    <w:rsid w:val="00122578"/>
    <w:rsid w:val="00141E0A"/>
    <w:rsid w:val="00144042"/>
    <w:rsid w:val="00155066"/>
    <w:rsid w:val="00164CCD"/>
    <w:rsid w:val="00170CD2"/>
    <w:rsid w:val="001A3ED3"/>
    <w:rsid w:val="001B03F2"/>
    <w:rsid w:val="001B74E7"/>
    <w:rsid w:val="001E169E"/>
    <w:rsid w:val="001E3D82"/>
    <w:rsid w:val="001F37EF"/>
    <w:rsid w:val="002029EA"/>
    <w:rsid w:val="00207DB4"/>
    <w:rsid w:val="00211190"/>
    <w:rsid w:val="0021609F"/>
    <w:rsid w:val="002213DC"/>
    <w:rsid w:val="00226346"/>
    <w:rsid w:val="00234C1C"/>
    <w:rsid w:val="00237A23"/>
    <w:rsid w:val="00242786"/>
    <w:rsid w:val="00263750"/>
    <w:rsid w:val="0026717F"/>
    <w:rsid w:val="00276024"/>
    <w:rsid w:val="00285E34"/>
    <w:rsid w:val="002A30A0"/>
    <w:rsid w:val="002A545B"/>
    <w:rsid w:val="002A68CE"/>
    <w:rsid w:val="002B0C1B"/>
    <w:rsid w:val="002B3E8B"/>
    <w:rsid w:val="002B4524"/>
    <w:rsid w:val="002B7671"/>
    <w:rsid w:val="002C04DB"/>
    <w:rsid w:val="002D3A77"/>
    <w:rsid w:val="002E33F6"/>
    <w:rsid w:val="002E3484"/>
    <w:rsid w:val="002E39DC"/>
    <w:rsid w:val="002F5BA2"/>
    <w:rsid w:val="00305A98"/>
    <w:rsid w:val="00312A71"/>
    <w:rsid w:val="003143BD"/>
    <w:rsid w:val="00314BEC"/>
    <w:rsid w:val="00317F9B"/>
    <w:rsid w:val="00323403"/>
    <w:rsid w:val="0033302A"/>
    <w:rsid w:val="003341A1"/>
    <w:rsid w:val="00353806"/>
    <w:rsid w:val="00355219"/>
    <w:rsid w:val="00355DFB"/>
    <w:rsid w:val="003574E0"/>
    <w:rsid w:val="00357C3E"/>
    <w:rsid w:val="00362B75"/>
    <w:rsid w:val="00371641"/>
    <w:rsid w:val="00385332"/>
    <w:rsid w:val="003A03E0"/>
    <w:rsid w:val="003B539D"/>
    <w:rsid w:val="00401E8F"/>
    <w:rsid w:val="00402856"/>
    <w:rsid w:val="0041124B"/>
    <w:rsid w:val="00411DB3"/>
    <w:rsid w:val="00424997"/>
    <w:rsid w:val="00434F7B"/>
    <w:rsid w:val="00471D94"/>
    <w:rsid w:val="00472233"/>
    <w:rsid w:val="004875DD"/>
    <w:rsid w:val="0049046F"/>
    <w:rsid w:val="004906C5"/>
    <w:rsid w:val="00493442"/>
    <w:rsid w:val="004968FA"/>
    <w:rsid w:val="004B205A"/>
    <w:rsid w:val="004D4303"/>
    <w:rsid w:val="004F5DE3"/>
    <w:rsid w:val="00512F2D"/>
    <w:rsid w:val="00517CB8"/>
    <w:rsid w:val="00520486"/>
    <w:rsid w:val="0052196B"/>
    <w:rsid w:val="00524921"/>
    <w:rsid w:val="00582DB5"/>
    <w:rsid w:val="005836F2"/>
    <w:rsid w:val="00590B09"/>
    <w:rsid w:val="005916F4"/>
    <w:rsid w:val="00596091"/>
    <w:rsid w:val="005A2DE7"/>
    <w:rsid w:val="005B4D6A"/>
    <w:rsid w:val="005B61C1"/>
    <w:rsid w:val="005C3782"/>
    <w:rsid w:val="005C5C2F"/>
    <w:rsid w:val="005C6990"/>
    <w:rsid w:val="005D2021"/>
    <w:rsid w:val="005D55E8"/>
    <w:rsid w:val="005F5D93"/>
    <w:rsid w:val="006024FE"/>
    <w:rsid w:val="00617A88"/>
    <w:rsid w:val="006219E8"/>
    <w:rsid w:val="006236EB"/>
    <w:rsid w:val="00640C3B"/>
    <w:rsid w:val="00641075"/>
    <w:rsid w:val="006735A1"/>
    <w:rsid w:val="00674A25"/>
    <w:rsid w:val="0069219D"/>
    <w:rsid w:val="0069576A"/>
    <w:rsid w:val="006968BA"/>
    <w:rsid w:val="00697E4F"/>
    <w:rsid w:val="006A1028"/>
    <w:rsid w:val="006B5B9F"/>
    <w:rsid w:val="006B7F8E"/>
    <w:rsid w:val="006C5375"/>
    <w:rsid w:val="006C6936"/>
    <w:rsid w:val="006C6F1B"/>
    <w:rsid w:val="006C76F0"/>
    <w:rsid w:val="006D02F4"/>
    <w:rsid w:val="006D572C"/>
    <w:rsid w:val="006D620F"/>
    <w:rsid w:val="006D6C22"/>
    <w:rsid w:val="006E4F91"/>
    <w:rsid w:val="0071159B"/>
    <w:rsid w:val="00720A4C"/>
    <w:rsid w:val="00721508"/>
    <w:rsid w:val="00737D30"/>
    <w:rsid w:val="00775A80"/>
    <w:rsid w:val="007A4CE7"/>
    <w:rsid w:val="007B55A4"/>
    <w:rsid w:val="007B5CC9"/>
    <w:rsid w:val="007C6247"/>
    <w:rsid w:val="007D697F"/>
    <w:rsid w:val="007E45D8"/>
    <w:rsid w:val="007E5FC4"/>
    <w:rsid w:val="007E6B0A"/>
    <w:rsid w:val="007F29E7"/>
    <w:rsid w:val="00803E4C"/>
    <w:rsid w:val="00805C15"/>
    <w:rsid w:val="0082713E"/>
    <w:rsid w:val="00833346"/>
    <w:rsid w:val="008416EE"/>
    <w:rsid w:val="008768C1"/>
    <w:rsid w:val="00890FE5"/>
    <w:rsid w:val="00891D32"/>
    <w:rsid w:val="008A4008"/>
    <w:rsid w:val="008A5063"/>
    <w:rsid w:val="008D27F3"/>
    <w:rsid w:val="008E0171"/>
    <w:rsid w:val="008E628C"/>
    <w:rsid w:val="008F4D3A"/>
    <w:rsid w:val="008F601F"/>
    <w:rsid w:val="00910B0F"/>
    <w:rsid w:val="00911E87"/>
    <w:rsid w:val="00915444"/>
    <w:rsid w:val="00920B94"/>
    <w:rsid w:val="00927178"/>
    <w:rsid w:val="00930CDD"/>
    <w:rsid w:val="0094506C"/>
    <w:rsid w:val="00951986"/>
    <w:rsid w:val="00952FEE"/>
    <w:rsid w:val="00973F77"/>
    <w:rsid w:val="00985AFD"/>
    <w:rsid w:val="009934E3"/>
    <w:rsid w:val="00995A45"/>
    <w:rsid w:val="009A703F"/>
    <w:rsid w:val="009B1107"/>
    <w:rsid w:val="009B1B26"/>
    <w:rsid w:val="009C2F22"/>
    <w:rsid w:val="009D3EF7"/>
    <w:rsid w:val="009E4859"/>
    <w:rsid w:val="009E5309"/>
    <w:rsid w:val="009F68CD"/>
    <w:rsid w:val="00A1238F"/>
    <w:rsid w:val="00A165EB"/>
    <w:rsid w:val="00A2768D"/>
    <w:rsid w:val="00A322C4"/>
    <w:rsid w:val="00A359A0"/>
    <w:rsid w:val="00A42BC4"/>
    <w:rsid w:val="00A511D6"/>
    <w:rsid w:val="00A6065E"/>
    <w:rsid w:val="00A63473"/>
    <w:rsid w:val="00A63E94"/>
    <w:rsid w:val="00A676DB"/>
    <w:rsid w:val="00A7620B"/>
    <w:rsid w:val="00A879E5"/>
    <w:rsid w:val="00A9674A"/>
    <w:rsid w:val="00A96CD8"/>
    <w:rsid w:val="00AA579B"/>
    <w:rsid w:val="00AC112B"/>
    <w:rsid w:val="00AC657E"/>
    <w:rsid w:val="00AE5C73"/>
    <w:rsid w:val="00AF1722"/>
    <w:rsid w:val="00B06211"/>
    <w:rsid w:val="00B133F9"/>
    <w:rsid w:val="00B17D7A"/>
    <w:rsid w:val="00B22BB7"/>
    <w:rsid w:val="00B248E9"/>
    <w:rsid w:val="00B3637A"/>
    <w:rsid w:val="00B50338"/>
    <w:rsid w:val="00B54F54"/>
    <w:rsid w:val="00B55244"/>
    <w:rsid w:val="00B60E5D"/>
    <w:rsid w:val="00B63D35"/>
    <w:rsid w:val="00B664D7"/>
    <w:rsid w:val="00B81488"/>
    <w:rsid w:val="00B834AA"/>
    <w:rsid w:val="00B84029"/>
    <w:rsid w:val="00B86B4B"/>
    <w:rsid w:val="00B8736F"/>
    <w:rsid w:val="00B90462"/>
    <w:rsid w:val="00B91E6E"/>
    <w:rsid w:val="00B97EC9"/>
    <w:rsid w:val="00BC04B6"/>
    <w:rsid w:val="00BC2F2C"/>
    <w:rsid w:val="00BC3AFF"/>
    <w:rsid w:val="00BD06CF"/>
    <w:rsid w:val="00BE28A9"/>
    <w:rsid w:val="00BE4B49"/>
    <w:rsid w:val="00BE4D5E"/>
    <w:rsid w:val="00BF5F65"/>
    <w:rsid w:val="00C00471"/>
    <w:rsid w:val="00C0649C"/>
    <w:rsid w:val="00C26184"/>
    <w:rsid w:val="00C44DFA"/>
    <w:rsid w:val="00C7343F"/>
    <w:rsid w:val="00C802E2"/>
    <w:rsid w:val="00CC2FCA"/>
    <w:rsid w:val="00CC38EC"/>
    <w:rsid w:val="00CD1502"/>
    <w:rsid w:val="00CD6192"/>
    <w:rsid w:val="00CD7630"/>
    <w:rsid w:val="00CE3784"/>
    <w:rsid w:val="00D1143A"/>
    <w:rsid w:val="00D23C26"/>
    <w:rsid w:val="00D35F37"/>
    <w:rsid w:val="00D40FE5"/>
    <w:rsid w:val="00D527FC"/>
    <w:rsid w:val="00D73A6D"/>
    <w:rsid w:val="00D74A16"/>
    <w:rsid w:val="00D95DF1"/>
    <w:rsid w:val="00DA0177"/>
    <w:rsid w:val="00DC4669"/>
    <w:rsid w:val="00DC743D"/>
    <w:rsid w:val="00DD63AE"/>
    <w:rsid w:val="00DE2D29"/>
    <w:rsid w:val="00DF1779"/>
    <w:rsid w:val="00DF6FB7"/>
    <w:rsid w:val="00E10A7F"/>
    <w:rsid w:val="00E22EA8"/>
    <w:rsid w:val="00E3174E"/>
    <w:rsid w:val="00E34572"/>
    <w:rsid w:val="00E443A5"/>
    <w:rsid w:val="00E46DD7"/>
    <w:rsid w:val="00E502A6"/>
    <w:rsid w:val="00E5369D"/>
    <w:rsid w:val="00E706B7"/>
    <w:rsid w:val="00E81A9B"/>
    <w:rsid w:val="00E82BF1"/>
    <w:rsid w:val="00E831A9"/>
    <w:rsid w:val="00E856FF"/>
    <w:rsid w:val="00E86565"/>
    <w:rsid w:val="00EB1A3D"/>
    <w:rsid w:val="00EB5FC0"/>
    <w:rsid w:val="00EC2459"/>
    <w:rsid w:val="00ED4183"/>
    <w:rsid w:val="00ED6E35"/>
    <w:rsid w:val="00EE3634"/>
    <w:rsid w:val="00EF30A8"/>
    <w:rsid w:val="00F1325D"/>
    <w:rsid w:val="00F143DF"/>
    <w:rsid w:val="00F23C3C"/>
    <w:rsid w:val="00F25D77"/>
    <w:rsid w:val="00F26A07"/>
    <w:rsid w:val="00F32350"/>
    <w:rsid w:val="00F40FDA"/>
    <w:rsid w:val="00F426CE"/>
    <w:rsid w:val="00F46445"/>
    <w:rsid w:val="00F73CBC"/>
    <w:rsid w:val="00F745E5"/>
    <w:rsid w:val="00FA7811"/>
    <w:rsid w:val="00FB1349"/>
    <w:rsid w:val="00FB2472"/>
    <w:rsid w:val="00FC0A55"/>
    <w:rsid w:val="00FC1131"/>
    <w:rsid w:val="00FE5476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CB42A"/>
  <w15:docId w15:val="{B8B649AA-41A4-499B-BF77-A5896EF0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paragraph" w:styleId="FootnoteText">
    <w:name w:val="footnote text"/>
    <w:basedOn w:val="Normal"/>
    <w:link w:val="FootnoteTextChar"/>
    <w:rsid w:val="00BF0EAF"/>
    <w:rPr>
      <w:sz w:val="20"/>
      <w:szCs w:val="20"/>
    </w:rPr>
  </w:style>
  <w:style w:type="character" w:customStyle="1" w:styleId="FootnoteTextChar">
    <w:name w:val="Footnote Text Char"/>
    <w:link w:val="FootnoteText"/>
    <w:rsid w:val="00BF0EAF"/>
    <w:rPr>
      <w:lang w:val="en-US" w:eastAsia="en-US"/>
    </w:rPr>
  </w:style>
  <w:style w:type="character" w:styleId="FootnoteReference">
    <w:name w:val="footnote reference"/>
    <w:rsid w:val="00BF0EAF"/>
    <w:rPr>
      <w:vertAlign w:val="superscript"/>
    </w:rPr>
  </w:style>
  <w:style w:type="character" w:customStyle="1" w:styleId="FooterChar">
    <w:name w:val="Footer Char"/>
    <w:link w:val="Footer"/>
    <w:uiPriority w:val="99"/>
    <w:rsid w:val="00A879E5"/>
    <w:rPr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C4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ColorfulShading-Accent11">
    <w:name w:val="Colorful Shading - Accent 11"/>
    <w:hidden/>
    <w:uiPriority w:val="71"/>
    <w:rsid w:val="00891D32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A276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chr.org/EN/ProfessionalInterest/Pages/StatusOfNationalInstitut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s\AppData\Roaming\Microsoft\Templates\Performance%20interview%20planning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81DF-DC33-45AB-8EDE-8A0BF2524333}"/>
</file>

<file path=customXml/itemProps2.xml><?xml version="1.0" encoding="utf-8"?>
<ds:datastoreItem xmlns:ds="http://schemas.openxmlformats.org/officeDocument/2006/customXml" ds:itemID="{3296FD1D-BBCA-45DA-AFFE-DB395C1C4F0D}"/>
</file>

<file path=customXml/itemProps3.xml><?xml version="1.0" encoding="utf-8"?>
<ds:datastoreItem xmlns:ds="http://schemas.openxmlformats.org/officeDocument/2006/customXml" ds:itemID="{4974CB68-B767-4AB3-AAA7-9B8582985275}"/>
</file>

<file path=customXml/itemProps4.xml><?xml version="1.0" encoding="utf-8"?>
<ds:datastoreItem xmlns:ds="http://schemas.openxmlformats.org/officeDocument/2006/customXml" ds:itemID="{35D1CC04-A2CD-4579-99AD-C806667EE739}"/>
</file>

<file path=customXml/itemProps5.xml><?xml version="1.0" encoding="utf-8"?>
<ds:datastoreItem xmlns:ds="http://schemas.openxmlformats.org/officeDocument/2006/customXml" ds:itemID="{2B2F6FD0-F7A1-4905-B211-CF695C6E7ACF}"/>
</file>

<file path=docProps/app.xml><?xml version="1.0" encoding="utf-8"?>
<Properties xmlns="http://schemas.openxmlformats.org/officeDocument/2006/extended-properties" xmlns:vt="http://schemas.openxmlformats.org/officeDocument/2006/docPropsVTypes">
  <Template>Performance interview planning checklist.dot</Template>
  <TotalTime>20</TotalTime>
  <Pages>6</Pages>
  <Words>1041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Evaluación del CONAPREV (MNP de Honduras)</vt:lpstr>
    </vt:vector>
  </TitlesOfParts>
  <Company>OHCHR</Company>
  <LinksUpToDate>false</LinksUpToDate>
  <CharactersWithSpaces>7907</CharactersWithSpaces>
  <SharedDoc>false</SharedDoc>
  <HLinks>
    <vt:vector size="6" baseType="variant"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http://www.ohchr.org/EN/ProfessionalInterest/Pages/StatusOfNationalInstitutions.aspx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NPM Assessment matrix for States</dc:title>
  <dc:creator>Hernan Vales</dc:creator>
  <cp:lastModifiedBy>RH Murray</cp:lastModifiedBy>
  <cp:revision>5</cp:revision>
  <cp:lastPrinted>2016-06-21T08:38:00Z</cp:lastPrinted>
  <dcterms:created xsi:type="dcterms:W3CDTF">2016-07-12T08:27:00Z</dcterms:created>
  <dcterms:modified xsi:type="dcterms:W3CDTF">2016-07-13T13:45:00Z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TC011436351033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SourceUrl">
    <vt:lpwstr/>
  </property>
  <property fmtid="{D5CDD505-2E9C-101B-9397-08002B2CF9AE}" pid="10" name="ContentTypeId">
    <vt:lpwstr>0x0101008822B9E06671B54FA89F14538B9B0FEA</vt:lpwstr>
  </property>
  <property fmtid="{D5CDD505-2E9C-101B-9397-08002B2CF9AE}" pid="11" name="Order">
    <vt:r8>3875800</vt:r8>
  </property>
  <property fmtid="{D5CDD505-2E9C-101B-9397-08002B2CF9AE}" pid="13" name="_SharedFileIndex">
    <vt:lpwstr/>
  </property>
</Properties>
</file>