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A4" w:rsidRPr="00427498" w:rsidRDefault="00427498" w:rsidP="00427498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CURRICULUM VITAE</w:t>
      </w:r>
    </w:p>
    <w:p w:rsidR="00784A3E" w:rsidRDefault="00784A3E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498" w:rsidRDefault="00784A3E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Candidatura al SPT </w:t>
      </w:r>
    </w:p>
    <w:p w:rsidR="00784A3E" w:rsidRDefault="00784A3E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para un segundo mandato (2019-2022)</w:t>
      </w:r>
    </w:p>
    <w:p w:rsidR="00427498" w:rsidRDefault="00427498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6F5" w:rsidRDefault="00CC16F5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PAULET Catherine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784A3E" w:rsidP="00427498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Fecha y lugar de nacimiento: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25 de diciembre de 1957, Marsella (Francia)</w:t>
      </w:r>
    </w:p>
    <w:p w:rsidR="00784A3E" w:rsidRDefault="00784A3E" w:rsidP="00784A3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27498" w:rsidRPr="00784A3E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Idiomas de trabajo</w:t>
      </w:r>
      <w:r>
        <w:rPr>
          <w:rFonts w:ascii="Times New Roman" w:hAnsi="Times New Roman"/>
        </w:rPr>
        <w:t xml:space="preserve">: francés, inglés 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Experiencia profesional:</w:t>
      </w:r>
    </w:p>
    <w:p w:rsidR="00427498" w:rsidRPr="009176BB" w:rsidRDefault="001207DD" w:rsidP="007B23E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Médico, psiquiatra, ejerciendo en el ámbito penitenciario desde 1991</w:t>
      </w:r>
    </w:p>
    <w:p w:rsidR="00643DBD" w:rsidRPr="009176BB" w:rsidRDefault="00643DBD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Experta del CPT, Comité Europeo para la Prevención de la Tortura y de las Penas o Tratos Inhumanos o Degradantes, desde 1999</w:t>
      </w:r>
    </w:p>
    <w:p w:rsidR="00643DBD" w:rsidRPr="00FC541B" w:rsidRDefault="006B070C" w:rsidP="00FC54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Miembro del SPT, Subcomité de las Naciones Unidas para la Prevención de la Tortura y Otros Tratos o Penas Crueles, Inhumanos o Degradantes, desde enero de 2014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Funciones desempeñadas actualmente</w:t>
      </w:r>
    </w:p>
    <w:p w:rsidR="00427498" w:rsidRDefault="007E7D17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Jefa de la sección médica y hospitalaria «Psiquiatría, medicina, adicciones en ámbitos penitenciarios – Medicina forense» de los Hospitales de Marsella.  Se trata de una sección de ámbito regional que agrupa varios servicios y que desempeña:</w:t>
      </w:r>
    </w:p>
    <w:p w:rsid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Una actividad clínica de atención sanitaria:</w:t>
      </w:r>
    </w:p>
    <w:p w:rsidR="009176BB" w:rsidRDefault="007E7D17" w:rsidP="009176BB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la población carcelaria (hombres, mujeres, menores) en los aspectos somáticos, psiquiátricos y relacionados con adicciones, tanto en cárceles como en hospitales</w:t>
      </w:r>
    </w:p>
    <w:p w:rsidR="009176BB" w:rsidRDefault="007E7D17" w:rsidP="009176BB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la población de centros de retención administrativa (adultos, menores, familias)</w:t>
      </w:r>
    </w:p>
    <w:p w:rsid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Una actividad pericial forense: levantamiento de cadáveres, autopsias forenses, reconocimientos médicos de detenidos y de víctimas</w:t>
      </w:r>
    </w:p>
    <w:p w:rsidR="009176BB" w:rsidRP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Una actividad de centro especializado para las personas que trabajan con delincuentes sexuales</w:t>
      </w:r>
    </w:p>
    <w:p w:rsidR="00643DBD" w:rsidRDefault="009176BB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Miembro de la comisión de seguimiento médico de la unidad de enfermos conflictivos (UMD por sus siglas en francés) del hospital Montfavet, que dictamina el mantenimiento o la suspensión de las medidas de hospitalización de los pacientes que presentan un peligro psiquiátrico particular</w:t>
      </w:r>
    </w:p>
    <w:p w:rsidR="009176BB" w:rsidRPr="009176BB" w:rsidRDefault="009176BB" w:rsidP="00427498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Principales actividades profesionales</w:t>
      </w:r>
    </w:p>
    <w:p w:rsidR="00427498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Dirección médica y administrativa de la sección y coordinación regional de las prestaciones sanitarias a detenidos </w:t>
      </w:r>
    </w:p>
    <w:p w:rsidR="00D22611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Actividad clínica de consulta psiquiátrica</w:t>
      </w:r>
    </w:p>
    <w:p w:rsidR="00D22611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Actividad pericial y docente</w:t>
      </w:r>
    </w:p>
    <w:p w:rsidR="00D22611" w:rsidRPr="00D22611" w:rsidRDefault="00D22611" w:rsidP="00427498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Formación</w:t>
      </w:r>
    </w:p>
    <w:p w:rsidR="00190840" w:rsidRDefault="00784A3E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Titulaciones: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Diplôme d’Etat de Docteur en Médecine, (equivalente a Licenciatura en Medicina), 1986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Certificat d’Etudes Spéciales de Psychiatrie, (Certificado de Estudios Especiales de Psiquiatría), 1986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Diplôme Universitaire de Psychopathologie et Clinique Freudiennes, (Diploma en Psicopatología y Clínica Freudianas), 1987</w:t>
      </w:r>
    </w:p>
    <w:p w:rsidR="00190840" w:rsidRPr="007104EC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7104EC">
        <w:rPr>
          <w:rFonts w:ascii="Times New Roman" w:hAnsi="Times New Roman"/>
          <w:lang w:val="fr-FR"/>
        </w:rPr>
        <w:t>Diplôme Universitaire de Psychiatrie Légale, (Diploma en Psiquiatría Forense), 1991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Qualification en Psychiatrie option Enfants Adolescents, (Cualificación en Psiquiatría, opción Niños Adolescentes), 2000 </w:t>
      </w:r>
    </w:p>
    <w:p w:rsidR="00D22611" w:rsidRPr="007104EC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7104EC">
        <w:rPr>
          <w:rFonts w:ascii="Times New Roman" w:hAnsi="Times New Roman"/>
          <w:lang w:val="fr-FR"/>
        </w:rPr>
        <w:lastRenderedPageBreak/>
        <w:t>Certificat de spécialisation relatif à l’organisation et à la conduite des pôles hospitaliers, (Certificado de Especialización en Organización y Gestión de Centros Hospitalarios), 2010</w:t>
      </w:r>
    </w:p>
    <w:p w:rsidR="00427498" w:rsidRPr="00190840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Títulos:</w:t>
      </w:r>
    </w:p>
    <w:p w:rsidR="00190840" w:rsidRDefault="00190840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Ex interna de hospital psiquiátrico, 1982 </w:t>
      </w:r>
    </w:p>
    <w:p w:rsidR="00190840" w:rsidRDefault="00190840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Psiquiatra de hospital, 1988</w:t>
      </w:r>
    </w:p>
    <w:p w:rsidR="007B23EB" w:rsidRDefault="007B23EB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Investigadora asociada, 2014</w:t>
      </w:r>
    </w:p>
    <w:p w:rsidR="00FC541B" w:rsidRPr="00190840" w:rsidRDefault="00FC541B" w:rsidP="002C37CE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Default="00784A3E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Actividades principales relacionadas con su actual mandato en el SPT</w:t>
      </w:r>
    </w:p>
    <w:p w:rsidR="00784A3E" w:rsidRDefault="00784A3E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7B23EB" w:rsidRDefault="002C37CE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Visitas de campo y asesoría en los Estados parte en el OPCAT: 6 misiones en 6 Estados parte </w:t>
      </w:r>
    </w:p>
    <w:p w:rsidR="006B070C" w:rsidRDefault="006B070C" w:rsidP="006B070C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Año</w:t>
            </w:r>
          </w:p>
        </w:tc>
        <w:tc>
          <w:tcPr>
            <w:tcW w:w="4535" w:type="dxa"/>
          </w:tcPr>
          <w:p w:rsidR="006B070C" w:rsidRPr="00371762" w:rsidRDefault="006B070C" w:rsidP="002C37CE">
            <w:pPr>
              <w:pStyle w:val="Sansinterlign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 parte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Togo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Benín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Mauritania (jefa de delegación)</w:t>
            </w:r>
          </w:p>
        </w:tc>
      </w:tr>
      <w:tr w:rsidR="006B070C" w:rsidRPr="00A675AB" w:rsidTr="00254949">
        <w:tc>
          <w:tcPr>
            <w:tcW w:w="4527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Níger (jefa de delegación)</w:t>
            </w:r>
          </w:p>
        </w:tc>
      </w:tr>
      <w:tr w:rsidR="006B070C" w:rsidRPr="00A675AB" w:rsidTr="00254949">
        <w:tc>
          <w:tcPr>
            <w:tcW w:w="4527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Marruecos</w:t>
            </w:r>
          </w:p>
        </w:tc>
      </w:tr>
      <w:tr w:rsidR="006B070C" w:rsidRPr="006A4E43" w:rsidTr="00254949">
        <w:tc>
          <w:tcPr>
            <w:tcW w:w="4527" w:type="dxa"/>
          </w:tcPr>
          <w:p w:rsidR="006B070C" w:rsidRPr="006A4E43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6A4E43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Burkina Faso</w:t>
            </w:r>
          </w:p>
        </w:tc>
      </w:tr>
    </w:tbl>
    <w:p w:rsidR="006B070C" w:rsidRDefault="006B070C" w:rsidP="006B070C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2C37CE" w:rsidRDefault="002C37CE" w:rsidP="006B070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Miembro del Grupo Médico y del Grupo Regional de África </w:t>
      </w:r>
    </w:p>
    <w:p w:rsidR="002C37CE" w:rsidRDefault="002C37CE" w:rsidP="002C37CE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070C" w:rsidRPr="006B070C" w:rsidRDefault="006B070C" w:rsidP="006B070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Seminarios y coloquios relativos a la prevención de la tortura, la protección de las personas privadas de libertad y la aplicación de los MNP</w:t>
      </w:r>
    </w:p>
    <w:p w:rsidR="006B070C" w:rsidRDefault="006B070C" w:rsidP="006B070C">
      <w:pPr>
        <w:pStyle w:val="Sansinterligne"/>
        <w:jc w:val="both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Organización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6B070C" w:rsidRPr="00CD03F7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Consejo de Europa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Seminario informativo del CPT para el establecimiento del mecanismo nacional de prevención (MNP) tunecino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4 y 5 de septiembre de 2014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Túnez</w:t>
            </w:r>
          </w:p>
        </w:tc>
      </w:tr>
      <w:tr w:rsidR="006B070C" w:rsidRPr="00CD03F7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Consejo de Europa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Seminario informativo del CPT para el establecimiento del MNP marroquí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7 y 8 de septiembre de 2014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Rabat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Organización Internacional de la Francofonía (OIF) y la Oficina del Alto Comisionado para los Derechos Humanos (ACNUDH)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Los mecanismos nacionales de prevención de la tortura en la África francófona: retos, desafíos y perspectivas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23 y 24 de junio de 2014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París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Aix-Marseille-Université</w:t>
            </w:r>
          </w:p>
          <w:p w:rsidR="006B070C" w:rsidRPr="00784A3E" w:rsidRDefault="006B070C" w:rsidP="00254949">
            <w:pPr>
              <w:pStyle w:val="Sansinterligne"/>
            </w:pP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Coloquio Salud y Cárcel: El derecho a la salud de las personas privadas de libertad</w:t>
            </w:r>
          </w:p>
          <w:p w:rsidR="006B070C" w:rsidRPr="00784A3E" w:rsidRDefault="006B070C" w:rsidP="00254949">
            <w:pPr>
              <w:pStyle w:val="Sansinterligne"/>
            </w:pPr>
            <w:r>
              <w:t>tras 20 años de aplicación de la ley de 18 de enero de 1994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20 y 21 de abril de 2015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Ajaccio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104EC" w:rsidRDefault="006B070C" w:rsidP="00254949">
            <w:pPr>
              <w:pStyle w:val="Sansinterligne"/>
              <w:rPr>
                <w:lang w:val="en-US"/>
              </w:rPr>
            </w:pPr>
            <w:r w:rsidRPr="007104EC">
              <w:rPr>
                <w:lang w:val="en-US"/>
              </w:rPr>
              <w:t>Geneva Centre for the Democratic Control of</w:t>
            </w:r>
          </w:p>
          <w:p w:rsidR="006B070C" w:rsidRPr="00784A3E" w:rsidRDefault="006B070C" w:rsidP="00254949">
            <w:pPr>
              <w:pStyle w:val="Sansinterligne"/>
            </w:pPr>
            <w:r>
              <w:t xml:space="preserve">Armed Forces (DCAF) </w:t>
            </w:r>
          </w:p>
        </w:tc>
        <w:tc>
          <w:tcPr>
            <w:tcW w:w="2265" w:type="dxa"/>
          </w:tcPr>
          <w:p w:rsidR="006B070C" w:rsidRPr="007104EC" w:rsidRDefault="006B070C" w:rsidP="00254949">
            <w:pPr>
              <w:pStyle w:val="Sansinterligne"/>
              <w:rPr>
                <w:lang w:val="en-US"/>
              </w:rPr>
            </w:pPr>
            <w:r w:rsidRPr="007104EC">
              <w:rPr>
                <w:i/>
                <w:lang w:val="en-US"/>
              </w:rPr>
              <w:t>National conference on the benefits and challenges of signing and implementing OPCAT for Palestine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18 de octubre de 2015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Ramala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 xml:space="preserve">5º congreso de la Asociación Francófona </w:t>
            </w:r>
            <w:r>
              <w:lastRenderedPageBreak/>
              <w:t>de Comisiones Naciones de Derechos Humanos (AFCNDH)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lastRenderedPageBreak/>
              <w:t xml:space="preserve">INDH y supervisión de los lugares de privación </w:t>
            </w:r>
            <w:r>
              <w:lastRenderedPageBreak/>
              <w:t>de libertad: normas, buenas prácticas y desafíos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lastRenderedPageBreak/>
              <w:t>28 y 29 de octubre de 2015</w:t>
            </w:r>
          </w:p>
          <w:p w:rsidR="006B070C" w:rsidRPr="00784A3E" w:rsidRDefault="006B070C" w:rsidP="00254949">
            <w:pPr>
              <w:pStyle w:val="Sansinterligne"/>
            </w:pP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lastRenderedPageBreak/>
              <w:t>Dakar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rPr>
                <w:bCs/>
              </w:rPr>
            </w:pPr>
            <w:r>
              <w:lastRenderedPageBreak/>
              <w:t>56º periodo de sesiones del Comité contra la Tortura</w:t>
            </w:r>
          </w:p>
          <w:p w:rsidR="006B070C" w:rsidRPr="007104EC" w:rsidRDefault="006B070C" w:rsidP="00254949">
            <w:pPr>
              <w:pStyle w:val="Sansinterligne"/>
              <w:rPr>
                <w:lang w:val="es-ES_tradnl"/>
              </w:rPr>
            </w:pPr>
          </w:p>
        </w:tc>
        <w:tc>
          <w:tcPr>
            <w:tcW w:w="2265" w:type="dxa"/>
          </w:tcPr>
          <w:p w:rsidR="006B070C" w:rsidRPr="007104EC" w:rsidRDefault="006B070C" w:rsidP="00254949">
            <w:pPr>
              <w:pStyle w:val="Sansinterligne"/>
              <w:rPr>
                <w:lang w:val="en-US"/>
              </w:rPr>
            </w:pPr>
            <w:r w:rsidRPr="007104EC">
              <w:rPr>
                <w:i/>
                <w:lang w:val="en-US"/>
              </w:rPr>
              <w:t>Briefing on UN, EU and civil society synergies in combating torture and NGOs actions in the field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19 de noviembre de 2015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Ginebra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Asociación marroquí de psiquiatras con ejercicio privado (AMPEP, por sus siglas en francés)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La protección de los pacientes que padecen una enfermedad mental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 de abril de 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Casablanca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rPr>
                <w:bCs/>
              </w:rPr>
            </w:pPr>
            <w:r>
              <w:t>Primera universidad de verano francófona para los mecanismos nacionales de prevención de la tortura, organizada por la Asociación para la Prevención de la Tortura (APT)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Estrategias y metodología de monitoreo de la custodia policial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Del 18 al 22 de julio de 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Lyon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Tercer Simposio Jean-Jacques Gautier para las MNP (APT)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La supervisión de las instituciones psiquiátricas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6 y 7 de septiembre de 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Ginebra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104EC" w:rsidRDefault="006B070C" w:rsidP="00254949">
            <w:pPr>
              <w:pStyle w:val="Sansinterligne"/>
              <w:rPr>
                <w:lang w:val="en-US"/>
              </w:rPr>
            </w:pPr>
            <w:r w:rsidRPr="007104EC">
              <w:rPr>
                <w:lang w:val="en-US"/>
              </w:rPr>
              <w:t>Restart Center for Rehabilitation of Victims of Violence and Torture</w:t>
            </w:r>
          </w:p>
        </w:tc>
        <w:tc>
          <w:tcPr>
            <w:tcW w:w="2265" w:type="dxa"/>
          </w:tcPr>
          <w:p w:rsidR="006B070C" w:rsidRPr="007104EC" w:rsidRDefault="006B070C" w:rsidP="00254949">
            <w:pPr>
              <w:pStyle w:val="Sansinterligne"/>
              <w:rPr>
                <w:lang w:val="en-US"/>
              </w:rPr>
            </w:pPr>
            <w:r w:rsidRPr="007104EC">
              <w:rPr>
                <w:i/>
                <w:lang w:val="en-US"/>
              </w:rPr>
              <w:t>Consultative meeting "Support to a comprehensive prison reform in Lebanon”.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20 de septiembre de 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Beirut</w:t>
            </w:r>
          </w:p>
        </w:tc>
      </w:tr>
      <w:tr w:rsidR="006B070C" w:rsidRPr="006A4E43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Debate público organizado por la Asociación para la Prevención de la Tortura (APT)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Prevenir la tortura: desafíos y retos en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27 de abril de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Ginebra</w:t>
            </w:r>
          </w:p>
        </w:tc>
      </w:tr>
      <w:tr w:rsidR="006B070C" w:rsidRPr="008E57AE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Formación MNP tunecino en el contexto del programa «Hacia una gobernanza democrática reforzada en el sur del Mediterráneo» (Consejo de Europa)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La supervisión de las instituciones psiquiátricas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11, 12 y 13 de septiembre de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Túnez</w:t>
            </w:r>
          </w:p>
        </w:tc>
      </w:tr>
      <w:tr w:rsidR="006B070C" w:rsidRPr="0089475E" w:rsidTr="00254949">
        <w:tc>
          <w:tcPr>
            <w:tcW w:w="2265" w:type="dxa"/>
          </w:tcPr>
          <w:p w:rsidR="006B070C" w:rsidRPr="00784A3E" w:rsidRDefault="006B070C" w:rsidP="00254949">
            <w:pPr>
              <w:autoSpaceDE w:val="0"/>
              <w:autoSpaceDN w:val="0"/>
              <w:adjustRightInd w:val="0"/>
            </w:pPr>
            <w:r>
              <w:t>Décimo aniversario de la ley de 30 de octubre de 2007 por el que se crea la figura del Inspector General de</w:t>
            </w:r>
          </w:p>
          <w:p w:rsidR="006B070C" w:rsidRPr="00784A3E" w:rsidRDefault="006B070C" w:rsidP="00784A3E">
            <w:pPr>
              <w:autoSpaceDE w:val="0"/>
              <w:autoSpaceDN w:val="0"/>
              <w:adjustRightInd w:val="0"/>
            </w:pPr>
            <w:r>
              <w:t>Centros de Privación de Libertad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Un deber de vigilancia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17 y 18 de noviembre de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París</w:t>
            </w:r>
          </w:p>
        </w:tc>
      </w:tr>
      <w:tr w:rsidR="006B070C" w:rsidRPr="0089475E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rPr>
                <w:bCs/>
              </w:rPr>
            </w:pPr>
            <w:r>
              <w:t>62º periodo de sesiones del Comité contra la Tortura</w:t>
            </w:r>
          </w:p>
          <w:p w:rsidR="006B070C" w:rsidRPr="007104EC" w:rsidRDefault="006B070C" w:rsidP="00254949">
            <w:pPr>
              <w:autoSpaceDE w:val="0"/>
              <w:autoSpaceDN w:val="0"/>
              <w:adjustRightInd w:val="0"/>
              <w:rPr>
                <w:lang w:val="es-ES_tradnl"/>
              </w:rPr>
            </w:pPr>
          </w:p>
        </w:tc>
        <w:tc>
          <w:tcPr>
            <w:tcW w:w="2265" w:type="dxa"/>
          </w:tcPr>
          <w:p w:rsidR="006B070C" w:rsidRPr="007104EC" w:rsidRDefault="006B070C" w:rsidP="00254949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7104EC">
              <w:rPr>
                <w:i/>
                <w:lang w:val="en-US"/>
              </w:rPr>
              <w:t>Preventing torture and other forms of ill-treatment</w:t>
            </w:r>
            <w:r w:rsidRPr="007104EC">
              <w:rPr>
                <w:lang w:val="en-US"/>
              </w:rPr>
              <w:t xml:space="preserve"> </w:t>
            </w:r>
          </w:p>
          <w:p w:rsidR="006B070C" w:rsidRPr="00784A3E" w:rsidRDefault="006B070C" w:rsidP="00254949">
            <w:pPr>
              <w:pBdr>
                <w:bottom w:val="single" w:sz="4" w:space="1" w:color="auto"/>
              </w:pBdr>
            </w:pPr>
            <w:r>
              <w:rPr>
                <w:i/>
              </w:rPr>
              <w:t>in psychiatric institutions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27 de noviembre de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Ginebra</w:t>
            </w:r>
          </w:p>
        </w:tc>
      </w:tr>
    </w:tbl>
    <w:p w:rsidR="006B070C" w:rsidRDefault="006B070C" w:rsidP="006B070C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6B070C" w:rsidRDefault="006B070C" w:rsidP="006B070C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Otras actividades en ámbitos de interés para el mandato del SPT</w:t>
      </w:r>
    </w:p>
    <w:p w:rsidR="00784A3E" w:rsidRPr="006B070C" w:rsidRDefault="00784A3E" w:rsidP="006B070C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7B23EB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Experta del CPT desde 1999. Ha realizado 26 visitas periódicas o ad hoc en 12 Estados partes del convenio</w:t>
      </w:r>
    </w:p>
    <w:p w:rsidR="001207DD" w:rsidRDefault="001207DD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Miembro fundador y presidenta de honor de la ASPMP (Asociación de Sectores de Psiquiatría en Centros Penitenciarios), que reúne a profesionales de salud mental que ejercen en centros penitenciarios</w:t>
      </w:r>
    </w:p>
    <w:p w:rsidR="001207DD" w:rsidRDefault="001207DD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Participa o ha participado en grupos de trabajo ministeriales (Salud y/o Justicia) y parlamentarios relativos a cuestiones de atención sanitaria a los detenidos, a las personas con trastornos psiquiátricos…</w:t>
      </w:r>
    </w:p>
    <w:p w:rsidR="00D22611" w:rsidRPr="007B23EB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Enseñanza centrada de forma prioritaria en los aspectos legislativos y éticos de la práctica de la medicina</w:t>
      </w:r>
    </w:p>
    <w:p w:rsidR="007B23EB" w:rsidRDefault="007B23EB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7B23EB" w:rsidRDefault="002C37CE" w:rsidP="0042749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Publicaciones en el ámbito </w:t>
      </w:r>
      <w:r>
        <w:rPr>
          <w:rFonts w:ascii="Times New Roman" w:hAnsi="Times New Roman"/>
          <w:b/>
          <w:sz w:val="24"/>
          <w:szCs w:val="24"/>
        </w:rPr>
        <w:t>de interés para el SPT</w:t>
      </w:r>
    </w:p>
    <w:p w:rsidR="007B23EB" w:rsidRPr="00D330EA" w:rsidRDefault="007B23EB" w:rsidP="007B23EB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Órgano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Contribución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Haute Autorité de Santé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Audición pública sobre la psicopatía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2006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Miembro del tribunal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Haute Autorité de Santé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Audición pública sobre la evaluación psiquiátrica penal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2007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« Le devenir en milieu pénitentiaire des malades mentaux responsabilisés » («El devenir de los enfermos mentales responsabilizados en prisión»)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Haute Autorité de Santé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Recomendaciones sobre la atención a responsables de agresiones sexuales a menores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2010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Miembro del grupo de expertos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Ministerio de Justicia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Conferencia de consenso sobre la prevención de la reincidencia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2013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« Les soins en prison et hors les murs » («La atención sanitaria en prisión y fuera de ella»)</w:t>
            </w:r>
          </w:p>
        </w:tc>
      </w:tr>
    </w:tbl>
    <w:p w:rsidR="007B23EB" w:rsidRPr="007B23EB" w:rsidRDefault="007B23EB" w:rsidP="007B23EB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:rsidR="007B23EB" w:rsidRDefault="007B23E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Marsella, a 11 de enero de 2018</w:t>
      </w: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Catherine PAULET</w:t>
      </w:r>
    </w:p>
    <w:sectPr w:rsidR="00FC541B" w:rsidRPr="00FC541B" w:rsidSect="00D179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1C" w:rsidRDefault="00AD211C" w:rsidP="00FC541B">
      <w:pPr>
        <w:spacing w:after="0" w:line="240" w:lineRule="auto"/>
      </w:pPr>
      <w:r>
        <w:separator/>
      </w:r>
    </w:p>
  </w:endnote>
  <w:endnote w:type="continuationSeparator" w:id="0">
    <w:p w:rsidR="00AD211C" w:rsidRDefault="00AD211C" w:rsidP="00F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52"/>
      <w:docPartObj>
        <w:docPartGallery w:val="Page Numbers (Bottom of Page)"/>
        <w:docPartUnique/>
      </w:docPartObj>
    </w:sdtPr>
    <w:sdtEndPr/>
    <w:sdtContent>
      <w:p w:rsidR="00FC541B" w:rsidRDefault="007E7D1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0C6">
          <w:rPr>
            <w:noProof/>
          </w:rPr>
          <w:t>4</w:t>
        </w:r>
        <w:r>
          <w:fldChar w:fldCharType="end"/>
        </w:r>
      </w:p>
    </w:sdtContent>
  </w:sdt>
  <w:p w:rsidR="00FC541B" w:rsidRDefault="00FC54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1C" w:rsidRDefault="00AD211C" w:rsidP="00FC541B">
      <w:pPr>
        <w:spacing w:after="0" w:line="240" w:lineRule="auto"/>
      </w:pPr>
      <w:r>
        <w:separator/>
      </w:r>
    </w:p>
  </w:footnote>
  <w:footnote w:type="continuationSeparator" w:id="0">
    <w:p w:rsidR="00AD211C" w:rsidRDefault="00AD211C" w:rsidP="00F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B3"/>
    <w:multiLevelType w:val="hybridMultilevel"/>
    <w:tmpl w:val="D7BA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7516"/>
    <w:multiLevelType w:val="hybridMultilevel"/>
    <w:tmpl w:val="384AEB02"/>
    <w:lvl w:ilvl="0" w:tplc="B0E01C0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1E7815"/>
    <w:multiLevelType w:val="hybridMultilevel"/>
    <w:tmpl w:val="3E12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2245"/>
    <w:multiLevelType w:val="hybridMultilevel"/>
    <w:tmpl w:val="8F9E3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95914"/>
    <w:multiLevelType w:val="hybridMultilevel"/>
    <w:tmpl w:val="25FA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00B6"/>
    <w:multiLevelType w:val="hybridMultilevel"/>
    <w:tmpl w:val="C2584A7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03"/>
    <w:rsid w:val="000824C8"/>
    <w:rsid w:val="00093803"/>
    <w:rsid w:val="001207DD"/>
    <w:rsid w:val="00190840"/>
    <w:rsid w:val="001C10C6"/>
    <w:rsid w:val="002C37CE"/>
    <w:rsid w:val="003330B2"/>
    <w:rsid w:val="003B7F12"/>
    <w:rsid w:val="003C42CC"/>
    <w:rsid w:val="0041581F"/>
    <w:rsid w:val="00427498"/>
    <w:rsid w:val="005D6208"/>
    <w:rsid w:val="00643DBD"/>
    <w:rsid w:val="006B070C"/>
    <w:rsid w:val="007104EC"/>
    <w:rsid w:val="00784A3E"/>
    <w:rsid w:val="007B23EB"/>
    <w:rsid w:val="007E5FC4"/>
    <w:rsid w:val="007E7D17"/>
    <w:rsid w:val="008155B7"/>
    <w:rsid w:val="008C41D7"/>
    <w:rsid w:val="009176BB"/>
    <w:rsid w:val="00AD211C"/>
    <w:rsid w:val="00B70D77"/>
    <w:rsid w:val="00CB33E3"/>
    <w:rsid w:val="00CC16F5"/>
    <w:rsid w:val="00D179A4"/>
    <w:rsid w:val="00D22611"/>
    <w:rsid w:val="00FC541B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8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3D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22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2261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7B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41B"/>
  </w:style>
  <w:style w:type="character" w:styleId="Lienhypertexte">
    <w:name w:val="Hyperlink"/>
    <w:basedOn w:val="Policepardfaut"/>
    <w:uiPriority w:val="99"/>
    <w:unhideWhenUsed/>
    <w:rsid w:val="00784A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8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3D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22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2261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7B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41B"/>
  </w:style>
  <w:style w:type="character" w:styleId="Lienhypertexte">
    <w:name w:val="Hyperlink"/>
    <w:basedOn w:val="Policepardfaut"/>
    <w:uiPriority w:val="99"/>
    <w:unhideWhenUsed/>
    <w:rsid w:val="00784A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ABB39-5A48-4E8F-BEDA-6DC7BE2060B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06B14-3785-4BBF-B5E3-B4801379C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C499-73A3-472E-8C47-98BFAC97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dr01718</dc:creator>
  <cp:lastModifiedBy>BOUSQUIE Delphine</cp:lastModifiedBy>
  <cp:revision>2</cp:revision>
  <dcterms:created xsi:type="dcterms:W3CDTF">2018-01-23T15:06:00Z</dcterms:created>
  <dcterms:modified xsi:type="dcterms:W3CDTF">2018-01-23T15:06:00Z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2461800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