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83B30" w:rsidRPr="00083B30" w:rsidRDefault="00910DD6" w:rsidP="00DB48C6">
      <w:pPr>
        <w:spacing w:after="240" w:line="360" w:lineRule="auto"/>
        <w:jc w:val="center"/>
        <w:rPr>
          <w:rFonts w:ascii="Times New Roman" w:hAnsi="Times New Roman" w:cs="Times New Roman"/>
          <w:b/>
          <w:sz w:val="30"/>
          <w:szCs w:val="30"/>
        </w:rPr>
      </w:pPr>
      <w:r>
        <w:rPr>
          <w:rFonts w:ascii="Times New Roman" w:hAnsi="Times New Roman" w:cs="Times New Roman"/>
          <w:b/>
          <w:sz w:val="30"/>
          <w:szCs w:val="30"/>
        </w:rPr>
        <w:t>OE</w:t>
      </w:r>
      <w:r w:rsidR="00083B30" w:rsidRPr="00083B30">
        <w:rPr>
          <w:rFonts w:ascii="Times New Roman" w:hAnsi="Times New Roman" w:cs="Times New Roman"/>
          <w:b/>
          <w:sz w:val="30"/>
          <w:szCs w:val="30"/>
        </w:rPr>
        <w:t>IGWG on TNCs and OBEs - 6th session</w:t>
      </w:r>
    </w:p>
    <w:p w:rsidR="00083B30" w:rsidRDefault="00083B30" w:rsidP="00DB48C6">
      <w:pPr>
        <w:tabs>
          <w:tab w:val="left" w:pos="3243"/>
        </w:tabs>
        <w:spacing w:after="240" w:line="360" w:lineRule="auto"/>
        <w:jc w:val="center"/>
        <w:rPr>
          <w:rFonts w:ascii="Times New Roman" w:hAnsi="Times New Roman" w:cs="Times New Roman"/>
          <w:b/>
          <w:sz w:val="30"/>
          <w:szCs w:val="30"/>
        </w:rPr>
      </w:pPr>
      <w:r w:rsidRPr="00083B30">
        <w:rPr>
          <w:rFonts w:ascii="Times New Roman" w:hAnsi="Times New Roman" w:cs="Times New Roman"/>
          <w:b/>
          <w:sz w:val="30"/>
          <w:szCs w:val="30"/>
        </w:rPr>
        <w:t xml:space="preserve">(ITEM 4) Part I - </w:t>
      </w:r>
      <w:r w:rsidR="00EC6B88">
        <w:rPr>
          <w:rFonts w:ascii="Times New Roman" w:hAnsi="Times New Roman" w:cs="Times New Roman"/>
          <w:b/>
          <w:sz w:val="30"/>
          <w:szCs w:val="30"/>
        </w:rPr>
        <w:t>PREAMBLE AND ARTICLES 1 AND 2</w:t>
      </w:r>
      <w:r w:rsidRPr="00083B30">
        <w:rPr>
          <w:rFonts w:ascii="Times New Roman" w:hAnsi="Times New Roman" w:cs="Times New Roman"/>
          <w:b/>
          <w:sz w:val="30"/>
          <w:szCs w:val="30"/>
        </w:rPr>
        <w:t xml:space="preserve"> (26/10</w:t>
      </w:r>
      <w:r>
        <w:rPr>
          <w:rFonts w:ascii="Times New Roman" w:hAnsi="Times New Roman" w:cs="Times New Roman"/>
          <w:b/>
          <w:sz w:val="30"/>
          <w:szCs w:val="30"/>
        </w:rPr>
        <w:t>/2020</w:t>
      </w:r>
      <w:r w:rsidRPr="00083B30">
        <w:rPr>
          <w:rFonts w:ascii="Times New Roman" w:hAnsi="Times New Roman" w:cs="Times New Roman"/>
          <w:b/>
          <w:sz w:val="30"/>
          <w:szCs w:val="30"/>
        </w:rPr>
        <w:t>)</w:t>
      </w:r>
    </w:p>
    <w:p w:rsidR="00083B30" w:rsidRPr="00083B30" w:rsidRDefault="00083B30" w:rsidP="00DB48C6">
      <w:pPr>
        <w:spacing w:after="240" w:line="360" w:lineRule="auto"/>
        <w:jc w:val="center"/>
        <w:rPr>
          <w:rFonts w:ascii="Times New Roman" w:hAnsi="Times New Roman" w:cs="Times New Roman"/>
          <w:b/>
          <w:sz w:val="30"/>
          <w:szCs w:val="30"/>
        </w:rPr>
      </w:pPr>
      <w:r w:rsidRPr="00083B30">
        <w:rPr>
          <w:rFonts w:ascii="Times New Roman" w:hAnsi="Times New Roman" w:cs="Times New Roman"/>
          <w:b/>
          <w:sz w:val="30"/>
          <w:szCs w:val="30"/>
        </w:rPr>
        <w:t>Brazil, national capacity</w:t>
      </w:r>
    </w:p>
    <w:p w:rsidR="00083B30" w:rsidRPr="00083B30" w:rsidRDefault="00083B30" w:rsidP="00DB48C6">
      <w:pPr>
        <w:spacing w:after="240" w:line="360" w:lineRule="auto"/>
        <w:jc w:val="both"/>
        <w:rPr>
          <w:rFonts w:ascii="Times New Roman" w:hAnsi="Times New Roman" w:cs="Times New Roman"/>
          <w:b/>
          <w:sz w:val="30"/>
          <w:szCs w:val="30"/>
        </w:rPr>
      </w:pPr>
    </w:p>
    <w:p w:rsidR="00083B30" w:rsidRPr="00083B30" w:rsidRDefault="00083B30" w:rsidP="00DB48C6">
      <w:pPr>
        <w:spacing w:after="240" w:line="360" w:lineRule="auto"/>
        <w:jc w:val="both"/>
        <w:rPr>
          <w:rFonts w:ascii="Times New Roman" w:hAnsi="Times New Roman" w:cs="Times New Roman"/>
          <w:b/>
          <w:sz w:val="30"/>
          <w:szCs w:val="30"/>
        </w:rPr>
      </w:pPr>
      <w:r w:rsidRPr="00083B30">
        <w:rPr>
          <w:rFonts w:ascii="Times New Roman" w:hAnsi="Times New Roman" w:cs="Times New Roman"/>
          <w:b/>
          <w:sz w:val="30"/>
          <w:szCs w:val="30"/>
        </w:rPr>
        <w:t>Thank you, Chair-rapporteur,</w:t>
      </w:r>
    </w:p>
    <w:p w:rsidR="00D70B8A" w:rsidRDefault="00D70B8A" w:rsidP="00DB48C6">
      <w:pPr>
        <w:tabs>
          <w:tab w:val="left" w:pos="4680"/>
          <w:tab w:val="right" w:pos="9180"/>
        </w:tabs>
        <w:spacing w:after="240" w:line="360" w:lineRule="auto"/>
        <w:jc w:val="both"/>
        <w:rPr>
          <w:rFonts w:ascii="Times New Roman" w:hAnsi="Times New Roman" w:cs="Times New Roman"/>
          <w:b/>
          <w:sz w:val="30"/>
          <w:szCs w:val="30"/>
        </w:rPr>
      </w:pPr>
      <w:r>
        <w:rPr>
          <w:rFonts w:ascii="Times New Roman" w:hAnsi="Times New Roman" w:cs="Times New Roman"/>
          <w:b/>
          <w:sz w:val="30"/>
          <w:szCs w:val="30"/>
        </w:rPr>
        <w:t xml:space="preserve">Under this agenda item, concerning the Preamble and the first two articles of the second revised draft, the Brazilian delegation would like to comment on the following issues: </w:t>
      </w:r>
    </w:p>
    <w:p w:rsidR="00D70B8A" w:rsidRPr="00D70B8A" w:rsidRDefault="00DB48C6" w:rsidP="00DB48C6">
      <w:pPr>
        <w:tabs>
          <w:tab w:val="left" w:pos="4680"/>
          <w:tab w:val="right" w:pos="9180"/>
        </w:tabs>
        <w:spacing w:after="240" w:line="360" w:lineRule="auto"/>
        <w:jc w:val="both"/>
        <w:rPr>
          <w:rFonts w:ascii="Times New Roman" w:hAnsi="Times New Roman" w:cs="Times New Roman"/>
          <w:b/>
          <w:sz w:val="30"/>
          <w:szCs w:val="30"/>
        </w:rPr>
      </w:pPr>
      <w:r>
        <w:rPr>
          <w:rFonts w:ascii="Times New Roman" w:hAnsi="Times New Roman" w:cs="Times New Roman"/>
          <w:b/>
          <w:sz w:val="30"/>
          <w:szCs w:val="30"/>
        </w:rPr>
        <w:t>2.</w:t>
      </w:r>
      <w:r w:rsidR="00AD4430">
        <w:rPr>
          <w:rFonts w:ascii="Times New Roman" w:hAnsi="Times New Roman" w:cs="Times New Roman"/>
          <w:b/>
          <w:sz w:val="30"/>
          <w:szCs w:val="30"/>
        </w:rPr>
        <w:t xml:space="preserve"> </w:t>
      </w:r>
      <w:r w:rsidR="00D70B8A" w:rsidRPr="00D70B8A">
        <w:rPr>
          <w:rFonts w:ascii="Times New Roman" w:hAnsi="Times New Roman" w:cs="Times New Roman"/>
          <w:b/>
          <w:sz w:val="30"/>
          <w:szCs w:val="30"/>
        </w:rPr>
        <w:t xml:space="preserve">In the preamble, we </w:t>
      </w:r>
      <w:r w:rsidR="00AD4430">
        <w:rPr>
          <w:rFonts w:ascii="Times New Roman" w:hAnsi="Times New Roman" w:cs="Times New Roman"/>
          <w:b/>
          <w:sz w:val="30"/>
          <w:szCs w:val="30"/>
        </w:rPr>
        <w:t>reiterate our view</w:t>
      </w:r>
      <w:r w:rsidR="00D70B8A" w:rsidRPr="00D70B8A">
        <w:rPr>
          <w:rFonts w:ascii="Times New Roman" w:hAnsi="Times New Roman" w:cs="Times New Roman"/>
          <w:b/>
          <w:sz w:val="30"/>
          <w:szCs w:val="30"/>
        </w:rPr>
        <w:t xml:space="preserve"> that a general reference to internationally agreed legally binding instruments, without specifying or quantifying them, could be a way forward to build a consensual approach.</w:t>
      </w:r>
    </w:p>
    <w:p w:rsidR="00D70B8A" w:rsidRPr="00D70B8A" w:rsidRDefault="00DB48C6" w:rsidP="00DB48C6">
      <w:pPr>
        <w:tabs>
          <w:tab w:val="left" w:pos="4680"/>
          <w:tab w:val="right" w:pos="9180"/>
        </w:tabs>
        <w:spacing w:after="240" w:line="360" w:lineRule="auto"/>
        <w:jc w:val="both"/>
        <w:rPr>
          <w:rFonts w:ascii="Times New Roman" w:hAnsi="Times New Roman" w:cs="Times New Roman"/>
          <w:b/>
          <w:sz w:val="30"/>
          <w:szCs w:val="30"/>
        </w:rPr>
      </w:pPr>
      <w:r>
        <w:rPr>
          <w:rFonts w:ascii="Times New Roman" w:hAnsi="Times New Roman" w:cs="Times New Roman"/>
          <w:b/>
          <w:sz w:val="30"/>
          <w:szCs w:val="30"/>
        </w:rPr>
        <w:t xml:space="preserve">3. </w:t>
      </w:r>
      <w:r w:rsidR="00D70B8A" w:rsidRPr="00D70B8A">
        <w:rPr>
          <w:rFonts w:ascii="Times New Roman" w:hAnsi="Times New Roman" w:cs="Times New Roman"/>
          <w:b/>
          <w:sz w:val="30"/>
          <w:szCs w:val="30"/>
        </w:rPr>
        <w:t xml:space="preserve">The </w:t>
      </w:r>
      <w:r w:rsidR="00AD4430">
        <w:rPr>
          <w:rFonts w:ascii="Times New Roman" w:hAnsi="Times New Roman" w:cs="Times New Roman"/>
          <w:b/>
          <w:sz w:val="30"/>
          <w:szCs w:val="30"/>
        </w:rPr>
        <w:t>reference</w:t>
      </w:r>
      <w:r w:rsidR="00D70B8A" w:rsidRPr="00D70B8A">
        <w:rPr>
          <w:rFonts w:ascii="Times New Roman" w:hAnsi="Times New Roman" w:cs="Times New Roman"/>
          <w:b/>
          <w:sz w:val="30"/>
          <w:szCs w:val="30"/>
        </w:rPr>
        <w:t xml:space="preserve"> </w:t>
      </w:r>
      <w:r w:rsidR="00AD4430">
        <w:rPr>
          <w:rFonts w:ascii="Times New Roman" w:hAnsi="Times New Roman" w:cs="Times New Roman"/>
          <w:b/>
          <w:sz w:val="30"/>
          <w:szCs w:val="30"/>
        </w:rPr>
        <w:t>to</w:t>
      </w:r>
      <w:r w:rsidR="00D70B8A" w:rsidRPr="00D70B8A">
        <w:rPr>
          <w:rFonts w:ascii="Times New Roman" w:hAnsi="Times New Roman" w:cs="Times New Roman"/>
          <w:b/>
          <w:sz w:val="30"/>
          <w:szCs w:val="30"/>
        </w:rPr>
        <w:t xml:space="preserve"> specific legally binding instruments may pose challenges to the negotiating position of countries that </w:t>
      </w:r>
      <w:r w:rsidR="00AD4430">
        <w:rPr>
          <w:rFonts w:ascii="Times New Roman" w:hAnsi="Times New Roman" w:cs="Times New Roman"/>
          <w:b/>
          <w:sz w:val="30"/>
          <w:szCs w:val="30"/>
        </w:rPr>
        <w:t xml:space="preserve">have not </w:t>
      </w:r>
      <w:r w:rsidR="00D70B8A" w:rsidRPr="00D70B8A">
        <w:rPr>
          <w:rFonts w:ascii="Times New Roman" w:hAnsi="Times New Roman" w:cs="Times New Roman"/>
          <w:b/>
          <w:sz w:val="30"/>
          <w:szCs w:val="30"/>
        </w:rPr>
        <w:t>ratify them.</w:t>
      </w:r>
    </w:p>
    <w:p w:rsidR="00D70B8A" w:rsidRDefault="00DB48C6" w:rsidP="00DB48C6">
      <w:pPr>
        <w:tabs>
          <w:tab w:val="left" w:pos="4680"/>
          <w:tab w:val="right" w:pos="9180"/>
        </w:tabs>
        <w:spacing w:after="240" w:line="360" w:lineRule="auto"/>
        <w:jc w:val="both"/>
        <w:rPr>
          <w:rFonts w:ascii="Times New Roman" w:hAnsi="Times New Roman" w:cs="Times New Roman"/>
          <w:b/>
          <w:sz w:val="30"/>
          <w:szCs w:val="30"/>
        </w:rPr>
      </w:pPr>
      <w:r>
        <w:rPr>
          <w:rFonts w:ascii="Times New Roman" w:hAnsi="Times New Roman" w:cs="Times New Roman"/>
          <w:b/>
          <w:sz w:val="30"/>
          <w:szCs w:val="30"/>
        </w:rPr>
        <w:t xml:space="preserve">4. </w:t>
      </w:r>
      <w:r w:rsidR="00D70B8A" w:rsidRPr="00D70B8A">
        <w:rPr>
          <w:rFonts w:ascii="Times New Roman" w:hAnsi="Times New Roman" w:cs="Times New Roman"/>
          <w:b/>
          <w:sz w:val="30"/>
          <w:szCs w:val="30"/>
        </w:rPr>
        <w:t xml:space="preserve">Due consideration should be given to the different legal </w:t>
      </w:r>
      <w:r w:rsidR="00AD4430">
        <w:rPr>
          <w:rFonts w:ascii="Times New Roman" w:hAnsi="Times New Roman" w:cs="Times New Roman"/>
          <w:b/>
          <w:sz w:val="30"/>
          <w:szCs w:val="30"/>
        </w:rPr>
        <w:t>status</w:t>
      </w:r>
      <w:r w:rsidR="00D70B8A" w:rsidRPr="00D70B8A">
        <w:rPr>
          <w:rFonts w:ascii="Times New Roman" w:hAnsi="Times New Roman" w:cs="Times New Roman"/>
          <w:b/>
          <w:sz w:val="30"/>
          <w:szCs w:val="30"/>
        </w:rPr>
        <w:t xml:space="preserve"> of declarations and treaties, especially when international declarations that were not subject to ratification under domestic procedures are </w:t>
      </w:r>
      <w:r w:rsidR="00AD4430">
        <w:rPr>
          <w:rFonts w:ascii="Times New Roman" w:hAnsi="Times New Roman" w:cs="Times New Roman"/>
          <w:b/>
          <w:sz w:val="30"/>
          <w:szCs w:val="30"/>
        </w:rPr>
        <w:t>considered as</w:t>
      </w:r>
      <w:r w:rsidR="00D70B8A" w:rsidRPr="00D70B8A">
        <w:rPr>
          <w:rFonts w:ascii="Times New Roman" w:hAnsi="Times New Roman" w:cs="Times New Roman"/>
          <w:b/>
          <w:sz w:val="30"/>
          <w:szCs w:val="30"/>
        </w:rPr>
        <w:t xml:space="preserve"> legally</w:t>
      </w:r>
      <w:r w:rsidR="00AD4430">
        <w:rPr>
          <w:rFonts w:ascii="Times New Roman" w:hAnsi="Times New Roman" w:cs="Times New Roman"/>
          <w:b/>
          <w:sz w:val="30"/>
          <w:szCs w:val="30"/>
        </w:rPr>
        <w:t xml:space="preserve"> equivalent to legally</w:t>
      </w:r>
      <w:r w:rsidR="00D70B8A" w:rsidRPr="00D70B8A">
        <w:rPr>
          <w:rFonts w:ascii="Times New Roman" w:hAnsi="Times New Roman" w:cs="Times New Roman"/>
          <w:b/>
          <w:sz w:val="30"/>
          <w:szCs w:val="30"/>
        </w:rPr>
        <w:t xml:space="preserve"> binding international instruments.</w:t>
      </w:r>
    </w:p>
    <w:p w:rsidR="00FC6C69" w:rsidRDefault="00FC6C69" w:rsidP="00DB48C6">
      <w:pPr>
        <w:tabs>
          <w:tab w:val="left" w:pos="4680"/>
          <w:tab w:val="right" w:pos="9180"/>
        </w:tabs>
        <w:spacing w:after="240" w:line="360" w:lineRule="auto"/>
        <w:jc w:val="both"/>
        <w:rPr>
          <w:rFonts w:ascii="Times New Roman" w:hAnsi="Times New Roman" w:cs="Times New Roman"/>
          <w:b/>
          <w:sz w:val="30"/>
          <w:szCs w:val="30"/>
        </w:rPr>
      </w:pPr>
    </w:p>
    <w:p w:rsidR="00D70B8A" w:rsidRPr="00D70B8A" w:rsidRDefault="00DB48C6" w:rsidP="00DB48C6">
      <w:pPr>
        <w:tabs>
          <w:tab w:val="left" w:pos="4680"/>
          <w:tab w:val="right" w:pos="9180"/>
        </w:tabs>
        <w:spacing w:after="240" w:line="360" w:lineRule="auto"/>
        <w:jc w:val="both"/>
        <w:rPr>
          <w:rFonts w:ascii="Times New Roman" w:hAnsi="Times New Roman" w:cs="Times New Roman"/>
          <w:b/>
          <w:sz w:val="30"/>
          <w:szCs w:val="30"/>
        </w:rPr>
      </w:pPr>
      <w:r>
        <w:rPr>
          <w:rFonts w:ascii="Times New Roman" w:hAnsi="Times New Roman" w:cs="Times New Roman"/>
          <w:b/>
          <w:sz w:val="30"/>
          <w:szCs w:val="30"/>
        </w:rPr>
        <w:lastRenderedPageBreak/>
        <w:t>5.</w:t>
      </w:r>
      <w:r w:rsidR="00AD4430" w:rsidRPr="00D70B8A">
        <w:rPr>
          <w:rFonts w:ascii="Times New Roman" w:hAnsi="Times New Roman" w:cs="Times New Roman"/>
          <w:b/>
          <w:sz w:val="30"/>
          <w:szCs w:val="30"/>
        </w:rPr>
        <w:t xml:space="preserve"> We draw </w:t>
      </w:r>
      <w:r w:rsidR="00AD4430">
        <w:rPr>
          <w:rFonts w:ascii="Times New Roman" w:hAnsi="Times New Roman" w:cs="Times New Roman"/>
          <w:b/>
          <w:sz w:val="30"/>
          <w:szCs w:val="30"/>
        </w:rPr>
        <w:t xml:space="preserve">specific </w:t>
      </w:r>
      <w:r w:rsidR="00AD4430" w:rsidRPr="00D70B8A">
        <w:rPr>
          <w:rFonts w:ascii="Times New Roman" w:hAnsi="Times New Roman" w:cs="Times New Roman"/>
          <w:b/>
          <w:sz w:val="30"/>
          <w:szCs w:val="30"/>
        </w:rPr>
        <w:t>attention to references to rights that are not yet enshrined in legally binding international human rights instruments, such as the one provided for on PP5, and we call for their exclusion from the text or, at the very least, for the revision of their wording.</w:t>
      </w:r>
    </w:p>
    <w:p w:rsidR="00AD4430" w:rsidRPr="00D70B8A" w:rsidRDefault="00DB48C6" w:rsidP="00DB48C6">
      <w:pPr>
        <w:tabs>
          <w:tab w:val="left" w:pos="4680"/>
          <w:tab w:val="right" w:pos="9180"/>
        </w:tabs>
        <w:spacing w:after="240" w:line="360" w:lineRule="auto"/>
        <w:jc w:val="both"/>
        <w:rPr>
          <w:rFonts w:ascii="Times New Roman" w:hAnsi="Times New Roman" w:cs="Times New Roman"/>
          <w:b/>
          <w:sz w:val="30"/>
          <w:szCs w:val="30"/>
        </w:rPr>
      </w:pPr>
      <w:r>
        <w:rPr>
          <w:rFonts w:ascii="Times New Roman" w:hAnsi="Times New Roman" w:cs="Times New Roman"/>
          <w:b/>
          <w:sz w:val="30"/>
          <w:szCs w:val="30"/>
        </w:rPr>
        <w:t>6.</w:t>
      </w:r>
      <w:r w:rsidR="00D70B8A" w:rsidRPr="00D70B8A">
        <w:rPr>
          <w:rFonts w:ascii="Times New Roman" w:hAnsi="Times New Roman" w:cs="Times New Roman"/>
          <w:b/>
          <w:sz w:val="30"/>
          <w:szCs w:val="30"/>
        </w:rPr>
        <w:t xml:space="preserve"> The inspiration given by previous international declarations adopted by the UN, however, should be </w:t>
      </w:r>
      <w:r w:rsidRPr="00D70B8A">
        <w:rPr>
          <w:rFonts w:ascii="Times New Roman" w:hAnsi="Times New Roman" w:cs="Times New Roman"/>
          <w:b/>
          <w:sz w:val="30"/>
          <w:szCs w:val="30"/>
        </w:rPr>
        <w:t>considered</w:t>
      </w:r>
      <w:r w:rsidR="00D70B8A" w:rsidRPr="00D70B8A">
        <w:rPr>
          <w:rFonts w:ascii="Times New Roman" w:hAnsi="Times New Roman" w:cs="Times New Roman"/>
          <w:b/>
          <w:sz w:val="30"/>
          <w:szCs w:val="30"/>
        </w:rPr>
        <w:t xml:space="preserve"> while drafting of the aspirational aspects described in the preambular part. In this sense, we note that in PP6, new adjectives to characterize the human rights have been added to those established in the article 5 of the Vienna Declaration of 1993. A clarification on the source of the new wording would be</w:t>
      </w:r>
      <w:r w:rsidR="00AD4430">
        <w:rPr>
          <w:rFonts w:ascii="Times New Roman" w:hAnsi="Times New Roman" w:cs="Times New Roman"/>
          <w:b/>
          <w:sz w:val="30"/>
          <w:szCs w:val="30"/>
        </w:rPr>
        <w:t xml:space="preserve"> much</w:t>
      </w:r>
      <w:r w:rsidR="00D70B8A" w:rsidRPr="00D70B8A">
        <w:rPr>
          <w:rFonts w:ascii="Times New Roman" w:hAnsi="Times New Roman" w:cs="Times New Roman"/>
          <w:b/>
          <w:sz w:val="30"/>
          <w:szCs w:val="30"/>
        </w:rPr>
        <w:t xml:space="preserve"> appreciated.</w:t>
      </w:r>
    </w:p>
    <w:p w:rsidR="00AD4430" w:rsidRPr="00D70B8A" w:rsidRDefault="00DB48C6" w:rsidP="00DB48C6">
      <w:pPr>
        <w:tabs>
          <w:tab w:val="left" w:pos="4680"/>
          <w:tab w:val="right" w:pos="9180"/>
        </w:tabs>
        <w:spacing w:after="240" w:line="360" w:lineRule="auto"/>
        <w:jc w:val="both"/>
        <w:rPr>
          <w:rFonts w:ascii="Times New Roman" w:hAnsi="Times New Roman" w:cs="Times New Roman"/>
          <w:b/>
          <w:sz w:val="30"/>
          <w:szCs w:val="30"/>
        </w:rPr>
      </w:pPr>
      <w:r>
        <w:rPr>
          <w:rFonts w:ascii="Times New Roman" w:hAnsi="Times New Roman" w:cs="Times New Roman"/>
          <w:b/>
          <w:sz w:val="30"/>
          <w:szCs w:val="30"/>
        </w:rPr>
        <w:t>7.</w:t>
      </w:r>
      <w:r w:rsidR="00D70B8A" w:rsidRPr="00D70B8A">
        <w:rPr>
          <w:rFonts w:ascii="Times New Roman" w:hAnsi="Times New Roman" w:cs="Times New Roman"/>
          <w:b/>
          <w:sz w:val="30"/>
          <w:szCs w:val="30"/>
        </w:rPr>
        <w:t xml:space="preserve"> On PP13, we are unsure on why in the expression “civil society including human rights defenders” the term “inclusion” has been replaced by “and”. As we see, the latter constitutes an example of the former, and therefore “including” might be a more precise choice of word.</w:t>
      </w:r>
      <w:r w:rsidR="00AD4430">
        <w:rPr>
          <w:rFonts w:ascii="Times New Roman" w:hAnsi="Times New Roman" w:cs="Times New Roman"/>
          <w:b/>
          <w:sz w:val="30"/>
          <w:szCs w:val="30"/>
        </w:rPr>
        <w:t xml:space="preserve"> </w:t>
      </w:r>
    </w:p>
    <w:p w:rsidR="00D70B8A" w:rsidRPr="00D70B8A" w:rsidRDefault="00DB48C6" w:rsidP="00DB48C6">
      <w:pPr>
        <w:tabs>
          <w:tab w:val="left" w:pos="4680"/>
          <w:tab w:val="right" w:pos="9180"/>
        </w:tabs>
        <w:spacing w:after="240" w:line="360" w:lineRule="auto"/>
        <w:jc w:val="both"/>
        <w:rPr>
          <w:rFonts w:ascii="Times New Roman" w:hAnsi="Times New Roman" w:cs="Times New Roman"/>
          <w:b/>
          <w:sz w:val="30"/>
          <w:szCs w:val="30"/>
        </w:rPr>
      </w:pPr>
      <w:r>
        <w:rPr>
          <w:rFonts w:ascii="Times New Roman" w:hAnsi="Times New Roman" w:cs="Times New Roman"/>
          <w:b/>
          <w:sz w:val="30"/>
          <w:szCs w:val="30"/>
        </w:rPr>
        <w:t>8.</w:t>
      </w:r>
      <w:r w:rsidR="00AD4430" w:rsidRPr="00D70B8A">
        <w:rPr>
          <w:rFonts w:ascii="Times New Roman" w:hAnsi="Times New Roman" w:cs="Times New Roman"/>
          <w:b/>
          <w:sz w:val="30"/>
          <w:szCs w:val="30"/>
        </w:rPr>
        <w:t xml:space="preserve"> We </w:t>
      </w:r>
      <w:r w:rsidR="00AD4430">
        <w:rPr>
          <w:rFonts w:ascii="Times New Roman" w:hAnsi="Times New Roman" w:cs="Times New Roman"/>
          <w:b/>
          <w:sz w:val="30"/>
          <w:szCs w:val="30"/>
        </w:rPr>
        <w:t xml:space="preserve">also </w:t>
      </w:r>
      <w:r w:rsidR="00AD4430" w:rsidRPr="00D70B8A">
        <w:rPr>
          <w:rFonts w:ascii="Times New Roman" w:hAnsi="Times New Roman" w:cs="Times New Roman"/>
          <w:b/>
          <w:sz w:val="30"/>
          <w:szCs w:val="30"/>
        </w:rPr>
        <w:t>propose the revision of the language of PP13, to clarify that business enterprises</w:t>
      </w:r>
      <w:r w:rsidR="00AD4430">
        <w:rPr>
          <w:rFonts w:ascii="Times New Roman" w:hAnsi="Times New Roman" w:cs="Times New Roman"/>
          <w:b/>
          <w:sz w:val="30"/>
          <w:szCs w:val="30"/>
        </w:rPr>
        <w:t>,</w:t>
      </w:r>
      <w:r w:rsidR="00AD4430" w:rsidRPr="00D70B8A">
        <w:rPr>
          <w:rFonts w:ascii="Times New Roman" w:hAnsi="Times New Roman" w:cs="Times New Roman"/>
          <w:b/>
          <w:sz w:val="30"/>
          <w:szCs w:val="30"/>
        </w:rPr>
        <w:t xml:space="preserve"> in general</w:t>
      </w:r>
      <w:r w:rsidR="00AD4430">
        <w:rPr>
          <w:rFonts w:ascii="Times New Roman" w:hAnsi="Times New Roman" w:cs="Times New Roman"/>
          <w:b/>
          <w:sz w:val="30"/>
          <w:szCs w:val="30"/>
        </w:rPr>
        <w:t>,</w:t>
      </w:r>
      <w:r w:rsidR="00AD4430" w:rsidRPr="00D70B8A">
        <w:rPr>
          <w:rFonts w:ascii="Times New Roman" w:hAnsi="Times New Roman" w:cs="Times New Roman"/>
          <w:b/>
          <w:sz w:val="30"/>
          <w:szCs w:val="30"/>
        </w:rPr>
        <w:t xml:space="preserve"> have a central role in fostering the achievement of sustainable development.</w:t>
      </w:r>
    </w:p>
    <w:p w:rsidR="00D70B8A" w:rsidRPr="00D70B8A" w:rsidRDefault="00DB48C6" w:rsidP="00DB48C6">
      <w:pPr>
        <w:tabs>
          <w:tab w:val="left" w:pos="4680"/>
          <w:tab w:val="right" w:pos="9180"/>
        </w:tabs>
        <w:spacing w:after="240" w:line="360" w:lineRule="auto"/>
        <w:jc w:val="both"/>
        <w:rPr>
          <w:rFonts w:ascii="Times New Roman" w:hAnsi="Times New Roman" w:cs="Times New Roman"/>
          <w:b/>
          <w:sz w:val="30"/>
          <w:szCs w:val="30"/>
        </w:rPr>
      </w:pPr>
      <w:r>
        <w:rPr>
          <w:rFonts w:ascii="Times New Roman" w:hAnsi="Times New Roman" w:cs="Times New Roman"/>
          <w:b/>
          <w:sz w:val="30"/>
          <w:szCs w:val="30"/>
        </w:rPr>
        <w:t>9.</w:t>
      </w:r>
      <w:r w:rsidR="00D70B8A" w:rsidRPr="00D70B8A">
        <w:rPr>
          <w:rFonts w:ascii="Times New Roman" w:hAnsi="Times New Roman" w:cs="Times New Roman"/>
          <w:b/>
          <w:sz w:val="30"/>
          <w:szCs w:val="30"/>
        </w:rPr>
        <w:t xml:space="preserve"> On PP14, the deletion of the word “certain” seems to imply that all kinds of business-related human rights abuses will impose a distinctive and disproportionate impact on the vulnerable groups listed in this paragraph. This assumption needs to be better refined and explained since we are dealing with a legally binding instrument. </w:t>
      </w:r>
    </w:p>
    <w:p w:rsidR="00D70B8A" w:rsidRDefault="00DB48C6" w:rsidP="00DB48C6">
      <w:pPr>
        <w:tabs>
          <w:tab w:val="left" w:pos="4680"/>
          <w:tab w:val="right" w:pos="9180"/>
        </w:tabs>
        <w:spacing w:after="240" w:line="360" w:lineRule="auto"/>
        <w:jc w:val="both"/>
        <w:rPr>
          <w:rFonts w:ascii="Times New Roman" w:hAnsi="Times New Roman" w:cs="Times New Roman"/>
          <w:b/>
          <w:sz w:val="30"/>
          <w:szCs w:val="30"/>
        </w:rPr>
      </w:pPr>
      <w:r>
        <w:rPr>
          <w:rFonts w:ascii="Times New Roman" w:hAnsi="Times New Roman" w:cs="Times New Roman"/>
          <w:b/>
          <w:sz w:val="30"/>
          <w:szCs w:val="30"/>
        </w:rPr>
        <w:lastRenderedPageBreak/>
        <w:t>10.</w:t>
      </w:r>
      <w:r w:rsidR="00D70B8A" w:rsidRPr="00D70B8A">
        <w:rPr>
          <w:rFonts w:ascii="Times New Roman" w:hAnsi="Times New Roman" w:cs="Times New Roman"/>
          <w:b/>
          <w:sz w:val="30"/>
          <w:szCs w:val="30"/>
        </w:rPr>
        <w:t xml:space="preserve"> On PP15, while we reiterate the Brazilian unwavering commitment to combat any discrimination and violence against women, we would recommend caution to address this important issue under the guise of “gender perspective”, especially when requiring that it should be interpreted, in generic terms, “in line with (…) other international standards”. We call on the chair-rapporteur to give this matter due consideration, in order to not lose the focus of the discussions by aggregating non-consensual language to the draft LBI.</w:t>
      </w:r>
    </w:p>
    <w:p w:rsidR="00AD4430" w:rsidRDefault="00DB48C6" w:rsidP="00DB48C6">
      <w:pPr>
        <w:tabs>
          <w:tab w:val="left" w:pos="4680"/>
          <w:tab w:val="right" w:pos="9180"/>
        </w:tabs>
        <w:spacing w:after="240" w:line="360" w:lineRule="auto"/>
        <w:jc w:val="both"/>
        <w:rPr>
          <w:rFonts w:ascii="Times New Roman" w:hAnsi="Times New Roman" w:cs="Times New Roman"/>
          <w:b/>
          <w:sz w:val="30"/>
          <w:szCs w:val="30"/>
        </w:rPr>
      </w:pPr>
      <w:r>
        <w:rPr>
          <w:rFonts w:ascii="Times New Roman" w:hAnsi="Times New Roman" w:cs="Times New Roman"/>
          <w:b/>
          <w:sz w:val="30"/>
          <w:szCs w:val="30"/>
        </w:rPr>
        <w:t>11.</w:t>
      </w:r>
      <w:r w:rsidR="00AD4430" w:rsidRPr="00D70B8A">
        <w:rPr>
          <w:rFonts w:ascii="Times New Roman" w:hAnsi="Times New Roman" w:cs="Times New Roman"/>
          <w:b/>
          <w:sz w:val="30"/>
          <w:szCs w:val="30"/>
        </w:rPr>
        <w:t xml:space="preserve"> We are worried that PP16, as it currently stands, may lead to confusion regarding which Human Rights Council resolutions are, in fact, relevant to the issue at hand. Moreover, we are not convinced that it is appropriate to mention non-binding resolutions in the preamble of a legally binding instrument.  </w:t>
      </w:r>
    </w:p>
    <w:p w:rsidR="00AD4430" w:rsidRPr="00D70B8A" w:rsidRDefault="00DB48C6" w:rsidP="00DB48C6">
      <w:pPr>
        <w:tabs>
          <w:tab w:val="left" w:pos="4680"/>
          <w:tab w:val="right" w:pos="9180"/>
        </w:tabs>
        <w:spacing w:after="240" w:line="360" w:lineRule="auto"/>
        <w:jc w:val="both"/>
        <w:rPr>
          <w:rFonts w:ascii="Times New Roman" w:hAnsi="Times New Roman" w:cs="Times New Roman"/>
          <w:b/>
          <w:sz w:val="30"/>
          <w:szCs w:val="30"/>
        </w:rPr>
      </w:pPr>
      <w:r>
        <w:rPr>
          <w:rFonts w:ascii="Times New Roman" w:hAnsi="Times New Roman" w:cs="Times New Roman"/>
          <w:b/>
          <w:sz w:val="30"/>
          <w:szCs w:val="30"/>
        </w:rPr>
        <w:t>12.</w:t>
      </w:r>
      <w:r w:rsidR="00AD4430" w:rsidRPr="00D70B8A">
        <w:rPr>
          <w:rFonts w:ascii="Times New Roman" w:hAnsi="Times New Roman" w:cs="Times New Roman"/>
          <w:b/>
          <w:sz w:val="30"/>
          <w:szCs w:val="30"/>
        </w:rPr>
        <w:t xml:space="preserve"> We also propose that PP17 recognizes the complementary role that the Guiding Principles has played with regard to the LBI.</w:t>
      </w:r>
    </w:p>
    <w:p w:rsidR="00D70B8A" w:rsidRPr="00D70B8A" w:rsidRDefault="00DB48C6" w:rsidP="00DB48C6">
      <w:pPr>
        <w:tabs>
          <w:tab w:val="left" w:pos="4680"/>
          <w:tab w:val="right" w:pos="9180"/>
        </w:tabs>
        <w:spacing w:after="240" w:line="360" w:lineRule="auto"/>
        <w:jc w:val="both"/>
        <w:rPr>
          <w:rFonts w:ascii="Times New Roman" w:hAnsi="Times New Roman" w:cs="Times New Roman"/>
          <w:b/>
          <w:sz w:val="30"/>
          <w:szCs w:val="30"/>
        </w:rPr>
      </w:pPr>
      <w:r>
        <w:rPr>
          <w:rFonts w:ascii="Times New Roman" w:hAnsi="Times New Roman" w:cs="Times New Roman"/>
          <w:b/>
          <w:sz w:val="30"/>
          <w:szCs w:val="30"/>
        </w:rPr>
        <w:t>13.</w:t>
      </w:r>
      <w:r w:rsidR="00D70B8A" w:rsidRPr="00D70B8A">
        <w:rPr>
          <w:rFonts w:ascii="Times New Roman" w:hAnsi="Times New Roman" w:cs="Times New Roman"/>
          <w:b/>
          <w:sz w:val="30"/>
          <w:szCs w:val="30"/>
        </w:rPr>
        <w:t xml:space="preserve"> In the last preambular paragraph, we welcome the efforts to provide an alternative to the generic statement that the LBI constituted “a contribution to the development of the international law”. However, we understand that by “clarifying and facilitation the implementation of obligations of States”, this LBI, which is of a specific nature, should not be treated as an opportunity to discuss and decide on the creation of new human rights.</w:t>
      </w:r>
    </w:p>
    <w:p w:rsidR="00D70B8A" w:rsidRDefault="00DB48C6" w:rsidP="00DB48C6">
      <w:pPr>
        <w:tabs>
          <w:tab w:val="left" w:pos="4680"/>
          <w:tab w:val="right" w:pos="9180"/>
        </w:tabs>
        <w:spacing w:after="240" w:line="360" w:lineRule="auto"/>
        <w:jc w:val="both"/>
        <w:rPr>
          <w:rFonts w:ascii="Times New Roman" w:hAnsi="Times New Roman" w:cs="Times New Roman"/>
          <w:b/>
          <w:sz w:val="30"/>
          <w:szCs w:val="30"/>
        </w:rPr>
      </w:pPr>
      <w:r>
        <w:rPr>
          <w:rFonts w:ascii="Times New Roman" w:hAnsi="Times New Roman" w:cs="Times New Roman"/>
          <w:b/>
          <w:sz w:val="30"/>
          <w:szCs w:val="30"/>
        </w:rPr>
        <w:lastRenderedPageBreak/>
        <w:t>14.</w:t>
      </w:r>
      <w:r w:rsidR="00D70B8A" w:rsidRPr="00D70B8A">
        <w:rPr>
          <w:rFonts w:ascii="Times New Roman" w:hAnsi="Times New Roman" w:cs="Times New Roman"/>
          <w:b/>
          <w:sz w:val="30"/>
          <w:szCs w:val="30"/>
        </w:rPr>
        <w:t xml:space="preserve"> concerning the definitions, in article 1, we welcome in paragraph 1.1 the new language that restricted the concept of victims to those persons that actually suffered abuses of their rights. However, we remain concerned about the inclusion of collectivities in the category of victims, and the lack of safeguards concerning the possibility of establishing new rights in the international sphere for a range of collective groups.</w:t>
      </w:r>
    </w:p>
    <w:p w:rsidR="00DB48C6" w:rsidRPr="00D70B8A" w:rsidRDefault="00EC6B88" w:rsidP="00DB48C6">
      <w:pPr>
        <w:tabs>
          <w:tab w:val="left" w:pos="4680"/>
          <w:tab w:val="right" w:pos="9180"/>
        </w:tabs>
        <w:spacing w:after="240" w:line="360" w:lineRule="auto"/>
        <w:jc w:val="both"/>
        <w:rPr>
          <w:rFonts w:ascii="Times New Roman" w:hAnsi="Times New Roman" w:cs="Times New Roman"/>
          <w:b/>
          <w:sz w:val="30"/>
          <w:szCs w:val="30"/>
        </w:rPr>
      </w:pPr>
      <w:r>
        <w:rPr>
          <w:rFonts w:ascii="Times New Roman" w:hAnsi="Times New Roman" w:cs="Times New Roman"/>
          <w:b/>
          <w:sz w:val="30"/>
          <w:szCs w:val="30"/>
        </w:rPr>
        <w:t>15.</w:t>
      </w:r>
      <w:r w:rsidR="00DB48C6" w:rsidRPr="00D70B8A">
        <w:rPr>
          <w:rFonts w:ascii="Times New Roman" w:hAnsi="Times New Roman" w:cs="Times New Roman"/>
          <w:b/>
          <w:sz w:val="30"/>
          <w:szCs w:val="30"/>
        </w:rPr>
        <w:t xml:space="preserve"> We </w:t>
      </w:r>
      <w:r w:rsidR="00DB48C6">
        <w:rPr>
          <w:rFonts w:ascii="Times New Roman" w:hAnsi="Times New Roman" w:cs="Times New Roman"/>
          <w:b/>
          <w:sz w:val="30"/>
          <w:szCs w:val="30"/>
        </w:rPr>
        <w:t xml:space="preserve">also </w:t>
      </w:r>
      <w:r w:rsidR="00DB48C6" w:rsidRPr="00D70B8A">
        <w:rPr>
          <w:rFonts w:ascii="Times New Roman" w:hAnsi="Times New Roman" w:cs="Times New Roman"/>
          <w:b/>
          <w:sz w:val="30"/>
          <w:szCs w:val="30"/>
        </w:rPr>
        <w:t xml:space="preserve">call for the substitution, </w:t>
      </w:r>
      <w:r w:rsidR="00DB48C6">
        <w:rPr>
          <w:rFonts w:ascii="Times New Roman" w:hAnsi="Times New Roman" w:cs="Times New Roman"/>
          <w:b/>
          <w:sz w:val="30"/>
          <w:szCs w:val="30"/>
        </w:rPr>
        <w:t xml:space="preserve">in article 1.1 and </w:t>
      </w:r>
      <w:r w:rsidR="00DB48C6" w:rsidRPr="00D70B8A">
        <w:rPr>
          <w:rFonts w:ascii="Times New Roman" w:hAnsi="Times New Roman" w:cs="Times New Roman"/>
          <w:b/>
          <w:sz w:val="30"/>
          <w:szCs w:val="30"/>
        </w:rPr>
        <w:t>throughout the entire document, of the expression “in the context of business activities” for the alternative “caused by business activities”, in order to increase the accuracy, predictability and legal certainty of the text – something that should not be overlooked in a legally binding instrument.</w:t>
      </w:r>
    </w:p>
    <w:p w:rsidR="00DB48C6" w:rsidRDefault="00EC6B88" w:rsidP="00DB48C6">
      <w:pPr>
        <w:tabs>
          <w:tab w:val="left" w:pos="4680"/>
          <w:tab w:val="right" w:pos="9180"/>
        </w:tabs>
        <w:spacing w:after="240" w:line="360" w:lineRule="auto"/>
        <w:jc w:val="both"/>
        <w:rPr>
          <w:rFonts w:ascii="Times New Roman" w:hAnsi="Times New Roman" w:cs="Times New Roman"/>
          <w:b/>
          <w:sz w:val="30"/>
          <w:szCs w:val="30"/>
        </w:rPr>
      </w:pPr>
      <w:r>
        <w:rPr>
          <w:rFonts w:ascii="Times New Roman" w:hAnsi="Times New Roman" w:cs="Times New Roman"/>
          <w:b/>
          <w:sz w:val="30"/>
          <w:szCs w:val="30"/>
        </w:rPr>
        <w:t>16.</w:t>
      </w:r>
      <w:r w:rsidR="00D70B8A" w:rsidRPr="00D70B8A">
        <w:rPr>
          <w:rFonts w:ascii="Times New Roman" w:hAnsi="Times New Roman" w:cs="Times New Roman"/>
          <w:b/>
          <w:sz w:val="30"/>
          <w:szCs w:val="30"/>
        </w:rPr>
        <w:t xml:space="preserve"> As stated by Brazil in the 5th session, we are still not convinced on the need of proposing a definition for human rights abuses. </w:t>
      </w:r>
    </w:p>
    <w:p w:rsidR="00DB48C6" w:rsidRDefault="00EC6B88" w:rsidP="00DB48C6">
      <w:pPr>
        <w:tabs>
          <w:tab w:val="left" w:pos="4680"/>
          <w:tab w:val="right" w:pos="9180"/>
        </w:tabs>
        <w:spacing w:after="240" w:line="360" w:lineRule="auto"/>
        <w:jc w:val="both"/>
        <w:rPr>
          <w:rFonts w:ascii="Times New Roman" w:hAnsi="Times New Roman" w:cs="Times New Roman"/>
          <w:b/>
          <w:sz w:val="30"/>
          <w:szCs w:val="30"/>
        </w:rPr>
      </w:pPr>
      <w:r>
        <w:rPr>
          <w:rFonts w:ascii="Times New Roman" w:hAnsi="Times New Roman" w:cs="Times New Roman"/>
          <w:b/>
          <w:sz w:val="30"/>
          <w:szCs w:val="30"/>
        </w:rPr>
        <w:t>17.</w:t>
      </w:r>
      <w:r w:rsidR="00DB48C6">
        <w:rPr>
          <w:rFonts w:ascii="Times New Roman" w:hAnsi="Times New Roman" w:cs="Times New Roman"/>
          <w:b/>
          <w:sz w:val="30"/>
          <w:szCs w:val="30"/>
        </w:rPr>
        <w:t xml:space="preserve"> </w:t>
      </w:r>
      <w:r w:rsidR="00D70B8A" w:rsidRPr="00D70B8A">
        <w:rPr>
          <w:rFonts w:ascii="Times New Roman" w:hAnsi="Times New Roman" w:cs="Times New Roman"/>
          <w:b/>
          <w:sz w:val="30"/>
          <w:szCs w:val="30"/>
        </w:rPr>
        <w:t xml:space="preserve">Since it was kept in the text, we must reiterate our statement during the intersessional consultations that the inclusion of “omissions” could lead to serious controversy in criminal law systems - such as the one in Brazil - based upon the material conception of the illicit. </w:t>
      </w:r>
    </w:p>
    <w:p w:rsidR="00DB48C6" w:rsidRDefault="00EC6B88" w:rsidP="00DB48C6">
      <w:pPr>
        <w:tabs>
          <w:tab w:val="left" w:pos="4680"/>
          <w:tab w:val="right" w:pos="9180"/>
        </w:tabs>
        <w:spacing w:after="240" w:line="360" w:lineRule="auto"/>
        <w:jc w:val="both"/>
        <w:rPr>
          <w:rFonts w:ascii="Times New Roman" w:hAnsi="Times New Roman" w:cs="Times New Roman"/>
          <w:b/>
          <w:sz w:val="30"/>
          <w:szCs w:val="30"/>
        </w:rPr>
      </w:pPr>
      <w:r>
        <w:rPr>
          <w:rFonts w:ascii="Times New Roman" w:hAnsi="Times New Roman" w:cs="Times New Roman"/>
          <w:b/>
          <w:sz w:val="30"/>
          <w:szCs w:val="30"/>
        </w:rPr>
        <w:t>18.</w:t>
      </w:r>
      <w:r w:rsidR="00DB48C6">
        <w:rPr>
          <w:rFonts w:ascii="Times New Roman" w:hAnsi="Times New Roman" w:cs="Times New Roman"/>
          <w:b/>
          <w:sz w:val="30"/>
          <w:szCs w:val="30"/>
        </w:rPr>
        <w:t xml:space="preserve"> </w:t>
      </w:r>
      <w:r w:rsidR="00D70B8A" w:rsidRPr="00D70B8A">
        <w:rPr>
          <w:rFonts w:ascii="Times New Roman" w:hAnsi="Times New Roman" w:cs="Times New Roman"/>
          <w:b/>
          <w:sz w:val="30"/>
          <w:szCs w:val="30"/>
        </w:rPr>
        <w:t>I</w:t>
      </w:r>
      <w:r w:rsidR="00DB48C6">
        <w:rPr>
          <w:rFonts w:ascii="Times New Roman" w:hAnsi="Times New Roman" w:cs="Times New Roman"/>
          <w:b/>
          <w:sz w:val="30"/>
          <w:szCs w:val="30"/>
        </w:rPr>
        <w:t>t</w:t>
      </w:r>
      <w:r w:rsidR="00D70B8A" w:rsidRPr="00D70B8A">
        <w:rPr>
          <w:rFonts w:ascii="Times New Roman" w:hAnsi="Times New Roman" w:cs="Times New Roman"/>
          <w:b/>
          <w:sz w:val="30"/>
          <w:szCs w:val="30"/>
        </w:rPr>
        <w:t xml:space="preserve"> is</w:t>
      </w:r>
      <w:r w:rsidR="00DB48C6">
        <w:rPr>
          <w:rFonts w:ascii="Times New Roman" w:hAnsi="Times New Roman" w:cs="Times New Roman"/>
          <w:b/>
          <w:sz w:val="30"/>
          <w:szCs w:val="30"/>
        </w:rPr>
        <w:t xml:space="preserve"> </w:t>
      </w:r>
      <w:r w:rsidR="00D70B8A" w:rsidRPr="00D70B8A">
        <w:rPr>
          <w:rFonts w:ascii="Times New Roman" w:hAnsi="Times New Roman" w:cs="Times New Roman"/>
          <w:b/>
          <w:sz w:val="30"/>
          <w:szCs w:val="30"/>
        </w:rPr>
        <w:t>also relevant to notice that the article still fails to consider the different degrees of seriousness and significance of the harm and makes no reference to tolerable and acceptable harm that could be subject to remedy as part of the business operation.</w:t>
      </w:r>
      <w:r w:rsidR="00DB48C6">
        <w:rPr>
          <w:rFonts w:ascii="Times New Roman" w:hAnsi="Times New Roman" w:cs="Times New Roman"/>
          <w:b/>
          <w:sz w:val="30"/>
          <w:szCs w:val="30"/>
        </w:rPr>
        <w:t xml:space="preserve"> </w:t>
      </w:r>
      <w:r w:rsidR="00DB48C6" w:rsidRPr="00D70B8A">
        <w:rPr>
          <w:rFonts w:ascii="Times New Roman" w:hAnsi="Times New Roman" w:cs="Times New Roman"/>
          <w:b/>
          <w:sz w:val="30"/>
          <w:szCs w:val="30"/>
        </w:rPr>
        <w:t>We believe that we should raise the bar for actionable offenses under the binding instrument to “serious harm”.</w:t>
      </w:r>
    </w:p>
    <w:p w:rsidR="00D70B8A" w:rsidRPr="00D70B8A" w:rsidRDefault="00EC6B88" w:rsidP="00DB48C6">
      <w:pPr>
        <w:tabs>
          <w:tab w:val="left" w:pos="4680"/>
          <w:tab w:val="right" w:pos="9180"/>
        </w:tabs>
        <w:spacing w:after="240" w:line="360" w:lineRule="auto"/>
        <w:jc w:val="both"/>
        <w:rPr>
          <w:rFonts w:ascii="Times New Roman" w:hAnsi="Times New Roman" w:cs="Times New Roman"/>
          <w:b/>
          <w:sz w:val="30"/>
          <w:szCs w:val="30"/>
        </w:rPr>
      </w:pPr>
      <w:r>
        <w:rPr>
          <w:rFonts w:ascii="Times New Roman" w:hAnsi="Times New Roman" w:cs="Times New Roman"/>
          <w:b/>
          <w:sz w:val="30"/>
          <w:szCs w:val="30"/>
        </w:rPr>
        <w:lastRenderedPageBreak/>
        <w:t xml:space="preserve">19. </w:t>
      </w:r>
      <w:r w:rsidR="00DB48C6" w:rsidRPr="00D70B8A">
        <w:rPr>
          <w:rFonts w:ascii="Times New Roman" w:hAnsi="Times New Roman" w:cs="Times New Roman"/>
          <w:b/>
          <w:sz w:val="30"/>
          <w:szCs w:val="30"/>
        </w:rPr>
        <w:t xml:space="preserve">We would like to ask for clarification on the definition of environmental rights, </w:t>
      </w:r>
      <w:r w:rsidR="00DB48C6">
        <w:rPr>
          <w:rFonts w:ascii="Times New Roman" w:hAnsi="Times New Roman" w:cs="Times New Roman"/>
          <w:b/>
          <w:sz w:val="30"/>
          <w:szCs w:val="30"/>
        </w:rPr>
        <w:t xml:space="preserve">mentioned </w:t>
      </w:r>
      <w:r w:rsidR="00DB48C6" w:rsidRPr="00D70B8A">
        <w:rPr>
          <w:rFonts w:ascii="Times New Roman" w:hAnsi="Times New Roman" w:cs="Times New Roman"/>
          <w:b/>
          <w:sz w:val="30"/>
          <w:szCs w:val="30"/>
        </w:rPr>
        <w:t>in Article 1.2, for the purposes of the LBI. As it stands, the term may add to confusion and uncertainty.</w:t>
      </w:r>
    </w:p>
    <w:p w:rsidR="00D70B8A" w:rsidRDefault="00EC6B88" w:rsidP="00DB48C6">
      <w:pPr>
        <w:tabs>
          <w:tab w:val="left" w:pos="4680"/>
          <w:tab w:val="right" w:pos="9180"/>
        </w:tabs>
        <w:spacing w:after="240" w:line="360" w:lineRule="auto"/>
        <w:jc w:val="both"/>
        <w:rPr>
          <w:rFonts w:ascii="Times New Roman" w:hAnsi="Times New Roman" w:cs="Times New Roman"/>
          <w:b/>
          <w:sz w:val="30"/>
          <w:szCs w:val="30"/>
        </w:rPr>
      </w:pPr>
      <w:r>
        <w:rPr>
          <w:rFonts w:ascii="Times New Roman" w:hAnsi="Times New Roman" w:cs="Times New Roman"/>
          <w:b/>
          <w:sz w:val="30"/>
          <w:szCs w:val="30"/>
        </w:rPr>
        <w:t>20.</w:t>
      </w:r>
      <w:r w:rsidR="00D70B8A" w:rsidRPr="00D70B8A">
        <w:rPr>
          <w:rFonts w:ascii="Times New Roman" w:hAnsi="Times New Roman" w:cs="Times New Roman"/>
          <w:b/>
          <w:sz w:val="30"/>
          <w:szCs w:val="30"/>
        </w:rPr>
        <w:t xml:space="preserve"> On the concept of “business activity of transnational character</w:t>
      </w:r>
      <w:r>
        <w:rPr>
          <w:rFonts w:ascii="Times New Roman" w:hAnsi="Times New Roman" w:cs="Times New Roman"/>
          <w:b/>
          <w:sz w:val="30"/>
          <w:szCs w:val="30"/>
        </w:rPr>
        <w:t>”</w:t>
      </w:r>
      <w:r w:rsidR="00D70B8A" w:rsidRPr="00D70B8A">
        <w:rPr>
          <w:rFonts w:ascii="Times New Roman" w:hAnsi="Times New Roman" w:cs="Times New Roman"/>
          <w:b/>
          <w:sz w:val="30"/>
          <w:szCs w:val="30"/>
        </w:rPr>
        <w:t>, it is still unclear what is the meaning of “substantial effects in another State”, in item 1.3-c. In the absence of a proper definition on this matter, we reiterate our suggestion to delete this item.</w:t>
      </w:r>
    </w:p>
    <w:p w:rsidR="00DB48C6" w:rsidRPr="00D70B8A" w:rsidRDefault="00EC6B88" w:rsidP="00DB48C6">
      <w:pPr>
        <w:tabs>
          <w:tab w:val="left" w:pos="4680"/>
          <w:tab w:val="right" w:pos="9180"/>
        </w:tabs>
        <w:spacing w:after="240" w:line="360" w:lineRule="auto"/>
        <w:jc w:val="both"/>
        <w:rPr>
          <w:rFonts w:ascii="Times New Roman" w:hAnsi="Times New Roman" w:cs="Times New Roman"/>
          <w:b/>
          <w:sz w:val="30"/>
          <w:szCs w:val="30"/>
        </w:rPr>
      </w:pPr>
      <w:r>
        <w:rPr>
          <w:rFonts w:ascii="Times New Roman" w:hAnsi="Times New Roman" w:cs="Times New Roman"/>
          <w:b/>
          <w:sz w:val="30"/>
          <w:szCs w:val="30"/>
        </w:rPr>
        <w:t>21.</w:t>
      </w:r>
      <w:r w:rsidR="00DB48C6" w:rsidRPr="00D70B8A">
        <w:rPr>
          <w:rFonts w:ascii="Times New Roman" w:hAnsi="Times New Roman" w:cs="Times New Roman"/>
          <w:b/>
          <w:sz w:val="30"/>
          <w:szCs w:val="30"/>
        </w:rPr>
        <w:t xml:space="preserve"> In Article 1.4, it is not clear whether the current language - business activities of a transactional character - covers adequately services traded globally. Moreover, in 1.3-c the expression “substantial effect” should be replaced by a more precise term, such as direct or measurable effect.</w:t>
      </w:r>
    </w:p>
    <w:p w:rsidR="00D70B8A" w:rsidRDefault="00EC6B88" w:rsidP="00DB48C6">
      <w:pPr>
        <w:tabs>
          <w:tab w:val="left" w:pos="4680"/>
          <w:tab w:val="right" w:pos="9180"/>
        </w:tabs>
        <w:spacing w:after="240" w:line="360" w:lineRule="auto"/>
        <w:jc w:val="both"/>
        <w:rPr>
          <w:rFonts w:ascii="Times New Roman" w:hAnsi="Times New Roman" w:cs="Times New Roman"/>
          <w:b/>
          <w:sz w:val="30"/>
          <w:szCs w:val="30"/>
        </w:rPr>
      </w:pPr>
      <w:r>
        <w:rPr>
          <w:rFonts w:ascii="Times New Roman" w:hAnsi="Times New Roman" w:cs="Times New Roman"/>
          <w:b/>
          <w:sz w:val="30"/>
          <w:szCs w:val="30"/>
        </w:rPr>
        <w:t>22.</w:t>
      </w:r>
      <w:r w:rsidR="00D70B8A" w:rsidRPr="00D70B8A">
        <w:rPr>
          <w:rFonts w:ascii="Times New Roman" w:hAnsi="Times New Roman" w:cs="Times New Roman"/>
          <w:b/>
          <w:sz w:val="30"/>
          <w:szCs w:val="30"/>
        </w:rPr>
        <w:t xml:space="preserve"> While we agree that the choice to replace “contractual relationship” by “business relationship”</w:t>
      </w:r>
      <w:r w:rsidR="00DB48C6">
        <w:rPr>
          <w:rFonts w:ascii="Times New Roman" w:hAnsi="Times New Roman" w:cs="Times New Roman"/>
          <w:b/>
          <w:sz w:val="30"/>
          <w:szCs w:val="30"/>
        </w:rPr>
        <w:t>, in article 1.5,</w:t>
      </w:r>
      <w:r w:rsidR="00D70B8A" w:rsidRPr="00D70B8A">
        <w:rPr>
          <w:rFonts w:ascii="Times New Roman" w:hAnsi="Times New Roman" w:cs="Times New Roman"/>
          <w:b/>
          <w:sz w:val="30"/>
          <w:szCs w:val="30"/>
        </w:rPr>
        <w:t xml:space="preserve"> responds positively to the requests by delegations during the intersessional consultations, we noted very little improvement in the definition itself. In our view, it seems not feasible to maintain the notion that there should be an “indirect liability along the supply chain”, encompassing agents that only marginally participate of the enterprise.</w:t>
      </w:r>
    </w:p>
    <w:p w:rsidR="00373817" w:rsidRDefault="00373817" w:rsidP="00DB48C6">
      <w:pPr>
        <w:tabs>
          <w:tab w:val="left" w:pos="4680"/>
          <w:tab w:val="right" w:pos="9180"/>
        </w:tabs>
        <w:spacing w:after="240" w:line="360" w:lineRule="auto"/>
        <w:jc w:val="both"/>
        <w:rPr>
          <w:rFonts w:ascii="Times New Roman" w:hAnsi="Times New Roman" w:cs="Times New Roman"/>
          <w:b/>
          <w:sz w:val="30"/>
          <w:szCs w:val="30"/>
        </w:rPr>
      </w:pPr>
      <w:bookmarkStart w:id="0" w:name="_GoBack"/>
      <w:bookmarkEnd w:id="0"/>
    </w:p>
    <w:p w:rsidR="00D70B8A" w:rsidRPr="00083B30" w:rsidRDefault="00083B30" w:rsidP="00FC6C69">
      <w:pPr>
        <w:tabs>
          <w:tab w:val="left" w:pos="4680"/>
          <w:tab w:val="right" w:pos="9214"/>
        </w:tabs>
        <w:spacing w:after="240" w:line="360" w:lineRule="auto"/>
        <w:jc w:val="both"/>
        <w:rPr>
          <w:rFonts w:ascii="Times New Roman" w:hAnsi="Times New Roman" w:cs="Times New Roman"/>
          <w:b/>
          <w:sz w:val="30"/>
          <w:szCs w:val="30"/>
        </w:rPr>
      </w:pPr>
      <w:r>
        <w:rPr>
          <w:rFonts w:ascii="Times New Roman" w:hAnsi="Times New Roman" w:cs="Times New Roman"/>
          <w:b/>
          <w:sz w:val="30"/>
          <w:szCs w:val="30"/>
        </w:rPr>
        <w:t>Thank you.</w:t>
      </w:r>
      <w:r w:rsidR="00910DD6">
        <w:rPr>
          <w:rFonts w:ascii="Times New Roman" w:hAnsi="Times New Roman" w:cs="Times New Roman"/>
          <w:b/>
          <w:sz w:val="30"/>
          <w:szCs w:val="30"/>
        </w:rPr>
        <w:tab/>
      </w:r>
      <w:r w:rsidR="00EC6B88">
        <w:rPr>
          <w:rFonts w:ascii="Times New Roman" w:hAnsi="Times New Roman" w:cs="Times New Roman"/>
          <w:b/>
          <w:sz w:val="30"/>
          <w:szCs w:val="30"/>
        </w:rPr>
        <w:tab/>
        <w:t>(10</w:t>
      </w:r>
      <w:r w:rsidR="00373817">
        <w:rPr>
          <w:rFonts w:ascii="Times New Roman" w:hAnsi="Times New Roman" w:cs="Times New Roman"/>
          <w:b/>
          <w:sz w:val="30"/>
          <w:szCs w:val="30"/>
        </w:rPr>
        <w:t>22</w:t>
      </w:r>
      <w:r w:rsidR="00EC6B88">
        <w:rPr>
          <w:rFonts w:ascii="Times New Roman" w:hAnsi="Times New Roman" w:cs="Times New Roman"/>
          <w:b/>
          <w:sz w:val="30"/>
          <w:szCs w:val="30"/>
        </w:rPr>
        <w:t xml:space="preserve"> words)</w:t>
      </w:r>
      <w:r w:rsidR="00910DD6">
        <w:rPr>
          <w:rFonts w:ascii="Times New Roman" w:hAnsi="Times New Roman" w:cs="Times New Roman"/>
          <w:b/>
          <w:sz w:val="30"/>
          <w:szCs w:val="30"/>
        </w:rPr>
        <w:tab/>
      </w:r>
    </w:p>
    <w:sectPr w:rsidR="00D70B8A" w:rsidRPr="00083B3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06E43" w:rsidRDefault="00E06E43" w:rsidP="00083B30">
      <w:pPr>
        <w:spacing w:after="0" w:line="240" w:lineRule="auto"/>
      </w:pPr>
      <w:r>
        <w:separator/>
      </w:r>
    </w:p>
  </w:endnote>
  <w:endnote w:type="continuationSeparator" w:id="0">
    <w:p w:rsidR="00E06E43" w:rsidRDefault="00E06E43" w:rsidP="00083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6968716"/>
      <w:docPartObj>
        <w:docPartGallery w:val="Page Numbers (Bottom of Page)"/>
        <w:docPartUnique/>
      </w:docPartObj>
    </w:sdtPr>
    <w:sdtEndPr/>
    <w:sdtContent>
      <w:p w:rsidR="00083B30" w:rsidRDefault="00083B30">
        <w:pPr>
          <w:pStyle w:val="Rodap"/>
          <w:jc w:val="center"/>
        </w:pPr>
        <w:r>
          <w:fldChar w:fldCharType="begin"/>
        </w:r>
        <w:r>
          <w:instrText>PAGE   \* MERGEFORMAT</w:instrText>
        </w:r>
        <w:r>
          <w:fldChar w:fldCharType="separate"/>
        </w:r>
        <w:r w:rsidR="002E0719" w:rsidRPr="002E0719">
          <w:rPr>
            <w:noProof/>
            <w:lang w:val="pt-BR"/>
          </w:rPr>
          <w:t>4</w:t>
        </w:r>
        <w:r>
          <w:fldChar w:fldCharType="end"/>
        </w:r>
      </w:p>
    </w:sdtContent>
  </w:sdt>
  <w:p w:rsidR="00083B30" w:rsidRDefault="00083B3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06E43" w:rsidRDefault="00E06E43" w:rsidP="00083B30">
      <w:pPr>
        <w:spacing w:after="0" w:line="240" w:lineRule="auto"/>
      </w:pPr>
      <w:r>
        <w:separator/>
      </w:r>
    </w:p>
  </w:footnote>
  <w:footnote w:type="continuationSeparator" w:id="0">
    <w:p w:rsidR="00E06E43" w:rsidRDefault="00E06E43" w:rsidP="00083B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B30"/>
    <w:rsid w:val="00083B30"/>
    <w:rsid w:val="00211BFA"/>
    <w:rsid w:val="002E0719"/>
    <w:rsid w:val="00373817"/>
    <w:rsid w:val="00896B94"/>
    <w:rsid w:val="00910DD6"/>
    <w:rsid w:val="00943BE5"/>
    <w:rsid w:val="00AD4430"/>
    <w:rsid w:val="00D0458E"/>
    <w:rsid w:val="00D70B8A"/>
    <w:rsid w:val="00DB48C6"/>
    <w:rsid w:val="00E06E43"/>
    <w:rsid w:val="00EC6B88"/>
    <w:rsid w:val="00FC6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E4B08"/>
  <w15:chartTrackingRefBased/>
  <w15:docId w15:val="{6DC5E10D-2193-4787-9BDB-2EE69FD7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083B30"/>
    <w:pPr>
      <w:tabs>
        <w:tab w:val="center" w:pos="4680"/>
        <w:tab w:val="right" w:pos="9360"/>
      </w:tabs>
      <w:spacing w:after="0" w:line="240" w:lineRule="auto"/>
    </w:pPr>
  </w:style>
  <w:style w:type="character" w:customStyle="1" w:styleId="CabealhoCarter">
    <w:name w:val="Cabeçalho Caráter"/>
    <w:basedOn w:val="Tipodeletrapredefinidodopargrafo"/>
    <w:link w:val="Cabealho"/>
    <w:uiPriority w:val="99"/>
    <w:rsid w:val="00083B30"/>
  </w:style>
  <w:style w:type="paragraph" w:styleId="Rodap">
    <w:name w:val="footer"/>
    <w:basedOn w:val="Normal"/>
    <w:link w:val="RodapCarter"/>
    <w:uiPriority w:val="99"/>
    <w:unhideWhenUsed/>
    <w:rsid w:val="00083B30"/>
    <w:pPr>
      <w:tabs>
        <w:tab w:val="center" w:pos="4680"/>
        <w:tab w:val="right" w:pos="9360"/>
      </w:tabs>
      <w:spacing w:after="0" w:line="240" w:lineRule="auto"/>
    </w:pPr>
  </w:style>
  <w:style w:type="character" w:customStyle="1" w:styleId="RodapCarter">
    <w:name w:val="Rodapé Caráter"/>
    <w:basedOn w:val="Tipodeletrapredefinidodopargrafo"/>
    <w:link w:val="Rodap"/>
    <w:uiPriority w:val="99"/>
    <w:rsid w:val="00083B30"/>
  </w:style>
  <w:style w:type="paragraph" w:styleId="Textodebalo">
    <w:name w:val="Balloon Text"/>
    <w:basedOn w:val="Normal"/>
    <w:link w:val="TextodebaloCarter"/>
    <w:uiPriority w:val="99"/>
    <w:semiHidden/>
    <w:unhideWhenUsed/>
    <w:rsid w:val="00910DD6"/>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910D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D804DC-A111-483A-90FD-A7281B5418BF}"/>
</file>

<file path=customXml/itemProps2.xml><?xml version="1.0" encoding="utf-8"?>
<ds:datastoreItem xmlns:ds="http://schemas.openxmlformats.org/officeDocument/2006/customXml" ds:itemID="{63463726-1FF2-41C6-B04B-1034B555340D}"/>
</file>

<file path=customXml/itemProps3.xml><?xml version="1.0" encoding="utf-8"?>
<ds:datastoreItem xmlns:ds="http://schemas.openxmlformats.org/officeDocument/2006/customXml" ds:itemID="{E81F1410-BABE-4A79-85E5-9632BEF7F9F7}"/>
</file>

<file path=docProps/app.xml><?xml version="1.0" encoding="utf-8"?>
<Properties xmlns="http://schemas.openxmlformats.org/officeDocument/2006/extended-properties" xmlns:vt="http://schemas.openxmlformats.org/officeDocument/2006/docPropsVTypes">
  <Template>Normal.dotm</Template>
  <TotalTime>33</TotalTime>
  <Pages>5</Pages>
  <Words>1055</Words>
  <Characters>5699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Nero Cunha Ferreira</dc:creator>
  <cp:keywords/>
  <dc:description/>
  <cp:lastModifiedBy>Nero Ferreira</cp:lastModifiedBy>
  <cp:revision>5</cp:revision>
  <cp:lastPrinted>2020-10-25T18:43:00Z</cp:lastPrinted>
  <dcterms:created xsi:type="dcterms:W3CDTF">2020-10-25T18:02:00Z</dcterms:created>
  <dcterms:modified xsi:type="dcterms:W3CDTF">2020-10-25T18:43:00Z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