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F3FDD" w14:textId="060BFDF9" w:rsidR="003F62BC" w:rsidRDefault="003F62BC" w:rsidP="007646CD">
      <w:pPr>
        <w:jc w:val="center"/>
        <w:rPr>
          <w:rFonts w:ascii="Calibri" w:eastAsia="Calibri" w:hAnsi="Calibri"/>
          <w:b/>
          <w:sz w:val="25"/>
          <w:szCs w:val="25"/>
          <w:lang w:val="en-GB" w:eastAsia="en-US"/>
        </w:rPr>
      </w:pPr>
      <w:r>
        <w:rPr>
          <w:rFonts w:ascii="Calibri" w:eastAsia="Calibri" w:hAnsi="Calibri"/>
          <w:b/>
          <w:sz w:val="25"/>
          <w:szCs w:val="25"/>
          <w:lang w:val="en-GB" w:eastAsia="en-US"/>
        </w:rPr>
        <w:tab/>
      </w:r>
      <w:r>
        <w:rPr>
          <w:rFonts w:ascii="Calibri" w:eastAsia="Calibri" w:hAnsi="Calibri"/>
          <w:b/>
          <w:sz w:val="25"/>
          <w:szCs w:val="25"/>
          <w:lang w:val="en-GB" w:eastAsia="en-US"/>
        </w:rPr>
        <w:tab/>
      </w:r>
      <w:r w:rsidR="007B7CD4">
        <w:rPr>
          <w:rFonts w:ascii="Calibri" w:eastAsia="Calibri" w:hAnsi="Calibri"/>
          <w:b/>
          <w:sz w:val="25"/>
          <w:szCs w:val="25"/>
          <w:lang w:val="en-GB" w:eastAsia="en-US"/>
        </w:rPr>
        <w:tab/>
      </w:r>
      <w:r>
        <w:rPr>
          <w:rFonts w:ascii="Calibri" w:eastAsia="Calibri" w:hAnsi="Calibri"/>
          <w:b/>
          <w:noProof/>
          <w:sz w:val="25"/>
          <w:szCs w:val="25"/>
          <w:lang w:val="en-GB" w:eastAsia="en-US"/>
        </w:rPr>
        <w:drawing>
          <wp:inline distT="0" distB="0" distL="0" distR="0" wp14:anchorId="5BA3FA07" wp14:editId="3CBBBDA1">
            <wp:extent cx="1713600" cy="1038115"/>
            <wp:effectExtent l="0" t="0" r="127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7744" cy="1052741"/>
                    </a:xfrm>
                    <a:prstGeom prst="rect">
                      <a:avLst/>
                    </a:prstGeom>
                  </pic:spPr>
                </pic:pic>
              </a:graphicData>
            </a:graphic>
          </wp:inline>
        </w:drawing>
      </w:r>
    </w:p>
    <w:p w14:paraId="672A6659" w14:textId="4F31B6C9" w:rsidR="00133E6B" w:rsidRDefault="003F62BC" w:rsidP="007646CD">
      <w:pPr>
        <w:jc w:val="center"/>
        <w:rPr>
          <w:rFonts w:ascii="Calibri" w:eastAsia="Calibri" w:hAnsi="Calibri"/>
          <w:b/>
          <w:sz w:val="25"/>
          <w:szCs w:val="25"/>
          <w:lang w:val="en-GB" w:eastAsia="en-US"/>
        </w:rPr>
      </w:pPr>
      <w:r>
        <w:rPr>
          <w:rFonts w:ascii="Calibri" w:eastAsia="Calibri" w:hAnsi="Calibri"/>
          <w:b/>
          <w:noProof/>
          <w:sz w:val="25"/>
          <w:szCs w:val="25"/>
          <w:lang w:val="en-GB" w:eastAsia="en-US"/>
        </w:rPr>
        <w:drawing>
          <wp:inline distT="0" distB="0" distL="0" distR="0" wp14:anchorId="27C03FB3" wp14:editId="15587412">
            <wp:extent cx="3348000" cy="803520"/>
            <wp:effectExtent l="0" t="0" r="5080" b="0"/>
            <wp:docPr id="4" name="Graphiq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432672" cy="823841"/>
                    </a:xfrm>
                    <a:prstGeom prst="rect">
                      <a:avLst/>
                    </a:prstGeom>
                  </pic:spPr>
                </pic:pic>
              </a:graphicData>
            </a:graphic>
          </wp:inline>
        </w:drawing>
      </w:r>
      <w:r>
        <w:rPr>
          <w:rFonts w:ascii="Calibri" w:eastAsia="Calibri" w:hAnsi="Calibri"/>
          <w:b/>
          <w:sz w:val="25"/>
          <w:szCs w:val="25"/>
          <w:lang w:val="en-GB" w:eastAsia="en-US"/>
        </w:rPr>
        <w:tab/>
      </w:r>
      <w:r>
        <w:rPr>
          <w:rFonts w:ascii="Calibri" w:eastAsia="Calibri" w:hAnsi="Calibri"/>
          <w:b/>
          <w:noProof/>
          <w:sz w:val="25"/>
          <w:szCs w:val="25"/>
          <w:lang w:val="en-GB" w:eastAsia="en-US"/>
        </w:rPr>
        <w:drawing>
          <wp:inline distT="0" distB="0" distL="0" distR="0" wp14:anchorId="456F68E8" wp14:editId="47B24CEB">
            <wp:extent cx="1792800" cy="705938"/>
            <wp:effectExtent l="0" t="0" r="0" b="571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dessin&#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8748" cy="763407"/>
                    </a:xfrm>
                    <a:prstGeom prst="rect">
                      <a:avLst/>
                    </a:prstGeom>
                  </pic:spPr>
                </pic:pic>
              </a:graphicData>
            </a:graphic>
          </wp:inline>
        </w:drawing>
      </w:r>
    </w:p>
    <w:p w14:paraId="0A37501D" w14:textId="77777777" w:rsidR="0087786E" w:rsidRDefault="0087786E" w:rsidP="007646CD">
      <w:pPr>
        <w:jc w:val="center"/>
        <w:rPr>
          <w:rFonts w:ascii="Calibri" w:eastAsia="Calibri" w:hAnsi="Calibri"/>
          <w:b/>
          <w:sz w:val="25"/>
          <w:szCs w:val="25"/>
          <w:lang w:val="en-GB" w:eastAsia="en-US"/>
        </w:rPr>
      </w:pPr>
    </w:p>
    <w:p w14:paraId="5DAB6C7B" w14:textId="77777777" w:rsidR="00E3364D" w:rsidRDefault="00E3364D" w:rsidP="007646CD">
      <w:pPr>
        <w:jc w:val="center"/>
        <w:rPr>
          <w:rFonts w:ascii="Calibri" w:eastAsia="Calibri" w:hAnsi="Calibri"/>
          <w:b/>
          <w:sz w:val="25"/>
          <w:szCs w:val="25"/>
          <w:lang w:val="en-GB" w:eastAsia="en-US"/>
        </w:rPr>
      </w:pPr>
    </w:p>
    <w:p w14:paraId="2C0872D1" w14:textId="73C3153B" w:rsidR="007646CD" w:rsidRPr="00133E6B" w:rsidRDefault="00A60350" w:rsidP="007646CD">
      <w:pPr>
        <w:jc w:val="center"/>
        <w:rPr>
          <w:rFonts w:ascii="Calibri" w:eastAsia="Calibri" w:hAnsi="Calibri"/>
          <w:b/>
          <w:sz w:val="25"/>
          <w:szCs w:val="25"/>
          <w:lang w:val="en-GB" w:eastAsia="en-US"/>
        </w:rPr>
      </w:pPr>
      <w:r>
        <w:rPr>
          <w:rFonts w:ascii="Calibri" w:eastAsia="Calibri" w:hAnsi="Calibri"/>
          <w:b/>
          <w:sz w:val="25"/>
          <w:szCs w:val="25"/>
          <w:lang w:val="en-GB" w:eastAsia="en-US"/>
        </w:rPr>
        <w:t xml:space="preserve">Joint </w:t>
      </w:r>
      <w:r w:rsidR="007646CD" w:rsidRPr="00133E6B">
        <w:rPr>
          <w:rFonts w:ascii="Calibri" w:eastAsia="Calibri" w:hAnsi="Calibri"/>
          <w:b/>
          <w:sz w:val="25"/>
          <w:szCs w:val="25"/>
          <w:lang w:val="en-GB" w:eastAsia="en-US"/>
        </w:rPr>
        <w:t xml:space="preserve">Oral </w:t>
      </w:r>
      <w:r>
        <w:rPr>
          <w:rFonts w:ascii="Calibri" w:eastAsia="Calibri" w:hAnsi="Calibri"/>
          <w:b/>
          <w:sz w:val="25"/>
          <w:szCs w:val="25"/>
          <w:lang w:val="en-GB" w:eastAsia="en-US"/>
        </w:rPr>
        <w:t>S</w:t>
      </w:r>
      <w:r w:rsidR="007646CD" w:rsidRPr="00133E6B">
        <w:rPr>
          <w:rFonts w:ascii="Calibri" w:eastAsia="Calibri" w:hAnsi="Calibri"/>
          <w:b/>
          <w:sz w:val="25"/>
          <w:szCs w:val="25"/>
          <w:lang w:val="en-GB" w:eastAsia="en-US"/>
        </w:rPr>
        <w:t>tatement</w:t>
      </w:r>
    </w:p>
    <w:p w14:paraId="03AF66BC" w14:textId="333DD24F" w:rsidR="007646CD" w:rsidRPr="00133E6B" w:rsidRDefault="00A47FA0" w:rsidP="007646CD">
      <w:pPr>
        <w:jc w:val="center"/>
        <w:rPr>
          <w:rFonts w:ascii="Calibri" w:eastAsia="Calibri" w:hAnsi="Calibri"/>
          <w:b/>
          <w:sz w:val="25"/>
          <w:szCs w:val="25"/>
          <w:lang w:val="en-GB" w:eastAsia="en-US"/>
        </w:rPr>
      </w:pPr>
      <w:r>
        <w:rPr>
          <w:rFonts w:ascii="Calibri" w:eastAsia="Calibri" w:hAnsi="Calibri"/>
          <w:b/>
          <w:sz w:val="25"/>
          <w:szCs w:val="25"/>
          <w:lang w:val="en-GB" w:eastAsia="en-US"/>
        </w:rPr>
        <w:t>Six</w:t>
      </w:r>
      <w:r w:rsidR="007646CD" w:rsidRPr="00133E6B">
        <w:rPr>
          <w:rFonts w:ascii="Calibri" w:eastAsia="Calibri" w:hAnsi="Calibri"/>
          <w:b/>
          <w:sz w:val="25"/>
          <w:szCs w:val="25"/>
          <w:lang w:val="en-GB" w:eastAsia="en-US"/>
        </w:rPr>
        <w:t>th session of the Open-ended intergovernmental working group on transnational corporations and other business enterprises with respect to human rights (OEIGWG)</w:t>
      </w:r>
    </w:p>
    <w:p w14:paraId="02EB378F" w14:textId="77777777" w:rsidR="007646CD" w:rsidRPr="00133E6B" w:rsidRDefault="007646CD" w:rsidP="007646CD">
      <w:pPr>
        <w:rPr>
          <w:rFonts w:ascii="Calibri" w:eastAsia="Calibri" w:hAnsi="Calibri"/>
          <w:sz w:val="25"/>
          <w:szCs w:val="25"/>
          <w:lang w:val="en-GB" w:eastAsia="en-US"/>
        </w:rPr>
      </w:pPr>
    </w:p>
    <w:p w14:paraId="6A05A809" w14:textId="77777777" w:rsidR="00E3364D" w:rsidRDefault="00E3364D" w:rsidP="007646CD">
      <w:pPr>
        <w:rPr>
          <w:rFonts w:ascii="Calibri" w:eastAsia="Calibri" w:hAnsi="Calibri"/>
          <w:sz w:val="25"/>
          <w:szCs w:val="25"/>
          <w:lang w:val="en-GB" w:eastAsia="en-US"/>
        </w:rPr>
      </w:pPr>
    </w:p>
    <w:p w14:paraId="417D455A" w14:textId="14CC0563" w:rsidR="007646CD" w:rsidRPr="00133E6B" w:rsidRDefault="00E401F2" w:rsidP="007646CD">
      <w:pPr>
        <w:rPr>
          <w:rFonts w:ascii="Calibri" w:eastAsia="Calibri" w:hAnsi="Calibri"/>
          <w:sz w:val="25"/>
          <w:szCs w:val="25"/>
          <w:lang w:val="en-GB" w:eastAsia="en-US"/>
        </w:rPr>
      </w:pPr>
      <w:r>
        <w:rPr>
          <w:rFonts w:ascii="Calibri" w:eastAsia="Calibri" w:hAnsi="Calibri"/>
          <w:sz w:val="25"/>
          <w:szCs w:val="25"/>
          <w:lang w:val="en-GB" w:eastAsia="en-US"/>
        </w:rPr>
        <w:t>Mon</w:t>
      </w:r>
      <w:r w:rsidR="007646CD" w:rsidRPr="00133E6B">
        <w:rPr>
          <w:rFonts w:ascii="Calibri" w:eastAsia="Calibri" w:hAnsi="Calibri"/>
          <w:sz w:val="25"/>
          <w:szCs w:val="25"/>
          <w:lang w:val="en-GB" w:eastAsia="en-US"/>
        </w:rPr>
        <w:t xml:space="preserve">day, </w:t>
      </w:r>
      <w:r w:rsidR="004E1B05">
        <w:rPr>
          <w:rFonts w:ascii="Calibri" w:eastAsia="Calibri" w:hAnsi="Calibri"/>
          <w:sz w:val="25"/>
          <w:szCs w:val="25"/>
          <w:lang w:val="en-GB" w:eastAsia="en-US"/>
        </w:rPr>
        <w:t>26</w:t>
      </w:r>
      <w:r w:rsidR="007646CD" w:rsidRPr="00133E6B">
        <w:rPr>
          <w:rFonts w:ascii="Calibri" w:eastAsia="Calibri" w:hAnsi="Calibri"/>
          <w:sz w:val="25"/>
          <w:szCs w:val="25"/>
          <w:lang w:val="en-GB" w:eastAsia="en-US"/>
        </w:rPr>
        <w:t xml:space="preserve"> October 20</w:t>
      </w:r>
      <w:r w:rsidR="004E1B05">
        <w:rPr>
          <w:rFonts w:ascii="Calibri" w:eastAsia="Calibri" w:hAnsi="Calibri"/>
          <w:sz w:val="25"/>
          <w:szCs w:val="25"/>
          <w:lang w:val="en-GB" w:eastAsia="en-US"/>
        </w:rPr>
        <w:t>20</w:t>
      </w:r>
    </w:p>
    <w:p w14:paraId="7EFAC4DA" w14:textId="6A983F60" w:rsidR="00133E6B" w:rsidRPr="00133E6B" w:rsidRDefault="0040119E" w:rsidP="00133E6B">
      <w:pPr>
        <w:rPr>
          <w:rFonts w:ascii="Calibri" w:eastAsia="Calibri" w:hAnsi="Calibri"/>
          <w:sz w:val="25"/>
          <w:szCs w:val="25"/>
          <w:lang w:val="en-GB" w:eastAsia="en-US"/>
        </w:rPr>
      </w:pPr>
      <w:r>
        <w:rPr>
          <w:rFonts w:ascii="Calibri" w:eastAsia="Calibri" w:hAnsi="Calibri"/>
          <w:sz w:val="25"/>
          <w:szCs w:val="25"/>
          <w:lang w:val="en-GB" w:eastAsia="en-US"/>
        </w:rPr>
        <w:t xml:space="preserve">Statement on </w:t>
      </w:r>
      <w:r w:rsidR="004E1B05">
        <w:rPr>
          <w:rFonts w:ascii="Calibri" w:eastAsia="Calibri" w:hAnsi="Calibri"/>
          <w:sz w:val="25"/>
          <w:szCs w:val="25"/>
          <w:lang w:val="en-GB" w:eastAsia="en-US"/>
        </w:rPr>
        <w:t>preamble and Articles 1 &amp;2</w:t>
      </w:r>
      <w:r w:rsidR="00133E6B" w:rsidRPr="00133E6B">
        <w:rPr>
          <w:rFonts w:ascii="Calibri" w:eastAsia="Calibri" w:hAnsi="Calibri"/>
          <w:sz w:val="25"/>
          <w:szCs w:val="25"/>
          <w:lang w:val="en-GB" w:eastAsia="en-US"/>
        </w:rPr>
        <w:t xml:space="preserve"> </w:t>
      </w:r>
    </w:p>
    <w:p w14:paraId="72CA2C08" w14:textId="77777777" w:rsidR="007646CD" w:rsidRPr="00133E6B" w:rsidRDefault="007646CD" w:rsidP="007646CD">
      <w:pPr>
        <w:rPr>
          <w:rFonts w:ascii="Calibri" w:eastAsia="Calibri" w:hAnsi="Calibri"/>
          <w:sz w:val="25"/>
          <w:szCs w:val="25"/>
          <w:lang w:val="en-GB" w:eastAsia="en-US"/>
        </w:rPr>
      </w:pPr>
      <w:r w:rsidRPr="00133E6B">
        <w:rPr>
          <w:rFonts w:ascii="Calibri" w:eastAsia="Calibri" w:hAnsi="Calibri"/>
          <w:sz w:val="25"/>
          <w:szCs w:val="25"/>
          <w:lang w:val="en-GB" w:eastAsia="en-US"/>
        </w:rPr>
        <w:t xml:space="preserve">Delivered by </w:t>
      </w:r>
      <w:r w:rsidR="0087786E">
        <w:rPr>
          <w:rFonts w:ascii="Calibri" w:eastAsia="Calibri" w:hAnsi="Calibri"/>
          <w:sz w:val="25"/>
          <w:szCs w:val="25"/>
          <w:lang w:val="en-GB" w:eastAsia="en-US"/>
        </w:rPr>
        <w:t>Sandra Epal-Ratjen</w:t>
      </w:r>
    </w:p>
    <w:p w14:paraId="1687EAB0" w14:textId="77777777" w:rsidR="007646CD" w:rsidRPr="00133E6B" w:rsidRDefault="007646CD" w:rsidP="007646CD">
      <w:pPr>
        <w:jc w:val="right"/>
        <w:rPr>
          <w:rFonts w:ascii="Calibri" w:eastAsia="Calibri" w:hAnsi="Calibri"/>
          <w:i/>
          <w:sz w:val="25"/>
          <w:szCs w:val="25"/>
          <w:lang w:val="en-GB" w:eastAsia="en-US"/>
        </w:rPr>
      </w:pPr>
      <w:r w:rsidRPr="00133E6B">
        <w:rPr>
          <w:rFonts w:ascii="Calibri" w:eastAsia="Calibri" w:hAnsi="Calibri"/>
          <w:i/>
          <w:sz w:val="25"/>
          <w:szCs w:val="25"/>
          <w:lang w:val="en-GB" w:eastAsia="en-US"/>
        </w:rPr>
        <w:t>Check against delivery</w:t>
      </w:r>
    </w:p>
    <w:p w14:paraId="5A39BBE3" w14:textId="77777777" w:rsidR="00E3364D" w:rsidRDefault="00E3364D" w:rsidP="007646CD">
      <w:pPr>
        <w:rPr>
          <w:rFonts w:ascii="Calibri" w:eastAsia="Calibri" w:hAnsi="Calibri"/>
          <w:sz w:val="25"/>
          <w:szCs w:val="25"/>
          <w:lang w:val="en-GB" w:eastAsia="en-US"/>
        </w:rPr>
      </w:pPr>
    </w:p>
    <w:p w14:paraId="26B36043" w14:textId="77777777" w:rsidR="00B756D4" w:rsidRPr="00B756D4" w:rsidRDefault="00B756D4" w:rsidP="00B756D4">
      <w:pPr>
        <w:rPr>
          <w:rFonts w:ascii="Calibri" w:eastAsia="Calibri" w:hAnsi="Calibri"/>
          <w:sz w:val="25"/>
          <w:szCs w:val="25"/>
          <w:lang w:val="en-GB" w:eastAsia="en-US"/>
        </w:rPr>
      </w:pPr>
    </w:p>
    <w:p w14:paraId="01140864" w14:textId="54D4CE3B" w:rsidR="00B756D4" w:rsidRDefault="00B756D4" w:rsidP="00B756D4">
      <w:pPr>
        <w:rPr>
          <w:rFonts w:asciiTheme="minorHAnsi" w:eastAsia="Calibri" w:hAnsiTheme="minorHAnsi" w:cstheme="minorHAnsi"/>
          <w:sz w:val="25"/>
          <w:szCs w:val="25"/>
          <w:lang w:val="en-GB" w:eastAsia="en-US"/>
        </w:rPr>
      </w:pPr>
      <w:r>
        <w:rPr>
          <w:rFonts w:asciiTheme="minorHAnsi" w:eastAsia="Calibri" w:hAnsiTheme="minorHAnsi" w:cstheme="minorHAnsi"/>
          <w:sz w:val="25"/>
          <w:szCs w:val="25"/>
          <w:lang w:val="en-GB" w:eastAsia="en-US"/>
        </w:rPr>
        <w:t xml:space="preserve">Thank </w:t>
      </w:r>
      <w:proofErr w:type="gramStart"/>
      <w:r>
        <w:rPr>
          <w:rFonts w:asciiTheme="minorHAnsi" w:eastAsia="Calibri" w:hAnsiTheme="minorHAnsi" w:cstheme="minorHAnsi"/>
          <w:sz w:val="25"/>
          <w:szCs w:val="25"/>
          <w:lang w:val="en-GB" w:eastAsia="en-US"/>
        </w:rPr>
        <w:t>you Mister Chair</w:t>
      </w:r>
      <w:r w:rsidR="00405DD7">
        <w:rPr>
          <w:rFonts w:asciiTheme="minorHAnsi" w:eastAsia="Calibri" w:hAnsiTheme="minorHAnsi" w:cstheme="minorHAnsi"/>
          <w:sz w:val="25"/>
          <w:szCs w:val="25"/>
          <w:lang w:val="en-GB" w:eastAsia="en-US"/>
        </w:rPr>
        <w:t>person</w:t>
      </w:r>
      <w:r w:rsidR="00DB1CE3">
        <w:rPr>
          <w:rFonts w:asciiTheme="minorHAnsi" w:eastAsia="Calibri" w:hAnsiTheme="minorHAnsi" w:cstheme="minorHAnsi"/>
          <w:sz w:val="25"/>
          <w:szCs w:val="25"/>
          <w:lang w:val="en-GB" w:eastAsia="en-US"/>
        </w:rPr>
        <w:t>-Rapporteur</w:t>
      </w:r>
      <w:proofErr w:type="gramEnd"/>
      <w:r w:rsidR="00405DD7">
        <w:rPr>
          <w:rFonts w:asciiTheme="minorHAnsi" w:eastAsia="Calibri" w:hAnsiTheme="minorHAnsi" w:cstheme="minorHAnsi"/>
          <w:sz w:val="25"/>
          <w:szCs w:val="25"/>
          <w:lang w:val="en-GB" w:eastAsia="en-US"/>
        </w:rPr>
        <w:t xml:space="preserve">, </w:t>
      </w:r>
    </w:p>
    <w:p w14:paraId="31B2F630" w14:textId="77777777" w:rsidR="00405DD7" w:rsidRDefault="00405DD7" w:rsidP="00B756D4">
      <w:pPr>
        <w:rPr>
          <w:rFonts w:asciiTheme="minorHAnsi" w:eastAsia="Calibri" w:hAnsiTheme="minorHAnsi" w:cstheme="minorHAnsi"/>
          <w:sz w:val="25"/>
          <w:szCs w:val="25"/>
          <w:lang w:val="en-GB" w:eastAsia="en-US"/>
        </w:rPr>
      </w:pPr>
    </w:p>
    <w:p w14:paraId="558E26A8" w14:textId="36F36B54" w:rsidR="00F67E3F" w:rsidRDefault="00F67E3F" w:rsidP="00B756D4">
      <w:pPr>
        <w:rPr>
          <w:rFonts w:asciiTheme="minorHAnsi" w:eastAsia="Calibri" w:hAnsiTheme="minorHAnsi" w:cstheme="minorHAnsi"/>
          <w:sz w:val="25"/>
          <w:szCs w:val="25"/>
          <w:lang w:val="en-GB" w:eastAsia="en-US"/>
        </w:rPr>
      </w:pPr>
      <w:r>
        <w:rPr>
          <w:rFonts w:asciiTheme="minorHAnsi" w:eastAsia="Calibri" w:hAnsiTheme="minorHAnsi" w:cstheme="minorHAnsi"/>
          <w:sz w:val="25"/>
          <w:szCs w:val="25"/>
          <w:lang w:val="en-GB" w:eastAsia="en-US"/>
        </w:rPr>
        <w:t xml:space="preserve">This statement is on behalf of FI, WILPF, </w:t>
      </w:r>
      <w:r w:rsidR="00DB1CE3">
        <w:rPr>
          <w:rFonts w:asciiTheme="minorHAnsi" w:eastAsia="Calibri" w:hAnsiTheme="minorHAnsi" w:cstheme="minorHAnsi"/>
          <w:sz w:val="25"/>
          <w:szCs w:val="25"/>
          <w:lang w:val="en-GB" w:eastAsia="en-US"/>
        </w:rPr>
        <w:t>FIDH</w:t>
      </w:r>
      <w:r w:rsidR="003F62BC">
        <w:rPr>
          <w:rFonts w:asciiTheme="minorHAnsi" w:eastAsia="Calibri" w:hAnsiTheme="minorHAnsi" w:cstheme="minorHAnsi"/>
          <w:sz w:val="25"/>
          <w:szCs w:val="25"/>
          <w:lang w:val="en-GB" w:eastAsia="en-US"/>
        </w:rPr>
        <w:t xml:space="preserve"> and</w:t>
      </w:r>
      <w:r w:rsidR="00DB1CE3">
        <w:rPr>
          <w:rFonts w:asciiTheme="minorHAnsi" w:eastAsia="Calibri" w:hAnsiTheme="minorHAnsi" w:cstheme="minorHAnsi"/>
          <w:sz w:val="25"/>
          <w:szCs w:val="25"/>
          <w:lang w:val="en-GB" w:eastAsia="en-US"/>
        </w:rPr>
        <w:t xml:space="preserve"> </w:t>
      </w:r>
      <w:r w:rsidR="00DB1CE3" w:rsidRPr="003F62BC">
        <w:rPr>
          <w:rFonts w:asciiTheme="minorHAnsi" w:eastAsia="Calibri" w:hAnsiTheme="minorHAnsi" w:cstheme="minorHAnsi"/>
          <w:sz w:val="25"/>
          <w:szCs w:val="25"/>
          <w:lang w:val="en-GB" w:eastAsia="en-US"/>
        </w:rPr>
        <w:t>FIAN</w:t>
      </w:r>
      <w:r w:rsidR="003F62BC">
        <w:rPr>
          <w:rFonts w:asciiTheme="minorHAnsi" w:eastAsia="Calibri" w:hAnsiTheme="minorHAnsi" w:cstheme="minorHAnsi"/>
          <w:sz w:val="25"/>
          <w:szCs w:val="25"/>
          <w:lang w:val="en-GB" w:eastAsia="en-US"/>
        </w:rPr>
        <w:t>.</w:t>
      </w:r>
      <w:r w:rsidR="00DB1CE3" w:rsidRPr="003F62BC">
        <w:rPr>
          <w:rFonts w:asciiTheme="minorHAnsi" w:eastAsia="Calibri" w:hAnsiTheme="minorHAnsi" w:cstheme="minorHAnsi"/>
          <w:sz w:val="25"/>
          <w:szCs w:val="25"/>
          <w:lang w:val="en-GB" w:eastAsia="en-US"/>
        </w:rPr>
        <w:t xml:space="preserve"> </w:t>
      </w:r>
    </w:p>
    <w:p w14:paraId="1677F615" w14:textId="77777777" w:rsidR="00F67E3F" w:rsidRDefault="00F67E3F" w:rsidP="00B756D4">
      <w:pPr>
        <w:rPr>
          <w:rFonts w:asciiTheme="minorHAnsi" w:eastAsia="Calibri" w:hAnsiTheme="minorHAnsi" w:cstheme="minorHAnsi"/>
          <w:sz w:val="25"/>
          <w:szCs w:val="25"/>
          <w:lang w:val="en-GB" w:eastAsia="en-US"/>
        </w:rPr>
      </w:pPr>
    </w:p>
    <w:p w14:paraId="5F9F7768" w14:textId="2BE19140" w:rsidR="00D57EDC" w:rsidRPr="00DB1CE3" w:rsidRDefault="00F67E3F" w:rsidP="00B756D4">
      <w:pPr>
        <w:rPr>
          <w:rFonts w:asciiTheme="minorHAnsi" w:eastAsia="Calibri" w:hAnsiTheme="minorHAnsi" w:cstheme="minorHAnsi"/>
          <w:sz w:val="25"/>
          <w:szCs w:val="25"/>
          <w:lang w:val="en-GB" w:eastAsia="en-US"/>
        </w:rPr>
      </w:pPr>
      <w:r w:rsidRPr="00DB1CE3">
        <w:rPr>
          <w:rFonts w:asciiTheme="minorHAnsi" w:eastAsia="Calibri" w:hAnsiTheme="minorHAnsi" w:cstheme="minorHAnsi"/>
          <w:sz w:val="25"/>
          <w:szCs w:val="25"/>
          <w:lang w:val="en-GB" w:eastAsia="en-US"/>
        </w:rPr>
        <w:t>Mister Chair</w:t>
      </w:r>
      <w:r w:rsidR="00DB1CE3" w:rsidRPr="00DB1CE3">
        <w:rPr>
          <w:rFonts w:asciiTheme="minorHAnsi" w:eastAsia="Calibri" w:hAnsiTheme="minorHAnsi" w:cstheme="minorHAnsi"/>
          <w:sz w:val="25"/>
          <w:szCs w:val="25"/>
          <w:lang w:val="en-GB" w:eastAsia="en-US"/>
        </w:rPr>
        <w:t>person-Rapporteur</w:t>
      </w:r>
      <w:r w:rsidRPr="00DB1CE3">
        <w:rPr>
          <w:rFonts w:asciiTheme="minorHAnsi" w:eastAsia="Calibri" w:hAnsiTheme="minorHAnsi" w:cstheme="minorHAnsi"/>
          <w:sz w:val="25"/>
          <w:szCs w:val="25"/>
          <w:lang w:val="en-GB" w:eastAsia="en-US"/>
        </w:rPr>
        <w:t xml:space="preserve">, </w:t>
      </w:r>
    </w:p>
    <w:p w14:paraId="44DD091D" w14:textId="77777777" w:rsidR="00D57EDC" w:rsidRPr="00DB1CE3" w:rsidRDefault="00D57EDC" w:rsidP="00B756D4">
      <w:pPr>
        <w:rPr>
          <w:rFonts w:asciiTheme="minorHAnsi" w:eastAsia="Calibri" w:hAnsiTheme="minorHAnsi" w:cstheme="minorHAnsi"/>
          <w:sz w:val="25"/>
          <w:szCs w:val="25"/>
          <w:lang w:val="en-GB" w:eastAsia="en-US"/>
        </w:rPr>
      </w:pPr>
    </w:p>
    <w:p w14:paraId="275818E1" w14:textId="7F748196" w:rsidR="00F67E3F" w:rsidRPr="00DB1CE3" w:rsidRDefault="00D57EDC" w:rsidP="00B756D4">
      <w:pPr>
        <w:rPr>
          <w:rFonts w:asciiTheme="minorHAnsi" w:eastAsia="Calibri" w:hAnsiTheme="minorHAnsi" w:cstheme="minorHAnsi"/>
          <w:sz w:val="25"/>
          <w:szCs w:val="25"/>
          <w:lang w:val="en-GB" w:eastAsia="en-US"/>
        </w:rPr>
      </w:pPr>
      <w:r w:rsidRPr="00DB1CE3">
        <w:rPr>
          <w:rFonts w:asciiTheme="minorHAnsi" w:eastAsia="Calibri" w:hAnsiTheme="minorHAnsi" w:cstheme="minorHAnsi"/>
          <w:sz w:val="25"/>
          <w:szCs w:val="25"/>
          <w:lang w:val="en-GB" w:eastAsia="en-US"/>
        </w:rPr>
        <w:t>L</w:t>
      </w:r>
      <w:r w:rsidR="00F67E3F" w:rsidRPr="00DB1CE3">
        <w:rPr>
          <w:rFonts w:asciiTheme="minorHAnsi" w:eastAsia="Calibri" w:hAnsiTheme="minorHAnsi" w:cstheme="minorHAnsi"/>
          <w:sz w:val="25"/>
          <w:szCs w:val="25"/>
          <w:lang w:val="en-GB" w:eastAsia="en-US"/>
        </w:rPr>
        <w:t xml:space="preserve">et me take the opportunity of this first intervention of my organisation to </w:t>
      </w:r>
      <w:r w:rsidR="00017217" w:rsidRPr="00DB1CE3">
        <w:rPr>
          <w:rFonts w:asciiTheme="minorHAnsi" w:eastAsia="Calibri" w:hAnsiTheme="minorHAnsi" w:cstheme="minorHAnsi"/>
          <w:sz w:val="25"/>
          <w:szCs w:val="25"/>
          <w:lang w:val="en-GB" w:eastAsia="en-US"/>
        </w:rPr>
        <w:t xml:space="preserve">welcome you on your renewed appointment as the </w:t>
      </w:r>
      <w:r w:rsidRPr="00DB1CE3">
        <w:rPr>
          <w:rFonts w:asciiTheme="minorHAnsi" w:eastAsia="Calibri" w:hAnsiTheme="minorHAnsi" w:cstheme="minorHAnsi"/>
          <w:sz w:val="25"/>
          <w:szCs w:val="25"/>
          <w:lang w:val="en-GB" w:eastAsia="en-US"/>
        </w:rPr>
        <w:t>C</w:t>
      </w:r>
      <w:r w:rsidR="00017217" w:rsidRPr="00DB1CE3">
        <w:rPr>
          <w:rFonts w:asciiTheme="minorHAnsi" w:eastAsia="Calibri" w:hAnsiTheme="minorHAnsi" w:cstheme="minorHAnsi"/>
          <w:sz w:val="25"/>
          <w:szCs w:val="25"/>
          <w:lang w:val="en-GB" w:eastAsia="en-US"/>
        </w:rPr>
        <w:t xml:space="preserve">hair of this working group and to congratulate you and your team for the second revised draft that we have before us to serve as the basis for this week’s negotiations. Our organisations </w:t>
      </w:r>
      <w:r w:rsidR="00C3286E" w:rsidRPr="00DB1CE3">
        <w:rPr>
          <w:rFonts w:asciiTheme="minorHAnsi" w:eastAsia="Calibri" w:hAnsiTheme="minorHAnsi" w:cstheme="minorHAnsi"/>
          <w:sz w:val="25"/>
          <w:szCs w:val="25"/>
          <w:lang w:val="en-GB" w:eastAsia="en-US"/>
        </w:rPr>
        <w:t xml:space="preserve">warmly </w:t>
      </w:r>
      <w:r w:rsidR="00017217" w:rsidRPr="00DB1CE3">
        <w:rPr>
          <w:rFonts w:asciiTheme="minorHAnsi" w:eastAsia="Calibri" w:hAnsiTheme="minorHAnsi" w:cstheme="minorHAnsi"/>
          <w:sz w:val="25"/>
          <w:szCs w:val="25"/>
          <w:lang w:val="en-GB" w:eastAsia="en-US"/>
        </w:rPr>
        <w:t xml:space="preserve">welcome </w:t>
      </w:r>
      <w:r w:rsidR="006D7436" w:rsidRPr="00DB1CE3">
        <w:rPr>
          <w:rFonts w:asciiTheme="minorHAnsi" w:eastAsia="Calibri" w:hAnsiTheme="minorHAnsi" w:cstheme="minorHAnsi"/>
          <w:sz w:val="25"/>
          <w:szCs w:val="25"/>
          <w:lang w:val="en-GB" w:eastAsia="en-US"/>
        </w:rPr>
        <w:t>the significant improvements that we find in this new draft</w:t>
      </w:r>
      <w:r w:rsidR="001748FA" w:rsidRPr="00DB1CE3">
        <w:rPr>
          <w:rFonts w:asciiTheme="minorHAnsi" w:eastAsia="Calibri" w:hAnsiTheme="minorHAnsi" w:cstheme="minorHAnsi"/>
          <w:sz w:val="25"/>
          <w:szCs w:val="25"/>
          <w:lang w:val="en-GB" w:eastAsia="en-US"/>
        </w:rPr>
        <w:t xml:space="preserve"> and that we will definitively highlight in our interventions </w:t>
      </w:r>
      <w:r w:rsidR="00AF3863" w:rsidRPr="00DB1CE3">
        <w:rPr>
          <w:rFonts w:asciiTheme="minorHAnsi" w:eastAsia="Calibri" w:hAnsiTheme="minorHAnsi" w:cstheme="minorHAnsi"/>
          <w:sz w:val="25"/>
          <w:szCs w:val="25"/>
          <w:lang w:val="en-GB" w:eastAsia="en-US"/>
        </w:rPr>
        <w:t xml:space="preserve">under the relevant parts of the program of work. </w:t>
      </w:r>
    </w:p>
    <w:p w14:paraId="3F6B47C3" w14:textId="11ACE001" w:rsidR="0057553E" w:rsidRPr="00DB1CE3" w:rsidRDefault="0057553E" w:rsidP="00B756D4">
      <w:pPr>
        <w:rPr>
          <w:rFonts w:asciiTheme="minorHAnsi" w:eastAsia="Calibri" w:hAnsiTheme="minorHAnsi" w:cstheme="minorHAnsi"/>
          <w:sz w:val="25"/>
          <w:szCs w:val="25"/>
          <w:lang w:val="en-GB" w:eastAsia="en-US"/>
        </w:rPr>
      </w:pPr>
    </w:p>
    <w:p w14:paraId="301A49E0" w14:textId="6970F8D9" w:rsidR="0057553E" w:rsidRDefault="0057553E" w:rsidP="00B756D4">
      <w:pPr>
        <w:rPr>
          <w:rFonts w:asciiTheme="minorHAnsi" w:eastAsia="Calibri" w:hAnsiTheme="minorHAnsi" w:cstheme="minorHAnsi"/>
          <w:sz w:val="25"/>
          <w:szCs w:val="25"/>
          <w:lang w:val="en-GB" w:eastAsia="en-US"/>
        </w:rPr>
      </w:pPr>
      <w:r w:rsidRPr="00DB1CE3">
        <w:rPr>
          <w:rFonts w:asciiTheme="minorHAnsi" w:eastAsia="Calibri" w:hAnsiTheme="minorHAnsi" w:cstheme="minorHAnsi"/>
          <w:sz w:val="25"/>
          <w:szCs w:val="25"/>
          <w:lang w:val="en-GB" w:eastAsia="en-US"/>
        </w:rPr>
        <w:t xml:space="preserve">We </w:t>
      </w:r>
      <w:r w:rsidR="00A47FA0">
        <w:rPr>
          <w:rFonts w:asciiTheme="minorHAnsi" w:eastAsia="Calibri" w:hAnsiTheme="minorHAnsi" w:cstheme="minorHAnsi"/>
          <w:sz w:val="25"/>
          <w:szCs w:val="25"/>
          <w:lang w:val="en-GB" w:eastAsia="en-US"/>
        </w:rPr>
        <w:t>add</w:t>
      </w:r>
      <w:r w:rsidRPr="00DB1CE3">
        <w:rPr>
          <w:rFonts w:asciiTheme="minorHAnsi" w:eastAsia="Calibri" w:hAnsiTheme="minorHAnsi" w:cstheme="minorHAnsi"/>
          <w:sz w:val="25"/>
          <w:szCs w:val="25"/>
          <w:lang w:val="en-GB" w:eastAsia="en-US"/>
        </w:rPr>
        <w:t xml:space="preserve"> our voice</w:t>
      </w:r>
      <w:r w:rsidR="00A47FA0">
        <w:rPr>
          <w:rFonts w:asciiTheme="minorHAnsi" w:eastAsia="Calibri" w:hAnsiTheme="minorHAnsi" w:cstheme="minorHAnsi"/>
          <w:sz w:val="25"/>
          <w:szCs w:val="25"/>
          <w:lang w:val="en-GB" w:eastAsia="en-US"/>
        </w:rPr>
        <w:t>s</w:t>
      </w:r>
      <w:r w:rsidRPr="00DB1CE3">
        <w:rPr>
          <w:rFonts w:asciiTheme="minorHAnsi" w:eastAsia="Calibri" w:hAnsiTheme="minorHAnsi" w:cstheme="minorHAnsi"/>
          <w:sz w:val="25"/>
          <w:szCs w:val="25"/>
          <w:lang w:val="en-GB" w:eastAsia="en-US"/>
        </w:rPr>
        <w:t xml:space="preserve"> to </w:t>
      </w:r>
      <w:r w:rsidR="00D57EDC" w:rsidRPr="00DB1CE3">
        <w:rPr>
          <w:rFonts w:asciiTheme="minorHAnsi" w:eastAsia="Calibri" w:hAnsiTheme="minorHAnsi" w:cstheme="minorHAnsi"/>
          <w:sz w:val="25"/>
          <w:szCs w:val="25"/>
          <w:lang w:val="en-GB" w:eastAsia="en-US"/>
        </w:rPr>
        <w:t xml:space="preserve">those of </w:t>
      </w:r>
      <w:r w:rsidRPr="00DB1CE3">
        <w:rPr>
          <w:rFonts w:asciiTheme="minorHAnsi" w:eastAsia="Calibri" w:hAnsiTheme="minorHAnsi" w:cstheme="minorHAnsi"/>
          <w:sz w:val="25"/>
          <w:szCs w:val="25"/>
          <w:lang w:val="en-GB" w:eastAsia="en-US"/>
        </w:rPr>
        <w:t xml:space="preserve">States who </w:t>
      </w:r>
      <w:r w:rsidR="00625800" w:rsidRPr="00DB1CE3">
        <w:rPr>
          <w:rFonts w:asciiTheme="minorHAnsi" w:eastAsia="Calibri" w:hAnsiTheme="minorHAnsi" w:cstheme="minorHAnsi"/>
          <w:sz w:val="25"/>
          <w:szCs w:val="25"/>
          <w:lang w:val="en-GB" w:eastAsia="en-US"/>
        </w:rPr>
        <w:t xml:space="preserve">support the process and acknowledge that </w:t>
      </w:r>
      <w:r w:rsidR="003717B3" w:rsidRPr="00DB1CE3">
        <w:rPr>
          <w:rFonts w:asciiTheme="minorHAnsi" w:eastAsia="Calibri" w:hAnsiTheme="minorHAnsi" w:cstheme="minorHAnsi"/>
          <w:sz w:val="25"/>
          <w:szCs w:val="25"/>
          <w:lang w:val="en-GB" w:eastAsia="en-US"/>
        </w:rPr>
        <w:t>significant progress has been made in the l</w:t>
      </w:r>
      <w:r w:rsidR="00026E3A" w:rsidRPr="00DB1CE3">
        <w:rPr>
          <w:rFonts w:asciiTheme="minorHAnsi" w:eastAsia="Calibri" w:hAnsiTheme="minorHAnsi" w:cstheme="minorHAnsi"/>
          <w:sz w:val="25"/>
          <w:szCs w:val="25"/>
          <w:lang w:val="en-GB" w:eastAsia="en-US"/>
        </w:rPr>
        <w:t>a</w:t>
      </w:r>
      <w:r w:rsidR="003717B3" w:rsidRPr="00DB1CE3">
        <w:rPr>
          <w:rFonts w:asciiTheme="minorHAnsi" w:eastAsia="Calibri" w:hAnsiTheme="minorHAnsi" w:cstheme="minorHAnsi"/>
          <w:sz w:val="25"/>
          <w:szCs w:val="25"/>
          <w:lang w:val="en-GB" w:eastAsia="en-US"/>
        </w:rPr>
        <w:t xml:space="preserve">st 6 years </w:t>
      </w:r>
      <w:r w:rsidR="00026E3A" w:rsidRPr="00DB1CE3">
        <w:rPr>
          <w:rFonts w:asciiTheme="minorHAnsi" w:eastAsia="Calibri" w:hAnsiTheme="minorHAnsi" w:cstheme="minorHAnsi"/>
          <w:sz w:val="25"/>
          <w:szCs w:val="25"/>
          <w:lang w:val="en-GB" w:eastAsia="en-US"/>
        </w:rPr>
        <w:t xml:space="preserve">to bring us where we are now with a text that still needs some improvements but is a solid basis for a future </w:t>
      </w:r>
      <w:r w:rsidR="005C5F93" w:rsidRPr="00DB1CE3">
        <w:rPr>
          <w:rFonts w:asciiTheme="minorHAnsi" w:eastAsia="Calibri" w:hAnsiTheme="minorHAnsi" w:cstheme="minorHAnsi"/>
          <w:sz w:val="25"/>
          <w:szCs w:val="25"/>
          <w:lang w:val="en-GB" w:eastAsia="en-US"/>
        </w:rPr>
        <w:t>LBI.</w:t>
      </w:r>
    </w:p>
    <w:p w14:paraId="55FFED6A" w14:textId="5643D353" w:rsidR="005C5F93" w:rsidRDefault="005C5F93" w:rsidP="00B756D4">
      <w:pPr>
        <w:rPr>
          <w:rFonts w:asciiTheme="minorHAnsi" w:eastAsia="Calibri" w:hAnsiTheme="minorHAnsi" w:cstheme="minorHAnsi"/>
          <w:sz w:val="25"/>
          <w:szCs w:val="25"/>
          <w:lang w:val="en-GB" w:eastAsia="en-US"/>
        </w:rPr>
      </w:pPr>
    </w:p>
    <w:p w14:paraId="030EEC80" w14:textId="77777777" w:rsidR="005C5F93" w:rsidRDefault="005C5F93" w:rsidP="00B756D4">
      <w:pPr>
        <w:rPr>
          <w:rFonts w:asciiTheme="minorHAnsi" w:eastAsia="Calibri" w:hAnsiTheme="minorHAnsi" w:cstheme="minorHAnsi"/>
          <w:sz w:val="25"/>
          <w:szCs w:val="25"/>
          <w:lang w:val="en-GB" w:eastAsia="en-US"/>
        </w:rPr>
      </w:pPr>
    </w:p>
    <w:p w14:paraId="381E868A" w14:textId="77777777" w:rsidR="00A430D6" w:rsidRDefault="00A430D6" w:rsidP="00A430D6">
      <w:pPr>
        <w:jc w:val="both"/>
        <w:rPr>
          <w:b/>
          <w:i/>
          <w:lang w:val="en-US" w:eastAsia="en-US"/>
        </w:rPr>
      </w:pPr>
      <w:r>
        <w:rPr>
          <w:b/>
          <w:i/>
        </w:rPr>
        <w:t>Preamble</w:t>
      </w:r>
    </w:p>
    <w:p w14:paraId="061C23D8" w14:textId="77777777" w:rsidR="00A430D6" w:rsidRDefault="00A430D6" w:rsidP="00A430D6">
      <w:pPr>
        <w:jc w:val="both"/>
      </w:pPr>
      <w:r>
        <w:t xml:space="preserve"> </w:t>
      </w:r>
    </w:p>
    <w:p w14:paraId="0097C26E" w14:textId="0E506B43" w:rsidR="00A430D6" w:rsidRDefault="00A430D6" w:rsidP="00A430D6">
      <w:pPr>
        <w:pStyle w:val="ListParagraph"/>
        <w:numPr>
          <w:ilvl w:val="0"/>
          <w:numId w:val="2"/>
        </w:numPr>
        <w:jc w:val="both"/>
      </w:pPr>
      <w:r>
        <w:lastRenderedPageBreak/>
        <w:t xml:space="preserve">For the sake of clarity, and legal predictability and certainty, it would be preferable to only have “human rights” and not “human rights and fundamental freedoms,” as currently found in para. 8 of the </w:t>
      </w:r>
      <w:r w:rsidR="00D57EDC">
        <w:t>P</w:t>
      </w:r>
      <w:r>
        <w:t xml:space="preserve">reamble. Article 3(3) and all other articles should be updated accordingly. </w:t>
      </w:r>
    </w:p>
    <w:p w14:paraId="590AA8D6" w14:textId="77777777" w:rsidR="00A430D6" w:rsidRPr="00A430D6" w:rsidRDefault="00A430D6" w:rsidP="00A430D6">
      <w:pPr>
        <w:jc w:val="both"/>
        <w:rPr>
          <w:lang w:val="en-GB"/>
        </w:rPr>
      </w:pPr>
    </w:p>
    <w:p w14:paraId="08FC0066" w14:textId="41FCA313" w:rsidR="00A430D6" w:rsidRDefault="00A430D6" w:rsidP="00A430D6">
      <w:pPr>
        <w:pStyle w:val="ListParagraph"/>
        <w:numPr>
          <w:ilvl w:val="0"/>
          <w:numId w:val="2"/>
        </w:numPr>
        <w:jc w:val="both"/>
      </w:pPr>
      <w:r>
        <w:t xml:space="preserve">Para. 14 of the </w:t>
      </w:r>
      <w:r w:rsidR="00D57EDC">
        <w:t>P</w:t>
      </w:r>
      <w:r>
        <w:t xml:space="preserve">reamble, beginning with “Emphasizing that civil society actors…”, notes the role of </w:t>
      </w:r>
      <w:r w:rsidR="00D57EDC">
        <w:t>Human Rights Defenders (</w:t>
      </w:r>
      <w:r>
        <w:t>HRDs</w:t>
      </w:r>
      <w:r w:rsidR="00D57EDC">
        <w:t>)</w:t>
      </w:r>
      <w:r>
        <w:t xml:space="preserve"> in “preventing, mitigating and seeking effective remedy for business-related human rights abuses.” While the role of HRDs is crucial, given the purpose of the LBI, it may be unhelpful to divert the responsibility of prevention from businesses and States. At a minimum, the wording needs to be revised so as not to give the impression that it is </w:t>
      </w:r>
      <w:r w:rsidR="00D57EDC">
        <w:t xml:space="preserve">HRDs’ </w:t>
      </w:r>
      <w:r>
        <w:t xml:space="preserve">role to prevent abuses and violations of human rights. </w:t>
      </w:r>
    </w:p>
    <w:p w14:paraId="46A80226" w14:textId="77777777" w:rsidR="00A430D6" w:rsidRPr="00A430D6" w:rsidRDefault="00A430D6" w:rsidP="00A430D6">
      <w:pPr>
        <w:jc w:val="both"/>
        <w:rPr>
          <w:lang w:val="en-GB"/>
        </w:rPr>
      </w:pPr>
    </w:p>
    <w:p w14:paraId="36675561" w14:textId="0139E832" w:rsidR="00A430D6" w:rsidRDefault="00A430D6" w:rsidP="00A430D6">
      <w:pPr>
        <w:pStyle w:val="ListParagraph"/>
        <w:numPr>
          <w:ilvl w:val="0"/>
          <w:numId w:val="2"/>
        </w:numPr>
        <w:jc w:val="both"/>
      </w:pPr>
      <w:r>
        <w:t xml:space="preserve">In para. 15 of the </w:t>
      </w:r>
      <w:r w:rsidR="00D57EDC">
        <w:t>P</w:t>
      </w:r>
      <w:r>
        <w:t xml:space="preserve">reamble, </w:t>
      </w:r>
      <w:r w:rsidR="00D57EDC">
        <w:t xml:space="preserve">we </w:t>
      </w:r>
      <w:r>
        <w:t>recommend adding the phrase “including applicable legal frameworks” after “specific circumstances” so that it reads, “takes into account specific circumstances, including applicable legal frameworks, and vulnerabilities of different right-holders.”</w:t>
      </w:r>
    </w:p>
    <w:p w14:paraId="35434175" w14:textId="77777777" w:rsidR="00A430D6" w:rsidRPr="00DB1CE3" w:rsidRDefault="00A430D6" w:rsidP="00A430D6">
      <w:pPr>
        <w:jc w:val="both"/>
        <w:rPr>
          <w:lang w:val="en-US"/>
        </w:rPr>
      </w:pPr>
    </w:p>
    <w:p w14:paraId="7032E976" w14:textId="77777777" w:rsidR="00A430D6" w:rsidRPr="00D94024" w:rsidRDefault="00A430D6" w:rsidP="00A430D6">
      <w:pPr>
        <w:jc w:val="both"/>
        <w:rPr>
          <w:b/>
          <w:i/>
        </w:rPr>
      </w:pPr>
      <w:r w:rsidRPr="00D94024">
        <w:rPr>
          <w:b/>
          <w:i/>
        </w:rPr>
        <w:t>Article 1. Definitions</w:t>
      </w:r>
    </w:p>
    <w:p w14:paraId="6C334A67" w14:textId="77777777" w:rsidR="00A430D6" w:rsidRDefault="00A430D6" w:rsidP="00A430D6">
      <w:pPr>
        <w:jc w:val="both"/>
      </w:pPr>
    </w:p>
    <w:p w14:paraId="06BA390C" w14:textId="47A1A4CD" w:rsidR="00A430D6" w:rsidRDefault="00A430D6" w:rsidP="00A430D6">
      <w:pPr>
        <w:pStyle w:val="ListParagraph"/>
        <w:numPr>
          <w:ilvl w:val="0"/>
          <w:numId w:val="2"/>
        </w:numPr>
        <w:jc w:val="both"/>
      </w:pPr>
      <w:proofErr w:type="gramStart"/>
      <w:r>
        <w:t>In regards to</w:t>
      </w:r>
      <w:proofErr w:type="gramEnd"/>
      <w:r>
        <w:t xml:space="preserve"> Article 1(1) and the definition of victims, </w:t>
      </w:r>
      <w:r w:rsidR="00D57EDC">
        <w:t xml:space="preserve">we </w:t>
      </w:r>
      <w:r>
        <w:t xml:space="preserve">acknowledge that there have been improvements from the previous draft. However, it is unclear as to what “substantial impairment” of human rights means. </w:t>
      </w:r>
      <w:r w:rsidR="00D57EDC">
        <w:t xml:space="preserve">We are </w:t>
      </w:r>
      <w:r>
        <w:t xml:space="preserve">concerned that this may impose a high bar on what can be covered under the LBI, and that it may limit what is considered ‘injury, emotional suffering’ etc. in a manner that contradicts the purpose of the treaty. </w:t>
      </w:r>
    </w:p>
    <w:p w14:paraId="312B3CEE" w14:textId="77777777" w:rsidR="00A430D6" w:rsidRPr="00A430D6" w:rsidRDefault="00A430D6" w:rsidP="00A430D6">
      <w:pPr>
        <w:jc w:val="both"/>
        <w:rPr>
          <w:lang w:val="en-GB"/>
        </w:rPr>
      </w:pPr>
    </w:p>
    <w:p w14:paraId="7621B316" w14:textId="2A9F06ED" w:rsidR="00A430D6" w:rsidRDefault="00A430D6" w:rsidP="00DB1CE3">
      <w:pPr>
        <w:pStyle w:val="ListParagraph"/>
        <w:numPr>
          <w:ilvl w:val="0"/>
          <w:numId w:val="2"/>
        </w:numPr>
        <w:jc w:val="both"/>
      </w:pPr>
      <w:r>
        <w:t xml:space="preserve">The definition should also allow for victims </w:t>
      </w:r>
      <w:r w:rsidR="00A47FA0">
        <w:t>who</w:t>
      </w:r>
      <w:r>
        <w:t xml:space="preserve"> are identified in the future. This can be dealt with by including a phrase on “transgenerational harm” or by noting that the definition of victim needs to be read in accordance with the article on statute of limitations. </w:t>
      </w:r>
    </w:p>
    <w:p w14:paraId="6FF58982" w14:textId="77777777" w:rsidR="00DB1CE3" w:rsidRDefault="00DB1CE3" w:rsidP="00DB1CE3">
      <w:pPr>
        <w:pStyle w:val="ListParagraph"/>
        <w:jc w:val="both"/>
      </w:pPr>
    </w:p>
    <w:p w14:paraId="05E049AF" w14:textId="2959AAAD" w:rsidR="00A430D6" w:rsidRDefault="00A430D6" w:rsidP="00A430D6">
      <w:pPr>
        <w:pStyle w:val="ListParagraph"/>
        <w:numPr>
          <w:ilvl w:val="0"/>
          <w:numId w:val="2"/>
        </w:numPr>
        <w:jc w:val="both"/>
      </w:pPr>
      <w:r>
        <w:t xml:space="preserve">In Article 1(3), </w:t>
      </w:r>
      <w:r w:rsidR="00D57EDC">
        <w:t xml:space="preserve">we </w:t>
      </w:r>
      <w:r>
        <w:t xml:space="preserve">recommend that the phrase “for profit” is removed, to ensure that all activities are covered. Indeed, there are various activities that business enterprises may carry out that would not qualify as for profit but in the context of which human rights violations and abuses can still occur. </w:t>
      </w:r>
    </w:p>
    <w:p w14:paraId="08776744" w14:textId="77777777" w:rsidR="00A430D6" w:rsidRPr="00A430D6" w:rsidRDefault="00A430D6" w:rsidP="00A430D6">
      <w:pPr>
        <w:jc w:val="both"/>
        <w:rPr>
          <w:lang w:val="en-GB"/>
        </w:rPr>
      </w:pPr>
    </w:p>
    <w:p w14:paraId="67C14104" w14:textId="77777777" w:rsidR="00A430D6" w:rsidRPr="00D94024" w:rsidRDefault="00A430D6" w:rsidP="00A430D6">
      <w:pPr>
        <w:jc w:val="both"/>
        <w:rPr>
          <w:b/>
          <w:i/>
        </w:rPr>
      </w:pPr>
      <w:r w:rsidRPr="00D94024">
        <w:rPr>
          <w:b/>
          <w:i/>
        </w:rPr>
        <w:t>Article 2. Statement of purpose</w:t>
      </w:r>
    </w:p>
    <w:p w14:paraId="7BE821D2" w14:textId="77777777" w:rsidR="00A430D6" w:rsidRDefault="00A430D6" w:rsidP="00A430D6">
      <w:pPr>
        <w:jc w:val="both"/>
      </w:pPr>
    </w:p>
    <w:p w14:paraId="136680A9" w14:textId="0EA8075A" w:rsidR="00A430D6" w:rsidRDefault="00A430D6" w:rsidP="00A430D6">
      <w:pPr>
        <w:pStyle w:val="ListParagraph"/>
        <w:numPr>
          <w:ilvl w:val="0"/>
          <w:numId w:val="2"/>
        </w:numPr>
        <w:jc w:val="both"/>
      </w:pPr>
      <w:r>
        <w:t xml:space="preserve">In Article 2(1)(b), </w:t>
      </w:r>
      <w:r w:rsidR="00D57EDC">
        <w:t>we</w:t>
      </w:r>
      <w:r>
        <w:t xml:space="preserve"> suggest to change the text to “To prevent the occurrence of human rights </w:t>
      </w:r>
      <w:r>
        <w:rPr>
          <w:b/>
        </w:rPr>
        <w:t>violations and abuses</w:t>
      </w:r>
      <w:r>
        <w:t>” as violations refer typically to the breaches of States obligations under international human rights law while abuses refer to the infringement of rights by other actors like business enterprises.  This change would be in line with Article 2(1)(a), which makes clear that the LBI will address both the State’s obligations in the context of business activities and the responsibilities of business enterprises.</w:t>
      </w:r>
    </w:p>
    <w:p w14:paraId="5E62812D" w14:textId="77777777" w:rsidR="00A430D6" w:rsidRDefault="00A430D6" w:rsidP="00A430D6">
      <w:pPr>
        <w:pStyle w:val="ListParagraph"/>
        <w:jc w:val="both"/>
      </w:pPr>
    </w:p>
    <w:p w14:paraId="04027484" w14:textId="753FD284" w:rsidR="00A430D6" w:rsidRDefault="00A430D6" w:rsidP="00A430D6">
      <w:pPr>
        <w:pStyle w:val="ListParagraph"/>
        <w:numPr>
          <w:ilvl w:val="0"/>
          <w:numId w:val="2"/>
        </w:numPr>
        <w:jc w:val="both"/>
      </w:pPr>
      <w:r>
        <w:t>In that regard, the LBI should have to have stronger language on State obligations to respect, protect and fulfil human rights. This should include defining victims as individuals that have also suffered from State ‘human rights violations’ (Article 1(1)). It would follow that States would also be responsible for reparations under Article 8(5) (with relevant updates to that paragraph as well).</w:t>
      </w:r>
    </w:p>
    <w:p w14:paraId="6D3CA545" w14:textId="77777777" w:rsidR="00A430D6" w:rsidRPr="00A430D6" w:rsidRDefault="00A430D6" w:rsidP="00A430D6">
      <w:pPr>
        <w:jc w:val="both"/>
        <w:rPr>
          <w:lang w:val="en-GB"/>
        </w:rPr>
      </w:pPr>
    </w:p>
    <w:p w14:paraId="4EAA4D13" w14:textId="77777777" w:rsidR="00F67E3F" w:rsidRDefault="00F67E3F" w:rsidP="00B756D4">
      <w:pPr>
        <w:rPr>
          <w:rFonts w:asciiTheme="minorHAnsi" w:eastAsia="Calibri" w:hAnsiTheme="minorHAnsi" w:cstheme="minorHAnsi"/>
          <w:sz w:val="25"/>
          <w:szCs w:val="25"/>
          <w:lang w:val="en-GB" w:eastAsia="en-US"/>
        </w:rPr>
      </w:pPr>
      <w:bookmarkStart w:id="0" w:name="_GoBack"/>
      <w:bookmarkEnd w:id="0"/>
    </w:p>
    <w:sectPr w:rsidR="00F67E3F" w:rsidSect="00133E6B">
      <w:headerReference w:type="even" r:id="rId14"/>
      <w:headerReference w:type="default" r:id="rId15"/>
      <w:footerReference w:type="even" r:id="rId16"/>
      <w:footerReference w:type="default" r:id="rId17"/>
      <w:headerReference w:type="first" r:id="rId18"/>
      <w:footerReference w:type="first" r:id="rId19"/>
      <w:pgSz w:w="11906" w:h="16838" w:code="9"/>
      <w:pgMar w:top="567" w:right="1133"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91F83" w14:textId="77777777" w:rsidR="003F354A" w:rsidRDefault="003F354A">
      <w:r>
        <w:separator/>
      </w:r>
    </w:p>
  </w:endnote>
  <w:endnote w:type="continuationSeparator" w:id="0">
    <w:p w14:paraId="222CF996" w14:textId="77777777" w:rsidR="003F354A" w:rsidRDefault="003F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0746" w14:textId="77777777" w:rsidR="002E48B1" w:rsidRDefault="002E4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60"/>
      <w:gridCol w:w="3260"/>
      <w:gridCol w:w="3260"/>
    </w:tblGrid>
    <w:tr w:rsidR="2DAEA458" w14:paraId="446C8069" w14:textId="77777777" w:rsidTr="2DAEA458">
      <w:tc>
        <w:tcPr>
          <w:tcW w:w="3260" w:type="dxa"/>
        </w:tcPr>
        <w:p w14:paraId="347CE123" w14:textId="1C560237" w:rsidR="2DAEA458" w:rsidRDefault="2DAEA458" w:rsidP="2DAEA458">
          <w:pPr>
            <w:pStyle w:val="Header"/>
            <w:ind w:left="-115"/>
          </w:pPr>
        </w:p>
      </w:tc>
      <w:tc>
        <w:tcPr>
          <w:tcW w:w="3260" w:type="dxa"/>
        </w:tcPr>
        <w:p w14:paraId="3ACBA732" w14:textId="2F63EC1B" w:rsidR="2DAEA458" w:rsidRDefault="2DAEA458" w:rsidP="2DAEA458">
          <w:pPr>
            <w:pStyle w:val="Header"/>
            <w:jc w:val="center"/>
          </w:pPr>
        </w:p>
      </w:tc>
      <w:tc>
        <w:tcPr>
          <w:tcW w:w="3260" w:type="dxa"/>
        </w:tcPr>
        <w:p w14:paraId="11C693B2" w14:textId="669354B8" w:rsidR="2DAEA458" w:rsidRDefault="2DAEA458" w:rsidP="2DAEA458">
          <w:pPr>
            <w:pStyle w:val="Header"/>
            <w:ind w:right="-115"/>
            <w:jc w:val="right"/>
          </w:pPr>
        </w:p>
      </w:tc>
    </w:tr>
  </w:tbl>
  <w:p w14:paraId="38915C00" w14:textId="2661653D" w:rsidR="2DAEA458" w:rsidRDefault="2DAEA458" w:rsidP="2DAEA4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4E0C84" w:rsidRDefault="004E0C84">
    <w:pPr>
      <w:pStyle w:val="Footer"/>
    </w:pPr>
  </w:p>
  <w:p w14:paraId="62486C05" w14:textId="77777777" w:rsidR="004E0C84" w:rsidRDefault="004E0C84">
    <w:pPr>
      <w:pStyle w:val="Footer"/>
    </w:pPr>
  </w:p>
  <w:p w14:paraId="4101652C" w14:textId="77777777" w:rsidR="004E0C84" w:rsidRDefault="004E0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1C9AF" w14:textId="77777777" w:rsidR="003F354A" w:rsidRDefault="003F354A">
      <w:r>
        <w:separator/>
      </w:r>
    </w:p>
  </w:footnote>
  <w:footnote w:type="continuationSeparator" w:id="0">
    <w:p w14:paraId="5B19D8ED" w14:textId="77777777" w:rsidR="003F354A" w:rsidRDefault="003F3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873C" w14:textId="77777777" w:rsidR="002E48B1" w:rsidRDefault="002E4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54C1" w14:textId="77777777" w:rsidR="002E48B1" w:rsidRDefault="002E4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5651D" w14:textId="0D1D7E92" w:rsidR="004E0C84" w:rsidRDefault="004E0C84">
    <w:pPr>
      <w:pStyle w:val="Header"/>
    </w:pPr>
  </w:p>
  <w:p w14:paraId="4B99056E" w14:textId="77777777" w:rsidR="004E0C84" w:rsidRDefault="004E0C84">
    <w:pPr>
      <w:pStyle w:val="Header"/>
    </w:pPr>
  </w:p>
  <w:p w14:paraId="1299C43A" w14:textId="77777777" w:rsidR="004E0C84" w:rsidRDefault="004E0C84">
    <w:pPr>
      <w:pStyle w:val="Header"/>
    </w:pPr>
  </w:p>
  <w:p w14:paraId="4DDBEF00" w14:textId="2F4BC6E5" w:rsidR="004E0C84" w:rsidRDefault="004E0C84">
    <w:pPr>
      <w:pStyle w:val="Header"/>
    </w:pPr>
  </w:p>
  <w:p w14:paraId="091A1D01" w14:textId="49D772B9" w:rsidR="00847A42" w:rsidRDefault="00847A42">
    <w:pPr>
      <w:pStyle w:val="Header"/>
    </w:pPr>
  </w:p>
  <w:p w14:paraId="6959085C" w14:textId="77777777" w:rsidR="00847A42" w:rsidRDefault="00847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D3D22"/>
    <w:multiLevelType w:val="hybridMultilevel"/>
    <w:tmpl w:val="1A8E1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8D7FBE"/>
    <w:multiLevelType w:val="hybridMultilevel"/>
    <w:tmpl w:val="CEA40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B3"/>
    <w:rsid w:val="000117FC"/>
    <w:rsid w:val="00017217"/>
    <w:rsid w:val="00026E3A"/>
    <w:rsid w:val="000333FA"/>
    <w:rsid w:val="00036162"/>
    <w:rsid w:val="0005392B"/>
    <w:rsid w:val="000553C4"/>
    <w:rsid w:val="00063C08"/>
    <w:rsid w:val="00074FFE"/>
    <w:rsid w:val="00090F95"/>
    <w:rsid w:val="00093622"/>
    <w:rsid w:val="000C518F"/>
    <w:rsid w:val="000C711F"/>
    <w:rsid w:val="000D256D"/>
    <w:rsid w:val="00106D1D"/>
    <w:rsid w:val="0011352C"/>
    <w:rsid w:val="00117004"/>
    <w:rsid w:val="00124EB0"/>
    <w:rsid w:val="001270C5"/>
    <w:rsid w:val="00131AC8"/>
    <w:rsid w:val="00133E6B"/>
    <w:rsid w:val="00146D08"/>
    <w:rsid w:val="00152B27"/>
    <w:rsid w:val="001748FA"/>
    <w:rsid w:val="00183E2F"/>
    <w:rsid w:val="0018451D"/>
    <w:rsid w:val="00186E3F"/>
    <w:rsid w:val="001877CD"/>
    <w:rsid w:val="00191575"/>
    <w:rsid w:val="001B43C8"/>
    <w:rsid w:val="001D24B9"/>
    <w:rsid w:val="001D5122"/>
    <w:rsid w:val="001E6AC1"/>
    <w:rsid w:val="001F75AE"/>
    <w:rsid w:val="0020052A"/>
    <w:rsid w:val="0020489D"/>
    <w:rsid w:val="002064F5"/>
    <w:rsid w:val="00231D41"/>
    <w:rsid w:val="002410B1"/>
    <w:rsid w:val="00247342"/>
    <w:rsid w:val="00247627"/>
    <w:rsid w:val="00254DB9"/>
    <w:rsid w:val="00256753"/>
    <w:rsid w:val="00265E60"/>
    <w:rsid w:val="00267CE5"/>
    <w:rsid w:val="002741AA"/>
    <w:rsid w:val="0027501C"/>
    <w:rsid w:val="00281962"/>
    <w:rsid w:val="0029487A"/>
    <w:rsid w:val="002972D6"/>
    <w:rsid w:val="002B0AB6"/>
    <w:rsid w:val="002B5707"/>
    <w:rsid w:val="002C239D"/>
    <w:rsid w:val="002C5202"/>
    <w:rsid w:val="002D6D49"/>
    <w:rsid w:val="002E48B1"/>
    <w:rsid w:val="002F6AB1"/>
    <w:rsid w:val="00303A69"/>
    <w:rsid w:val="00303D73"/>
    <w:rsid w:val="00340885"/>
    <w:rsid w:val="00344DFF"/>
    <w:rsid w:val="003513D9"/>
    <w:rsid w:val="00364E1C"/>
    <w:rsid w:val="003717B3"/>
    <w:rsid w:val="00374F72"/>
    <w:rsid w:val="00385D04"/>
    <w:rsid w:val="00394753"/>
    <w:rsid w:val="00394934"/>
    <w:rsid w:val="003A046D"/>
    <w:rsid w:val="003C1AA6"/>
    <w:rsid w:val="003E0E2D"/>
    <w:rsid w:val="003E7403"/>
    <w:rsid w:val="003F022C"/>
    <w:rsid w:val="003F354A"/>
    <w:rsid w:val="003F5390"/>
    <w:rsid w:val="003F62BC"/>
    <w:rsid w:val="004006E6"/>
    <w:rsid w:val="0040119E"/>
    <w:rsid w:val="00405DD7"/>
    <w:rsid w:val="00407D3F"/>
    <w:rsid w:val="00421D7E"/>
    <w:rsid w:val="00431DD7"/>
    <w:rsid w:val="00443685"/>
    <w:rsid w:val="00452D27"/>
    <w:rsid w:val="00454618"/>
    <w:rsid w:val="00461772"/>
    <w:rsid w:val="004736D0"/>
    <w:rsid w:val="0048425D"/>
    <w:rsid w:val="00487EDA"/>
    <w:rsid w:val="004909B3"/>
    <w:rsid w:val="00494828"/>
    <w:rsid w:val="004A0B5A"/>
    <w:rsid w:val="004B0FFB"/>
    <w:rsid w:val="004B32E8"/>
    <w:rsid w:val="004B5254"/>
    <w:rsid w:val="004B52C1"/>
    <w:rsid w:val="004E0C84"/>
    <w:rsid w:val="004E1B05"/>
    <w:rsid w:val="004F4346"/>
    <w:rsid w:val="00515B18"/>
    <w:rsid w:val="00541B90"/>
    <w:rsid w:val="0057553E"/>
    <w:rsid w:val="00593A52"/>
    <w:rsid w:val="005A6DF4"/>
    <w:rsid w:val="005C5F93"/>
    <w:rsid w:val="005D356C"/>
    <w:rsid w:val="005E0132"/>
    <w:rsid w:val="005F76C2"/>
    <w:rsid w:val="00616FF2"/>
    <w:rsid w:val="00625800"/>
    <w:rsid w:val="00630745"/>
    <w:rsid w:val="006533B9"/>
    <w:rsid w:val="00661E09"/>
    <w:rsid w:val="00665890"/>
    <w:rsid w:val="00684BC5"/>
    <w:rsid w:val="006A0A2F"/>
    <w:rsid w:val="006A733C"/>
    <w:rsid w:val="006C79B6"/>
    <w:rsid w:val="006D2A92"/>
    <w:rsid w:val="006D7436"/>
    <w:rsid w:val="006E18BD"/>
    <w:rsid w:val="00701AE4"/>
    <w:rsid w:val="00704A25"/>
    <w:rsid w:val="00733C17"/>
    <w:rsid w:val="007340E4"/>
    <w:rsid w:val="00755218"/>
    <w:rsid w:val="007646CD"/>
    <w:rsid w:val="007733B1"/>
    <w:rsid w:val="00777094"/>
    <w:rsid w:val="007A59DE"/>
    <w:rsid w:val="007B0149"/>
    <w:rsid w:val="007B7CD4"/>
    <w:rsid w:val="007C3661"/>
    <w:rsid w:val="007D172C"/>
    <w:rsid w:val="007D33D4"/>
    <w:rsid w:val="007E67F9"/>
    <w:rsid w:val="007F2833"/>
    <w:rsid w:val="007F7F8C"/>
    <w:rsid w:val="00807F53"/>
    <w:rsid w:val="00820D19"/>
    <w:rsid w:val="00826F0C"/>
    <w:rsid w:val="0083148F"/>
    <w:rsid w:val="008345F7"/>
    <w:rsid w:val="00834CC1"/>
    <w:rsid w:val="00843180"/>
    <w:rsid w:val="00847A42"/>
    <w:rsid w:val="0085417C"/>
    <w:rsid w:val="00854AF4"/>
    <w:rsid w:val="00870093"/>
    <w:rsid w:val="0087786E"/>
    <w:rsid w:val="00895075"/>
    <w:rsid w:val="008A08F3"/>
    <w:rsid w:val="008A1851"/>
    <w:rsid w:val="008A24DD"/>
    <w:rsid w:val="008A744D"/>
    <w:rsid w:val="008B4F6D"/>
    <w:rsid w:val="008C4D23"/>
    <w:rsid w:val="008D362E"/>
    <w:rsid w:val="008D5690"/>
    <w:rsid w:val="008E1B83"/>
    <w:rsid w:val="008E2AF0"/>
    <w:rsid w:val="008F52D3"/>
    <w:rsid w:val="008F785D"/>
    <w:rsid w:val="0090030B"/>
    <w:rsid w:val="0091245D"/>
    <w:rsid w:val="00924CAF"/>
    <w:rsid w:val="00926AF5"/>
    <w:rsid w:val="009309B1"/>
    <w:rsid w:val="00937FCE"/>
    <w:rsid w:val="0094245D"/>
    <w:rsid w:val="00970C43"/>
    <w:rsid w:val="009743C9"/>
    <w:rsid w:val="00976192"/>
    <w:rsid w:val="00983353"/>
    <w:rsid w:val="009840DC"/>
    <w:rsid w:val="00986588"/>
    <w:rsid w:val="009920C6"/>
    <w:rsid w:val="009A3C1A"/>
    <w:rsid w:val="009B4E3F"/>
    <w:rsid w:val="009C48BC"/>
    <w:rsid w:val="009D3774"/>
    <w:rsid w:val="009F3C69"/>
    <w:rsid w:val="009F6E08"/>
    <w:rsid w:val="009F7DB2"/>
    <w:rsid w:val="00A15EDE"/>
    <w:rsid w:val="00A430D6"/>
    <w:rsid w:val="00A4630C"/>
    <w:rsid w:val="00A47FA0"/>
    <w:rsid w:val="00A60350"/>
    <w:rsid w:val="00A672F5"/>
    <w:rsid w:val="00A70F0F"/>
    <w:rsid w:val="00A72F28"/>
    <w:rsid w:val="00A96C67"/>
    <w:rsid w:val="00AA1A78"/>
    <w:rsid w:val="00AB0B17"/>
    <w:rsid w:val="00AC2B7F"/>
    <w:rsid w:val="00AC692C"/>
    <w:rsid w:val="00AE41AB"/>
    <w:rsid w:val="00AE5D6A"/>
    <w:rsid w:val="00AF2E59"/>
    <w:rsid w:val="00AF3863"/>
    <w:rsid w:val="00AF6EF6"/>
    <w:rsid w:val="00AF710E"/>
    <w:rsid w:val="00B019D4"/>
    <w:rsid w:val="00B06C2E"/>
    <w:rsid w:val="00B20D75"/>
    <w:rsid w:val="00B31E1F"/>
    <w:rsid w:val="00B555F5"/>
    <w:rsid w:val="00B612B6"/>
    <w:rsid w:val="00B756D4"/>
    <w:rsid w:val="00B82C46"/>
    <w:rsid w:val="00BA1048"/>
    <w:rsid w:val="00BB5B5D"/>
    <w:rsid w:val="00BC011C"/>
    <w:rsid w:val="00BD045E"/>
    <w:rsid w:val="00BD7128"/>
    <w:rsid w:val="00BE4E9F"/>
    <w:rsid w:val="00C011F2"/>
    <w:rsid w:val="00C123B2"/>
    <w:rsid w:val="00C24BB6"/>
    <w:rsid w:val="00C300D3"/>
    <w:rsid w:val="00C3286E"/>
    <w:rsid w:val="00C33267"/>
    <w:rsid w:val="00C37810"/>
    <w:rsid w:val="00C50FDE"/>
    <w:rsid w:val="00C5756C"/>
    <w:rsid w:val="00C92969"/>
    <w:rsid w:val="00CA1CAC"/>
    <w:rsid w:val="00CA561D"/>
    <w:rsid w:val="00CA7F04"/>
    <w:rsid w:val="00CB379D"/>
    <w:rsid w:val="00CC27EB"/>
    <w:rsid w:val="00CC6A85"/>
    <w:rsid w:val="00CD164E"/>
    <w:rsid w:val="00CD24C5"/>
    <w:rsid w:val="00CD558C"/>
    <w:rsid w:val="00CF68D6"/>
    <w:rsid w:val="00D01828"/>
    <w:rsid w:val="00D02CE5"/>
    <w:rsid w:val="00D050BD"/>
    <w:rsid w:val="00D3581C"/>
    <w:rsid w:val="00D36893"/>
    <w:rsid w:val="00D40493"/>
    <w:rsid w:val="00D45E90"/>
    <w:rsid w:val="00D53983"/>
    <w:rsid w:val="00D57EDC"/>
    <w:rsid w:val="00D62D28"/>
    <w:rsid w:val="00D63F92"/>
    <w:rsid w:val="00D711A7"/>
    <w:rsid w:val="00D806A4"/>
    <w:rsid w:val="00D80F4D"/>
    <w:rsid w:val="00D94024"/>
    <w:rsid w:val="00DA0211"/>
    <w:rsid w:val="00DA42BA"/>
    <w:rsid w:val="00DA6269"/>
    <w:rsid w:val="00DB1CE3"/>
    <w:rsid w:val="00DC7B78"/>
    <w:rsid w:val="00E018C2"/>
    <w:rsid w:val="00E026BF"/>
    <w:rsid w:val="00E12A6D"/>
    <w:rsid w:val="00E148AE"/>
    <w:rsid w:val="00E235C7"/>
    <w:rsid w:val="00E2733A"/>
    <w:rsid w:val="00E3364D"/>
    <w:rsid w:val="00E401F2"/>
    <w:rsid w:val="00E6370B"/>
    <w:rsid w:val="00E64565"/>
    <w:rsid w:val="00E74148"/>
    <w:rsid w:val="00E807F4"/>
    <w:rsid w:val="00E83015"/>
    <w:rsid w:val="00E87051"/>
    <w:rsid w:val="00E91BFC"/>
    <w:rsid w:val="00EA51DC"/>
    <w:rsid w:val="00EB5899"/>
    <w:rsid w:val="00EC1F35"/>
    <w:rsid w:val="00EF1F01"/>
    <w:rsid w:val="00F028D1"/>
    <w:rsid w:val="00F33310"/>
    <w:rsid w:val="00F505CB"/>
    <w:rsid w:val="00F67E3F"/>
    <w:rsid w:val="00F81584"/>
    <w:rsid w:val="00FA595E"/>
    <w:rsid w:val="00FA6317"/>
    <w:rsid w:val="00FB216F"/>
    <w:rsid w:val="00FB74BA"/>
    <w:rsid w:val="00FD6010"/>
    <w:rsid w:val="2DAEA45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1A1B5"/>
  <w15:chartTrackingRefBased/>
  <w15:docId w15:val="{8D7B6F61-9038-4092-895E-4576B600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CAC"/>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B18"/>
    <w:pPr>
      <w:tabs>
        <w:tab w:val="center" w:pos="4536"/>
        <w:tab w:val="right" w:pos="9072"/>
      </w:tabs>
    </w:pPr>
  </w:style>
  <w:style w:type="paragraph" w:styleId="Footer">
    <w:name w:val="footer"/>
    <w:basedOn w:val="Normal"/>
    <w:rsid w:val="00515B18"/>
    <w:pPr>
      <w:tabs>
        <w:tab w:val="center" w:pos="4536"/>
        <w:tab w:val="right" w:pos="9072"/>
      </w:tabs>
    </w:pPr>
  </w:style>
  <w:style w:type="character" w:customStyle="1" w:styleId="apple-style-span">
    <w:name w:val="apple-style-span"/>
    <w:basedOn w:val="DefaultParagraphFont"/>
    <w:rsid w:val="009309B1"/>
  </w:style>
  <w:style w:type="paragraph" w:styleId="BalloonText">
    <w:name w:val="Balloon Text"/>
    <w:basedOn w:val="Normal"/>
    <w:link w:val="BalloonTextChar"/>
    <w:uiPriority w:val="99"/>
    <w:semiHidden/>
    <w:unhideWhenUsed/>
    <w:rsid w:val="009309B1"/>
    <w:rPr>
      <w:rFonts w:ascii="Tahoma" w:hAnsi="Tahoma" w:cs="Tahoma"/>
      <w:sz w:val="16"/>
      <w:szCs w:val="16"/>
    </w:rPr>
  </w:style>
  <w:style w:type="character" w:customStyle="1" w:styleId="BalloonTextChar">
    <w:name w:val="Balloon Text Char"/>
    <w:link w:val="BalloonText"/>
    <w:uiPriority w:val="99"/>
    <w:semiHidden/>
    <w:rsid w:val="009309B1"/>
    <w:rPr>
      <w:rFonts w:ascii="Tahoma" w:hAnsi="Tahoma" w:cs="Tahoma"/>
      <w:sz w:val="16"/>
      <w:szCs w:val="16"/>
      <w:lang w:val="de-DE" w:eastAsia="de-DE"/>
    </w:rPr>
  </w:style>
  <w:style w:type="character" w:styleId="Hyperlink">
    <w:name w:val="Hyperlink"/>
    <w:uiPriority w:val="99"/>
    <w:unhideWhenUsed/>
    <w:rsid w:val="00661E09"/>
    <w:rPr>
      <w:color w:val="0000FF"/>
      <w:u w:val="single"/>
    </w:rPr>
  </w:style>
  <w:style w:type="paragraph" w:styleId="NoSpacing">
    <w:name w:val="No Spacing"/>
    <w:uiPriority w:val="1"/>
    <w:qFormat/>
    <w:rsid w:val="007D33D4"/>
    <w:rPr>
      <w:rFonts w:ascii="Calibri" w:eastAsia="Calibri" w:hAnsi="Calibri"/>
      <w:sz w:val="22"/>
      <w:szCs w:val="22"/>
      <w:lang w:val="en-GB"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rpsA">
    <w:name w:val="Corps A"/>
    <w:rsid w:val="00B756D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n-GB"/>
    </w:rPr>
  </w:style>
  <w:style w:type="character" w:customStyle="1" w:styleId="Aucune">
    <w:name w:val="Aucune"/>
    <w:rsid w:val="00B756D4"/>
    <w:rPr>
      <w:lang w:val="en-US"/>
    </w:rPr>
  </w:style>
  <w:style w:type="paragraph" w:customStyle="1" w:styleId="Corps">
    <w:name w:val="Corps"/>
    <w:rsid w:val="00B756D4"/>
    <w:pPr>
      <w:pBdr>
        <w:top w:val="nil"/>
        <w:left w:val="nil"/>
        <w:bottom w:val="nil"/>
        <w:right w:val="nil"/>
        <w:between w:val="nil"/>
        <w:bar w:val="nil"/>
      </w:pBdr>
    </w:pPr>
    <w:rPr>
      <w:rFonts w:ascii="Cambria" w:eastAsia="Cambria" w:hAnsi="Cambria" w:cs="Cambria"/>
      <w:color w:val="000000"/>
      <w:sz w:val="24"/>
      <w:szCs w:val="24"/>
      <w:u w:color="000000"/>
      <w:bdr w:val="nil"/>
      <w:lang w:val="en-GB" w:eastAsia="en-GB"/>
    </w:rPr>
  </w:style>
  <w:style w:type="paragraph" w:styleId="ListParagraph">
    <w:name w:val="List Paragraph"/>
    <w:basedOn w:val="Normal"/>
    <w:uiPriority w:val="34"/>
    <w:qFormat/>
    <w:rsid w:val="00A430D6"/>
    <w:pPr>
      <w:ind w:left="720"/>
      <w:contextualSpacing/>
    </w:pPr>
    <w:rPr>
      <w:rFonts w:asciiTheme="minorHAnsi" w:eastAsiaTheme="minorEastAsia" w:hAnsiTheme="minorHAnsi" w:cstheme="minorBidi"/>
      <w:lang w:val="en-US" w:eastAsia="en-US"/>
    </w:rPr>
  </w:style>
  <w:style w:type="character" w:styleId="CommentReference">
    <w:name w:val="annotation reference"/>
    <w:basedOn w:val="DefaultParagraphFont"/>
    <w:uiPriority w:val="99"/>
    <w:semiHidden/>
    <w:unhideWhenUsed/>
    <w:rsid w:val="00D57EDC"/>
    <w:rPr>
      <w:sz w:val="16"/>
      <w:szCs w:val="16"/>
    </w:rPr>
  </w:style>
  <w:style w:type="paragraph" w:styleId="CommentText">
    <w:name w:val="annotation text"/>
    <w:basedOn w:val="Normal"/>
    <w:link w:val="CommentTextChar"/>
    <w:uiPriority w:val="99"/>
    <w:semiHidden/>
    <w:unhideWhenUsed/>
    <w:rsid w:val="00D57EDC"/>
    <w:rPr>
      <w:sz w:val="20"/>
      <w:szCs w:val="20"/>
    </w:rPr>
  </w:style>
  <w:style w:type="character" w:customStyle="1" w:styleId="CommentTextChar">
    <w:name w:val="Comment Text Char"/>
    <w:basedOn w:val="DefaultParagraphFont"/>
    <w:link w:val="CommentText"/>
    <w:uiPriority w:val="99"/>
    <w:semiHidden/>
    <w:rsid w:val="00D57EDC"/>
    <w:rPr>
      <w:lang w:val="de-DE" w:eastAsia="de-DE"/>
    </w:rPr>
  </w:style>
  <w:style w:type="paragraph" w:styleId="CommentSubject">
    <w:name w:val="annotation subject"/>
    <w:basedOn w:val="CommentText"/>
    <w:next w:val="CommentText"/>
    <w:link w:val="CommentSubjectChar"/>
    <w:uiPriority w:val="99"/>
    <w:semiHidden/>
    <w:unhideWhenUsed/>
    <w:rsid w:val="00D57EDC"/>
    <w:rPr>
      <w:b/>
      <w:bCs/>
    </w:rPr>
  </w:style>
  <w:style w:type="character" w:customStyle="1" w:styleId="CommentSubjectChar">
    <w:name w:val="Comment Subject Char"/>
    <w:basedOn w:val="CommentTextChar"/>
    <w:link w:val="CommentSubject"/>
    <w:uiPriority w:val="99"/>
    <w:semiHidden/>
    <w:rsid w:val="00D57EDC"/>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77979">
      <w:bodyDiv w:val="1"/>
      <w:marLeft w:val="0"/>
      <w:marRight w:val="0"/>
      <w:marTop w:val="0"/>
      <w:marBottom w:val="0"/>
      <w:divBdr>
        <w:top w:val="none" w:sz="0" w:space="0" w:color="auto"/>
        <w:left w:val="none" w:sz="0" w:space="0" w:color="auto"/>
        <w:bottom w:val="none" w:sz="0" w:space="0" w:color="auto"/>
        <w:right w:val="none" w:sz="0" w:space="0" w:color="auto"/>
      </w:divBdr>
    </w:div>
    <w:div w:id="801582399">
      <w:bodyDiv w:val="1"/>
      <w:marLeft w:val="0"/>
      <w:marRight w:val="0"/>
      <w:marTop w:val="0"/>
      <w:marBottom w:val="0"/>
      <w:divBdr>
        <w:top w:val="none" w:sz="0" w:space="0" w:color="auto"/>
        <w:left w:val="none" w:sz="0" w:space="0" w:color="auto"/>
        <w:bottom w:val="none" w:sz="0" w:space="0" w:color="auto"/>
        <w:right w:val="none" w:sz="0" w:space="0" w:color="auto"/>
      </w:divBdr>
    </w:div>
    <w:div w:id="1092822230">
      <w:bodyDiv w:val="1"/>
      <w:marLeft w:val="0"/>
      <w:marRight w:val="0"/>
      <w:marTop w:val="0"/>
      <w:marBottom w:val="0"/>
      <w:divBdr>
        <w:top w:val="none" w:sz="0" w:space="0" w:color="auto"/>
        <w:left w:val="none" w:sz="0" w:space="0" w:color="auto"/>
        <w:bottom w:val="none" w:sz="0" w:space="0" w:color="auto"/>
        <w:right w:val="none" w:sz="0" w:space="0" w:color="auto"/>
      </w:divBdr>
    </w:div>
    <w:div w:id="1225485603">
      <w:bodyDiv w:val="1"/>
      <w:marLeft w:val="0"/>
      <w:marRight w:val="0"/>
      <w:marTop w:val="0"/>
      <w:marBottom w:val="0"/>
      <w:divBdr>
        <w:top w:val="none" w:sz="0" w:space="0" w:color="auto"/>
        <w:left w:val="none" w:sz="0" w:space="0" w:color="auto"/>
        <w:bottom w:val="none" w:sz="0" w:space="0" w:color="auto"/>
        <w:right w:val="none" w:sz="0" w:space="0" w:color="auto"/>
      </w:divBdr>
    </w:div>
    <w:div w:id="13418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702BF-D8F2-4B38-8F7D-439D28C3797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83EE473-5F47-4A9E-AF12-973BC0D2C3E6}">
  <ds:schemaRefs>
    <ds:schemaRef ds:uri="http://schemas.microsoft.com/sharepoint/v3/contenttype/forms"/>
  </ds:schemaRefs>
</ds:datastoreItem>
</file>

<file path=customXml/itemProps3.xml><?xml version="1.0" encoding="utf-8"?>
<ds:datastoreItem xmlns:ds="http://schemas.openxmlformats.org/officeDocument/2006/customXml" ds:itemID="{4445677F-CA61-4CE6-BE7D-4D990379F502}"/>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Embassy of Switzerland in Jakarta</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Embassy of Switzerland in Jakarta</dc:title>
  <dc:subject/>
  <dc:creator>ego</dc:creator>
  <cp:keywords/>
  <cp:lastModifiedBy>Sandra Epal-Ratjen</cp:lastModifiedBy>
  <cp:revision>4</cp:revision>
  <cp:lastPrinted>2018-09-17T21:35:00Z</cp:lastPrinted>
  <dcterms:created xsi:type="dcterms:W3CDTF">2020-10-26T09:50:00Z</dcterms:created>
  <dcterms:modified xsi:type="dcterms:W3CDTF">2020-10-27T08:20:00Z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0x0101008822B9E06671B54FA89F14538B9B0FEA</vt:lpwstr>
  </property>
</Properties>
</file>