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EE393" w14:textId="77777777" w:rsidR="008678A4" w:rsidRPr="009E2D60" w:rsidRDefault="008678A4" w:rsidP="008678A4">
      <w:pPr>
        <w:pStyle w:val="Standard"/>
        <w:spacing w:after="200" w:line="100" w:lineRule="atLeast"/>
        <w:rPr>
          <w:rFonts w:ascii="Times New Roman" w:eastAsia="Ubuntu" w:hAnsi="Times New Roman" w:cs="Times New Roman"/>
          <w:b/>
          <w:lang w:val="en-GB"/>
        </w:rPr>
      </w:pPr>
      <w:r w:rsidRPr="009E2D60">
        <w:rPr>
          <w:rFonts w:ascii="Times New Roman" w:eastAsia="Ubuntu" w:hAnsi="Times New Roman" w:cs="Times New Roman"/>
          <w:b/>
          <w:lang w:val="en-GB"/>
        </w:rPr>
        <w:t>Oral statement</w:t>
      </w:r>
      <w:r w:rsidRPr="009E2D60">
        <w:rPr>
          <w:rFonts w:ascii="Times New Roman" w:eastAsia="Ubuntu" w:hAnsi="Times New Roman" w:cs="Times New Roman"/>
          <w:b/>
          <w:lang w:val="en-GB"/>
        </w:rPr>
        <w:br/>
        <w:t>Corporate Accountability International</w:t>
      </w:r>
      <w:r w:rsidRPr="009E2D60">
        <w:rPr>
          <w:rFonts w:ascii="Times New Roman" w:eastAsia="Ubuntu" w:hAnsi="Times New Roman" w:cs="Times New Roman"/>
          <w:b/>
          <w:lang w:val="en-GB"/>
        </w:rPr>
        <w:br/>
        <w:t>Monday afternoon session, Preamble, art.1 and art.2</w:t>
      </w:r>
    </w:p>
    <w:p w14:paraId="20AD7D68" w14:textId="033C56B5" w:rsidR="008678A4" w:rsidRPr="009E2D60" w:rsidRDefault="00A144EC" w:rsidP="008678A4">
      <w:pPr>
        <w:pStyle w:val="Standard"/>
        <w:spacing w:after="200" w:line="100" w:lineRule="atLeast"/>
        <w:rPr>
          <w:rFonts w:ascii="Times New Roman" w:eastAsia="Ubuntu" w:hAnsi="Times New Roman" w:cs="Times New Roman"/>
          <w:lang w:val="en-GB"/>
        </w:rPr>
      </w:pPr>
      <w:r w:rsidRPr="009E2D60">
        <w:rPr>
          <w:rFonts w:ascii="Times New Roman" w:eastAsia="Ubuntu" w:hAnsi="Times New Roman" w:cs="Times New Roman"/>
          <w:lang w:val="en-GB"/>
        </w:rPr>
        <w:t xml:space="preserve">Thank you </w:t>
      </w:r>
      <w:proofErr w:type="gramStart"/>
      <w:r w:rsidRPr="009E2D60">
        <w:rPr>
          <w:rFonts w:ascii="Times New Roman" w:eastAsia="Ubuntu" w:hAnsi="Times New Roman" w:cs="Times New Roman"/>
          <w:lang w:val="en-GB"/>
        </w:rPr>
        <w:t>Mr.Chair</w:t>
      </w:r>
      <w:proofErr w:type="gramEnd"/>
      <w:r w:rsidRPr="009E2D60">
        <w:rPr>
          <w:rFonts w:ascii="Times New Roman" w:eastAsia="Ubuntu" w:hAnsi="Times New Roman" w:cs="Times New Roman"/>
          <w:lang w:val="en-GB"/>
        </w:rPr>
        <w:t>,</w:t>
      </w:r>
    </w:p>
    <w:p w14:paraId="51CB6707" w14:textId="3CD70517" w:rsidR="00A144EC" w:rsidRPr="009E2D60" w:rsidRDefault="00A144EC" w:rsidP="008678A4">
      <w:pPr>
        <w:pStyle w:val="Standard"/>
        <w:spacing w:after="200" w:line="100" w:lineRule="atLeast"/>
        <w:rPr>
          <w:rFonts w:ascii="Times New Roman" w:eastAsia="Ubuntu" w:hAnsi="Times New Roman" w:cs="Times New Roman"/>
          <w:lang w:val="en-GB"/>
        </w:rPr>
      </w:pPr>
      <w:r w:rsidRPr="009E2D60">
        <w:rPr>
          <w:rFonts w:ascii="Times New Roman" w:eastAsia="Ubuntu" w:hAnsi="Times New Roman" w:cs="Times New Roman"/>
          <w:lang w:val="en-GB"/>
        </w:rPr>
        <w:t xml:space="preserve">I speak on behalf of Corporate Accountability International and the Global Campaign. </w:t>
      </w:r>
    </w:p>
    <w:p w14:paraId="4517207B" w14:textId="591BFBA7" w:rsidR="00EF5CAE" w:rsidRDefault="009E2D60">
      <w:pPr>
        <w:rPr>
          <w:rFonts w:ascii="Times New Roman" w:hAnsi="Times New Roman" w:cs="Times New Roman"/>
          <w:lang w:val="en-US"/>
        </w:rPr>
      </w:pPr>
      <w:r w:rsidRPr="009E2D60">
        <w:rPr>
          <w:rFonts w:ascii="Times New Roman" w:hAnsi="Times New Roman" w:cs="Times New Roman"/>
          <w:lang w:val="en-US"/>
        </w:rPr>
        <w:t>I would like to speak on article 2</w:t>
      </w:r>
      <w:r>
        <w:rPr>
          <w:rFonts w:ascii="Times New Roman" w:hAnsi="Times New Roman" w:cs="Times New Roman"/>
          <w:lang w:val="en-US"/>
        </w:rPr>
        <w:t xml:space="preserve"> “Statement of purpose”</w:t>
      </w:r>
      <w:r w:rsidR="00092D34">
        <w:rPr>
          <w:rFonts w:ascii="Times New Roman" w:hAnsi="Times New Roman" w:cs="Times New Roman"/>
          <w:lang w:val="en-US"/>
        </w:rPr>
        <w:t>, which is a key article indeed.</w:t>
      </w:r>
    </w:p>
    <w:p w14:paraId="0A62E2B4" w14:textId="77777777" w:rsidR="009E2D60" w:rsidRDefault="009E2D60">
      <w:pPr>
        <w:rPr>
          <w:rFonts w:ascii="Times New Roman" w:hAnsi="Times New Roman" w:cs="Times New Roman"/>
          <w:lang w:val="en-US"/>
        </w:rPr>
      </w:pPr>
    </w:p>
    <w:p w14:paraId="318B0230" w14:textId="14C541BF" w:rsidR="009E2D60" w:rsidRPr="00E17AE8" w:rsidRDefault="009E2D60" w:rsidP="009E2D60">
      <w:pPr>
        <w:pStyle w:val="Standard"/>
        <w:spacing w:after="200" w:line="100" w:lineRule="atLeast"/>
        <w:jc w:val="both"/>
        <w:rPr>
          <w:lang w:val="en-US"/>
        </w:rPr>
      </w:pPr>
      <w:r>
        <w:rPr>
          <w:rStyle w:val="t7"/>
          <w:rFonts w:ascii="Times New Roman" w:eastAsia="Ubuntu" w:hAnsi="Times New Roman" w:cs="Times New Roman"/>
          <w:sz w:val="22"/>
          <w:szCs w:val="22"/>
          <w:lang w:val="en-GB"/>
        </w:rPr>
        <w:t>As clearly stated by Resolution 26/</w:t>
      </w:r>
      <w:proofErr w:type="gramStart"/>
      <w:r>
        <w:rPr>
          <w:rStyle w:val="t7"/>
          <w:rFonts w:ascii="Times New Roman" w:eastAsia="Ubuntu" w:hAnsi="Times New Roman" w:cs="Times New Roman"/>
          <w:sz w:val="22"/>
          <w:szCs w:val="22"/>
          <w:lang w:val="en-GB"/>
        </w:rPr>
        <w:t>9,  it</w:t>
      </w:r>
      <w:proofErr w:type="gramEnd"/>
      <w:r>
        <w:rPr>
          <w:rStyle w:val="t7"/>
          <w:rFonts w:ascii="Times New Roman" w:eastAsia="Ubuntu" w:hAnsi="Times New Roman" w:cs="Times New Roman"/>
          <w:sz w:val="22"/>
          <w:szCs w:val="22"/>
          <w:lang w:val="en-GB"/>
        </w:rPr>
        <w:t xml:space="preserve"> is necessary to make the regulation of the activities of TNCs, within the framework of the provisions of the Binding Treaty, the main purpose. We propose </w:t>
      </w:r>
      <w:r w:rsidR="00092D34">
        <w:rPr>
          <w:rStyle w:val="t7"/>
          <w:rFonts w:ascii="Times New Roman" w:eastAsia="Ubuntu" w:hAnsi="Times New Roman" w:cs="Times New Roman"/>
          <w:sz w:val="22"/>
          <w:szCs w:val="22"/>
          <w:lang w:val="en-GB"/>
        </w:rPr>
        <w:t>to add a paragraph that would appear as the first purpose. This would read</w:t>
      </w:r>
      <w:r>
        <w:rPr>
          <w:rStyle w:val="t7"/>
          <w:rFonts w:ascii="Times New Roman" w:eastAsia="Ubuntu" w:hAnsi="Times New Roman" w:cs="Times New Roman"/>
          <w:sz w:val="22"/>
          <w:szCs w:val="22"/>
          <w:lang w:val="en-GB"/>
        </w:rPr>
        <w:t xml:space="preserve"> as follows:</w:t>
      </w:r>
    </w:p>
    <w:p w14:paraId="3CDFB4DE" w14:textId="6E77FF12" w:rsidR="009E2D60" w:rsidRPr="00E17AE8" w:rsidRDefault="009E2D60" w:rsidP="009E2D60">
      <w:pPr>
        <w:pStyle w:val="Textbody"/>
        <w:spacing w:after="0" w:line="240" w:lineRule="auto"/>
        <w:ind w:left="1134" w:right="1134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fr-FR"/>
        </w:rPr>
        <w:t xml:space="preserve">To regulate the activities of </w:t>
      </w:r>
      <w:r>
        <w:rPr>
          <w:rStyle w:val="t12"/>
          <w:rFonts w:ascii="Times New Roman" w:eastAsia="Ubuntu" w:hAnsi="Times New Roman" w:cs="Times New Roman"/>
          <w:i/>
          <w:iCs/>
          <w:color w:val="000000"/>
          <w:sz w:val="20"/>
          <w:szCs w:val="20"/>
          <w:lang w:val="en-GB"/>
        </w:rPr>
        <w:t>transnational corporations</w:t>
      </w:r>
      <w:r>
        <w:rPr>
          <w:rStyle w:val="t12"/>
          <w:rFonts w:ascii="Times New Roman" w:eastAsia="Ubuntu" w:hAnsi="Times New Roman" w:cs="Times New Roman"/>
          <w:i/>
          <w:iCs/>
          <w:color w:val="000000"/>
          <w:sz w:val="20"/>
          <w:szCs w:val="20"/>
          <w:lang w:val="en-GB" w:eastAsia="fr-FR"/>
        </w:rPr>
        <w:t xml:space="preserve"> and other business enterprises of transnational character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fr-FR"/>
        </w:rPr>
        <w:t xml:space="preserve"> within the framework of international human rights law.</w:t>
      </w:r>
    </w:p>
    <w:p w14:paraId="24317099" w14:textId="77777777" w:rsidR="009E2D60" w:rsidRDefault="009E2D60" w:rsidP="009E2D60">
      <w:pPr>
        <w:pStyle w:val="Textbody"/>
        <w:spacing w:after="0" w:line="240" w:lineRule="auto"/>
        <w:jc w:val="both"/>
        <w:rPr>
          <w:rStyle w:val="Policepardfaut1"/>
          <w:rFonts w:ascii="Times New Roman" w:eastAsia="Calibri" w:hAnsi="Times New Roman" w:cs="Times New Roman"/>
          <w:b/>
          <w:bCs/>
          <w:color w:val="000000"/>
          <w:sz w:val="22"/>
          <w:szCs w:val="22"/>
          <w:lang w:val="en-GB"/>
        </w:rPr>
      </w:pPr>
    </w:p>
    <w:p w14:paraId="17B95329" w14:textId="77777777" w:rsidR="009E2D60" w:rsidRPr="00E17AE8" w:rsidRDefault="009E2D60" w:rsidP="009E2D60">
      <w:pPr>
        <w:pStyle w:val="Textbody"/>
        <w:spacing w:after="0" w:line="240" w:lineRule="auto"/>
        <w:jc w:val="both"/>
        <w:rPr>
          <w:lang w:val="en-US"/>
        </w:rPr>
      </w:pPr>
      <w:r>
        <w:rPr>
          <w:rStyle w:val="Policepardfaut1"/>
          <w:rFonts w:ascii="Times New Roman" w:eastAsia="Calibri" w:hAnsi="Times New Roman" w:cs="Times New Roman"/>
          <w:b/>
          <w:bCs/>
          <w:color w:val="000000"/>
          <w:sz w:val="22"/>
          <w:szCs w:val="22"/>
          <w:lang w:val="en-GB"/>
        </w:rPr>
        <w:t xml:space="preserve">2.1.b: </w:t>
      </w:r>
      <w:r>
        <w:rPr>
          <w:rStyle w:val="t12"/>
          <w:rFonts w:ascii="Times New Roman" w:hAnsi="Times New Roman" w:cs="Times New Roman"/>
          <w:sz w:val="22"/>
          <w:szCs w:val="22"/>
          <w:lang w:val="en-GB"/>
        </w:rPr>
        <w:t>In the paragraph on prevention, it is necessary to reiterate the importance of regulating TNC’s by establishing direct and concrete obligations and responsibilities vis a vis human rights, accompanied by necessary implementation mechanisms.</w:t>
      </w:r>
    </w:p>
    <w:p w14:paraId="6BB38115" w14:textId="77777777" w:rsidR="003F4505" w:rsidRDefault="003F4505" w:rsidP="003F4505">
      <w:pPr>
        <w:pStyle w:val="Default"/>
      </w:pPr>
    </w:p>
    <w:p w14:paraId="606BE981" w14:textId="77777777" w:rsidR="003F4505" w:rsidRDefault="003F4505" w:rsidP="003F45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prevent the occurrence of human rights abuses in the context of business activities </w:t>
      </w:r>
    </w:p>
    <w:p w14:paraId="3BB7FA80" w14:textId="77777777" w:rsidR="009E2D60" w:rsidRDefault="009E2D60" w:rsidP="009E2D60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C11D998" w14:textId="64D46122" w:rsidR="009E2D60" w:rsidRPr="00E17AE8" w:rsidRDefault="009E2D60" w:rsidP="009E2D60">
      <w:pPr>
        <w:pStyle w:val="Textbody"/>
        <w:spacing w:after="0" w:line="240" w:lineRule="auto"/>
        <w:ind w:left="1134" w:right="1134"/>
        <w:jc w:val="both"/>
        <w:rPr>
          <w:lang w:val="en-US"/>
        </w:rPr>
      </w:pPr>
      <w:r>
        <w:rPr>
          <w:rStyle w:val="Policepardfaut1"/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lang w:val="en-GB"/>
        </w:rPr>
        <w:t xml:space="preserve">Amendment 2.1.b: </w:t>
      </w:r>
      <w:r>
        <w:rPr>
          <w:rStyle w:val="t12"/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To prevent the occurrence of human rights </w:t>
      </w:r>
      <w:r>
        <w:rPr>
          <w:rStyle w:val="t12"/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violations</w:t>
      </w:r>
      <w:r>
        <w:rPr>
          <w:rStyle w:val="t12"/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>
        <w:rPr>
          <w:rStyle w:val="t12"/>
          <w:rFonts w:ascii="Times New Roman" w:hAnsi="Times New Roman" w:cs="Times New Roman"/>
          <w:b/>
          <w:bCs/>
          <w:i/>
          <w:iCs/>
          <w:strike/>
          <w:sz w:val="20"/>
          <w:szCs w:val="20"/>
          <w:lang w:val="en-GB"/>
        </w:rPr>
        <w:t>abuses</w:t>
      </w:r>
      <w:r>
        <w:rPr>
          <w:rStyle w:val="t12"/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in the context of business activities</w:t>
      </w:r>
      <w:r>
        <w:rPr>
          <w:rStyle w:val="t12"/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 xml:space="preserve"> by establishing concrete obligations</w:t>
      </w:r>
      <w:r w:rsidR="003F4505">
        <w:rPr>
          <w:rStyle w:val="t12"/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 xml:space="preserve"> </w:t>
      </w:r>
      <w:r w:rsidR="003F4505" w:rsidRPr="003F4505">
        <w:rPr>
          <w:rStyle w:val="t12"/>
          <w:rFonts w:ascii="Times New Roman" w:hAnsi="Times New Roman" w:cs="Times New Roman"/>
          <w:b/>
          <w:bCs/>
          <w:i/>
          <w:iCs/>
          <w:color w:val="C00000"/>
          <w:sz w:val="20"/>
          <w:szCs w:val="20"/>
          <w:highlight w:val="yellow"/>
          <w:lang w:val="en-GB"/>
        </w:rPr>
        <w:t>for TNCs</w:t>
      </w:r>
      <w:r w:rsidRPr="003F4505">
        <w:rPr>
          <w:rStyle w:val="t12"/>
          <w:rFonts w:ascii="Times New Roman" w:hAnsi="Times New Roman" w:cs="Times New Roman"/>
          <w:b/>
          <w:bCs/>
          <w:i/>
          <w:iCs/>
          <w:color w:val="C00000"/>
          <w:sz w:val="20"/>
          <w:szCs w:val="20"/>
          <w:lang w:val="en-GB"/>
        </w:rPr>
        <w:t xml:space="preserve"> </w:t>
      </w:r>
      <w:r>
        <w:rPr>
          <w:rStyle w:val="t12"/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 xml:space="preserve">to respect human rights </w:t>
      </w:r>
      <w:r w:rsidRPr="003F4505">
        <w:rPr>
          <w:rStyle w:val="t12"/>
          <w:rFonts w:ascii="Times New Roman" w:hAnsi="Times New Roman" w:cs="Times New Roman"/>
          <w:b/>
          <w:bCs/>
          <w:i/>
          <w:iCs/>
          <w:strike/>
          <w:sz w:val="20"/>
          <w:szCs w:val="20"/>
          <w:highlight w:val="yellow"/>
          <w:lang w:val="en-GB"/>
        </w:rPr>
        <w:t>for TNCs</w:t>
      </w:r>
      <w:r>
        <w:rPr>
          <w:rStyle w:val="t12"/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 xml:space="preserve">, in addition to States’ obligations, and by creating effective and binding mechanisms of </w:t>
      </w:r>
      <w:r>
        <w:rPr>
          <w:rStyle w:val="t12"/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val="en-GB" w:bidi="ar-SA"/>
        </w:rPr>
        <w:t>monitoring</w:t>
      </w:r>
      <w:r>
        <w:rPr>
          <w:rStyle w:val="t12"/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 xml:space="preserve"> and </w:t>
      </w:r>
      <w:r>
        <w:rPr>
          <w:rStyle w:val="t12"/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val="en-GB" w:bidi="ar-SA"/>
        </w:rPr>
        <w:t>enforceability</w:t>
      </w:r>
      <w:r>
        <w:rPr>
          <w:rStyle w:val="t12"/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.</w:t>
      </w:r>
    </w:p>
    <w:p w14:paraId="73D54E91" w14:textId="77777777" w:rsidR="009E2D60" w:rsidRDefault="009E2D60" w:rsidP="009E2D60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59341346" w14:textId="3BC29C82" w:rsidR="009E2D60" w:rsidRPr="00E17AE8" w:rsidRDefault="009E2D60" w:rsidP="009E2D60">
      <w:pPr>
        <w:pStyle w:val="Standard"/>
        <w:spacing w:after="200" w:line="100" w:lineRule="atLeast"/>
        <w:rPr>
          <w:lang w:val="en-US"/>
        </w:rPr>
      </w:pPr>
      <w:r>
        <w:rPr>
          <w:rStyle w:val="Policepardfaut1"/>
          <w:rFonts w:ascii="Times New Roman" w:eastAsia="Calibri" w:hAnsi="Times New Roman" w:cs="Times New Roman"/>
          <w:b/>
          <w:bCs/>
          <w:color w:val="000000"/>
          <w:sz w:val="22"/>
          <w:szCs w:val="22"/>
          <w:lang w:val="en-GB"/>
        </w:rPr>
        <w:t xml:space="preserve">2.1.d: </w:t>
      </w:r>
      <w:r w:rsidR="003F4505">
        <w:rPr>
          <w:rStyle w:val="Policepardfaut1"/>
          <w:rFonts w:ascii="Times New Roman" w:eastAsia="Calibri" w:hAnsi="Times New Roman" w:cs="Times New Roman"/>
          <w:b/>
          <w:bCs/>
          <w:color w:val="000000"/>
          <w:sz w:val="22"/>
          <w:szCs w:val="22"/>
          <w:lang w:val="en-GB"/>
        </w:rPr>
        <w:t xml:space="preserve">  </w:t>
      </w:r>
      <w:r w:rsidRPr="003F4505">
        <w:rPr>
          <w:rFonts w:ascii="Times New Roman" w:eastAsia="Ubuntu" w:hAnsi="Times New Roman" w:cs="Times New Roman"/>
          <w:strike/>
          <w:sz w:val="22"/>
          <w:szCs w:val="22"/>
          <w:lang w:val="en-GB"/>
        </w:rPr>
        <w:t>At last</w:t>
      </w:r>
      <w:r w:rsidR="003F4505">
        <w:rPr>
          <w:rFonts w:ascii="Times New Roman" w:eastAsia="Ubuntu" w:hAnsi="Times New Roman" w:cs="Times New Roman"/>
          <w:sz w:val="22"/>
          <w:szCs w:val="22"/>
          <w:lang w:val="en-GB"/>
        </w:rPr>
        <w:t xml:space="preserve"> </w:t>
      </w:r>
      <w:r w:rsidR="003F4505" w:rsidRPr="003F4505">
        <w:rPr>
          <w:rFonts w:ascii="Times New Roman" w:eastAsia="Ubuntu" w:hAnsi="Times New Roman" w:cs="Times New Roman"/>
          <w:color w:val="C00000"/>
          <w:sz w:val="22"/>
          <w:szCs w:val="22"/>
          <w:highlight w:val="yellow"/>
          <w:lang w:val="en-GB"/>
        </w:rPr>
        <w:t>Finally</w:t>
      </w:r>
      <w:r w:rsidRPr="003F4505">
        <w:rPr>
          <w:rFonts w:ascii="Times New Roman" w:eastAsia="Ubuntu" w:hAnsi="Times New Roman" w:cs="Times New Roman"/>
          <w:sz w:val="22"/>
          <w:szCs w:val="22"/>
          <w:highlight w:val="yellow"/>
          <w:lang w:val="en-GB"/>
        </w:rPr>
        <w:t>,</w:t>
      </w:r>
      <w:r>
        <w:rPr>
          <w:rFonts w:ascii="Times New Roman" w:eastAsia="Ubuntu" w:hAnsi="Times New Roman" w:cs="Times New Roman"/>
          <w:sz w:val="22"/>
          <w:szCs w:val="22"/>
          <w:lang w:val="en-GB"/>
        </w:rPr>
        <w:t xml:space="preserve"> </w:t>
      </w:r>
      <w:r w:rsidRPr="003F4505">
        <w:rPr>
          <w:rFonts w:ascii="Times New Roman" w:eastAsia="Ubuntu" w:hAnsi="Times New Roman" w:cs="Times New Roman"/>
          <w:strike/>
          <w:sz w:val="22"/>
          <w:szCs w:val="22"/>
          <w:lang w:val="en-GB"/>
        </w:rPr>
        <w:t>with the concern of ensuring</w:t>
      </w:r>
      <w:r>
        <w:rPr>
          <w:rFonts w:ascii="Times New Roman" w:eastAsia="Ubuntu" w:hAnsi="Times New Roman" w:cs="Times New Roman"/>
          <w:sz w:val="22"/>
          <w:szCs w:val="22"/>
          <w:lang w:val="en-GB"/>
        </w:rPr>
        <w:t xml:space="preserve"> </w:t>
      </w:r>
      <w:r w:rsidR="003F4505">
        <w:rPr>
          <w:rFonts w:ascii="Times New Roman" w:eastAsia="Ubuntu" w:hAnsi="Times New Roman" w:cs="Times New Roman"/>
          <w:sz w:val="22"/>
          <w:szCs w:val="22"/>
          <w:lang w:val="en-GB"/>
        </w:rPr>
        <w:t xml:space="preserve"> </w:t>
      </w:r>
      <w:r w:rsidR="003F4505" w:rsidRPr="003F4505">
        <w:rPr>
          <w:rFonts w:ascii="Times New Roman" w:eastAsia="Ubuntu" w:hAnsi="Times New Roman" w:cs="Times New Roman"/>
          <w:color w:val="C00000"/>
          <w:sz w:val="22"/>
          <w:szCs w:val="22"/>
          <w:highlight w:val="yellow"/>
          <w:lang w:val="en-GB"/>
        </w:rPr>
        <w:t>to ensure</w:t>
      </w:r>
      <w:r w:rsidR="003F4505">
        <w:rPr>
          <w:rFonts w:ascii="Times New Roman" w:eastAsia="Ubuntu" w:hAnsi="Times New Roman" w:cs="Times New Roman"/>
          <w:color w:val="C00000"/>
          <w:sz w:val="22"/>
          <w:szCs w:val="22"/>
          <w:lang w:val="en-GB"/>
        </w:rPr>
        <w:t xml:space="preserve"> </w:t>
      </w:r>
      <w:r>
        <w:rPr>
          <w:rFonts w:ascii="Times New Roman" w:eastAsia="Ubuntu" w:hAnsi="Times New Roman" w:cs="Times New Roman"/>
          <w:sz w:val="22"/>
          <w:szCs w:val="22"/>
          <w:lang w:val="en-GB"/>
        </w:rPr>
        <w:t>better results, the</w:t>
      </w:r>
      <w:r w:rsidR="003F4505">
        <w:rPr>
          <w:rFonts w:ascii="Times New Roman" w:eastAsia="Ubuntu" w:hAnsi="Times New Roman" w:cs="Times New Roman"/>
          <w:sz w:val="22"/>
          <w:szCs w:val="22"/>
          <w:lang w:val="en-GB"/>
        </w:rPr>
        <w:t xml:space="preserve"> </w:t>
      </w:r>
      <w:r w:rsidR="003F4505">
        <w:rPr>
          <w:rFonts w:ascii="Times New Roman" w:eastAsia="Ubuntu" w:hAnsi="Times New Roman" w:cs="Times New Roman"/>
          <w:color w:val="C00000"/>
          <w:sz w:val="22"/>
          <w:szCs w:val="22"/>
          <w:lang w:val="en-GB"/>
        </w:rPr>
        <w:t>word</w:t>
      </w:r>
      <w:r w:rsidR="003F4505" w:rsidRPr="003F4505">
        <w:rPr>
          <w:rFonts w:ascii="Times New Roman" w:eastAsia="Ubuntu" w:hAnsi="Times New Roman" w:cs="Times New Roman"/>
          <w:color w:val="C00000"/>
          <w:sz w:val="22"/>
          <w:szCs w:val="22"/>
          <w:lang w:val="en-GB"/>
        </w:rPr>
        <w:t xml:space="preserve"> </w:t>
      </w:r>
      <w:r w:rsidRPr="003F4505">
        <w:rPr>
          <w:rFonts w:ascii="Times New Roman" w:eastAsia="Ubuntu" w:hAnsi="Times New Roman" w:cs="Times New Roman"/>
          <w:color w:val="C00000"/>
          <w:sz w:val="22"/>
          <w:szCs w:val="22"/>
          <w:lang w:val="en-GB"/>
        </w:rPr>
        <w:t xml:space="preserve"> </w:t>
      </w:r>
      <w:r w:rsidRPr="003F4505">
        <w:rPr>
          <w:rFonts w:ascii="Times New Roman" w:eastAsia="Ubuntu" w:hAnsi="Times New Roman" w:cs="Times New Roman"/>
          <w:strike/>
          <w:sz w:val="22"/>
          <w:szCs w:val="22"/>
          <w:lang w:val="en-GB"/>
        </w:rPr>
        <w:t>expression</w:t>
      </w:r>
      <w:r>
        <w:rPr>
          <w:rFonts w:ascii="Times New Roman" w:eastAsia="Ubuntu" w:hAnsi="Times New Roman" w:cs="Times New Roman"/>
          <w:sz w:val="22"/>
          <w:szCs w:val="22"/>
          <w:lang w:val="en-GB"/>
        </w:rPr>
        <w:t xml:space="preserve"> </w:t>
      </w:r>
      <w:r>
        <w:rPr>
          <w:rFonts w:ascii="Times New Roman" w:eastAsia="Ubuntu" w:hAnsi="Times New Roman" w:cs="Times New Roman"/>
          <w:i/>
          <w:sz w:val="22"/>
          <w:szCs w:val="22"/>
          <w:lang w:val="en-GB"/>
        </w:rPr>
        <w:t>‘‘strengthen”</w:t>
      </w:r>
      <w:r>
        <w:rPr>
          <w:rFonts w:ascii="Times New Roman" w:eastAsia="Ubuntu" w:hAnsi="Times New Roman" w:cs="Times New Roman"/>
          <w:sz w:val="22"/>
          <w:szCs w:val="22"/>
          <w:lang w:val="en-GB"/>
        </w:rPr>
        <w:t xml:space="preserve">, present in article 2.1.d, should be replaced by one semantically stronger like </w:t>
      </w:r>
      <w:r>
        <w:rPr>
          <w:rFonts w:ascii="Times New Roman" w:eastAsia="Ubuntu" w:hAnsi="Times New Roman" w:cs="Times New Roman"/>
          <w:i/>
          <w:sz w:val="22"/>
          <w:szCs w:val="22"/>
          <w:lang w:val="en-GB"/>
        </w:rPr>
        <w:t>“guarantee”</w:t>
      </w:r>
      <w:r>
        <w:rPr>
          <w:rFonts w:ascii="Times New Roman" w:eastAsia="Ubuntu" w:hAnsi="Times New Roman" w:cs="Times New Roman"/>
          <w:sz w:val="22"/>
          <w:szCs w:val="22"/>
          <w:lang w:val="en-GB"/>
        </w:rPr>
        <w:t>, that would represent a more forceful character for the prevention of human rights violations perpetrated by TNCs. Moreover, t</w:t>
      </w:r>
      <w:r>
        <w:rPr>
          <w:rStyle w:val="t7"/>
          <w:rFonts w:ascii="Times New Roman" w:eastAsia="Ubuntu" w:hAnsi="Times New Roman" w:cs="Times New Roman"/>
          <w:sz w:val="22"/>
          <w:szCs w:val="22"/>
          <w:lang w:val="en-GB"/>
        </w:rPr>
        <w:t xml:space="preserve">he objective of promoting international cooperation is important and must be done in accordance with international human rights standards. </w:t>
      </w:r>
    </w:p>
    <w:p w14:paraId="3DD45559" w14:textId="77777777" w:rsidR="009E2D60" w:rsidRPr="00E17AE8" w:rsidRDefault="009E2D60" w:rsidP="009E2D60">
      <w:pPr>
        <w:pStyle w:val="Textbody"/>
        <w:spacing w:after="0" w:line="240" w:lineRule="auto"/>
        <w:ind w:left="1134" w:right="1134"/>
        <w:jc w:val="both"/>
        <w:rPr>
          <w:lang w:val="en-US"/>
        </w:rPr>
      </w:pPr>
      <w:r>
        <w:rPr>
          <w:rStyle w:val="Policepardfaut1"/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lang w:val="en-GB"/>
        </w:rPr>
        <w:t>Amendment 2.1.d:</w:t>
      </w:r>
      <w:r>
        <w:rPr>
          <w:rStyle w:val="Policepardfaut1"/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r>
        <w:rPr>
          <w:rStyle w:val="t12"/>
          <w:rFonts w:ascii="Times New Roman" w:eastAsia="Ubuntu" w:hAnsi="Times New Roman" w:cs="Times New Roman"/>
          <w:i/>
          <w:iCs/>
          <w:color w:val="000000"/>
          <w:sz w:val="20"/>
          <w:szCs w:val="20"/>
          <w:lang w:val="en-GB"/>
        </w:rPr>
        <w:t xml:space="preserve">To facilitate and </w:t>
      </w:r>
      <w:r>
        <w:rPr>
          <w:rStyle w:val="t12"/>
          <w:rFonts w:ascii="Times New Roman" w:eastAsia="Ubuntu" w:hAnsi="Times New Roman" w:cs="Times New Roman"/>
          <w:i/>
          <w:iCs/>
          <w:strike/>
          <w:color w:val="000000"/>
          <w:sz w:val="20"/>
          <w:szCs w:val="20"/>
          <w:lang w:val="en-GB"/>
        </w:rPr>
        <w:t>strengthen</w:t>
      </w:r>
      <w:r>
        <w:rPr>
          <w:rStyle w:val="t12"/>
          <w:rFonts w:ascii="Times New Roman" w:eastAsia="Ubuntu" w:hAnsi="Times New Roman" w:cs="Times New Roman"/>
          <w:b/>
          <w:bCs/>
          <w:i/>
          <w:iCs/>
          <w:color w:val="000000"/>
          <w:sz w:val="20"/>
          <w:szCs w:val="20"/>
          <w:lang w:val="en-GB"/>
        </w:rPr>
        <w:t xml:space="preserve"> guarantee </w:t>
      </w:r>
      <w:r>
        <w:rPr>
          <w:rStyle w:val="t12"/>
          <w:rFonts w:ascii="Times New Roman" w:eastAsia="Ubuntu" w:hAnsi="Times New Roman" w:cs="Times New Roman"/>
          <w:i/>
          <w:iCs/>
          <w:color w:val="000000"/>
          <w:sz w:val="20"/>
          <w:szCs w:val="20"/>
          <w:lang w:val="en-GB"/>
        </w:rPr>
        <w:t xml:space="preserve">mutual legal assistance and international cooperation, </w:t>
      </w:r>
      <w:r>
        <w:rPr>
          <w:rStyle w:val="t7"/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lang w:val="en-GB"/>
        </w:rPr>
        <w:t>carried out in accordance with international human rights standards,</w:t>
      </w:r>
      <w:r>
        <w:rPr>
          <w:rStyle w:val="t12"/>
          <w:rFonts w:ascii="Times New Roman" w:eastAsia="Ubuntu" w:hAnsi="Times New Roman" w:cs="Times New Roman"/>
          <w:i/>
          <w:iCs/>
          <w:color w:val="000000"/>
          <w:sz w:val="20"/>
          <w:szCs w:val="20"/>
          <w:lang w:val="en-GB"/>
        </w:rPr>
        <w:t xml:space="preserve"> to prevent human rights </w:t>
      </w:r>
      <w:r>
        <w:rPr>
          <w:rStyle w:val="t12"/>
          <w:rFonts w:ascii="Times New Roman" w:eastAsia="Ubuntu" w:hAnsi="Times New Roman" w:cs="Times New Roman"/>
          <w:i/>
          <w:iCs/>
          <w:strike/>
          <w:color w:val="000000"/>
          <w:sz w:val="20"/>
          <w:szCs w:val="20"/>
          <w:lang w:val="en-GB"/>
        </w:rPr>
        <w:t>abuses</w:t>
      </w:r>
      <w:r>
        <w:rPr>
          <w:rStyle w:val="t12"/>
          <w:rFonts w:ascii="Times New Roman" w:eastAsia="Ubuntu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r>
        <w:rPr>
          <w:rStyle w:val="t12"/>
          <w:rFonts w:ascii="Times New Roman" w:eastAsia="Ubuntu" w:hAnsi="Times New Roman" w:cs="Times New Roman"/>
          <w:b/>
          <w:bCs/>
          <w:i/>
          <w:iCs/>
          <w:color w:val="000000"/>
          <w:sz w:val="20"/>
          <w:szCs w:val="20"/>
          <w:lang w:val="en-GB"/>
        </w:rPr>
        <w:t xml:space="preserve">violations </w:t>
      </w:r>
      <w:r>
        <w:rPr>
          <w:rStyle w:val="t12"/>
          <w:rFonts w:ascii="Times New Roman" w:eastAsia="Ubuntu" w:hAnsi="Times New Roman" w:cs="Times New Roman"/>
          <w:i/>
          <w:iCs/>
          <w:color w:val="000000"/>
          <w:sz w:val="20"/>
          <w:szCs w:val="20"/>
          <w:lang w:val="en-GB"/>
        </w:rPr>
        <w:t xml:space="preserve">in the context of business activities </w:t>
      </w:r>
      <w:r>
        <w:rPr>
          <w:rStyle w:val="t7"/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and</w:t>
      </w:r>
      <w:r>
        <w:rPr>
          <w:rStyle w:val="t7"/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lang w:val="en-GB"/>
        </w:rPr>
        <w:t xml:space="preserve"> </w:t>
      </w:r>
      <w:r>
        <w:rPr>
          <w:rStyle w:val="t7"/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provide access to justice and effective remedy to victims of such </w:t>
      </w:r>
      <w:r>
        <w:rPr>
          <w:rStyle w:val="t7"/>
          <w:rFonts w:ascii="Times New Roman" w:eastAsia="Calibri" w:hAnsi="Times New Roman" w:cs="Times New Roman"/>
          <w:i/>
          <w:iCs/>
          <w:strike/>
          <w:color w:val="000000"/>
          <w:sz w:val="20"/>
          <w:szCs w:val="20"/>
          <w:lang w:val="en-GB"/>
        </w:rPr>
        <w:t>abuses</w:t>
      </w:r>
      <w:r>
        <w:rPr>
          <w:rStyle w:val="t7"/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lang w:val="en-GB"/>
        </w:rPr>
        <w:t xml:space="preserve"> violations.</w:t>
      </w:r>
    </w:p>
    <w:p w14:paraId="24C4EB7E" w14:textId="77777777" w:rsidR="009E2D60" w:rsidRDefault="009E2D60">
      <w:pPr>
        <w:rPr>
          <w:rFonts w:ascii="Times New Roman" w:hAnsi="Times New Roman" w:cs="Times New Roman"/>
          <w:lang w:val="en-US"/>
        </w:rPr>
      </w:pPr>
    </w:p>
    <w:p w14:paraId="0C8148B5" w14:textId="635C4D90" w:rsidR="00092D34" w:rsidRDefault="00092D3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Thank you for your attention.</w:t>
      </w:r>
    </w:p>
    <w:p w14:paraId="671875B0" w14:textId="3067BBC0" w:rsidR="003F4505" w:rsidRDefault="003F4505">
      <w:pPr>
        <w:rPr>
          <w:rFonts w:ascii="Times New Roman" w:hAnsi="Times New Roman" w:cs="Times New Roman"/>
          <w:lang w:val="en-US"/>
        </w:rPr>
      </w:pPr>
    </w:p>
    <w:p w14:paraId="169A9449" w14:textId="77777777" w:rsidR="003F4505" w:rsidRPr="009E2D60" w:rsidRDefault="003F4505">
      <w:pPr>
        <w:rPr>
          <w:rFonts w:ascii="Times New Roman" w:hAnsi="Times New Roman" w:cs="Times New Roman"/>
          <w:lang w:val="en-US"/>
        </w:rPr>
      </w:pPr>
    </w:p>
    <w:sectPr w:rsidR="003F4505" w:rsidRPr="009E2D60" w:rsidSect="00FF4F4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8A4"/>
    <w:rsid w:val="00092D34"/>
    <w:rsid w:val="00244252"/>
    <w:rsid w:val="003F4505"/>
    <w:rsid w:val="008678A4"/>
    <w:rsid w:val="009E2D60"/>
    <w:rsid w:val="00A144EC"/>
    <w:rsid w:val="00D72CE6"/>
    <w:rsid w:val="00D7770F"/>
    <w:rsid w:val="00EB1ABF"/>
    <w:rsid w:val="00EF5CAE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52D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3">
    <w:name w:val="t3"/>
    <w:basedOn w:val="DefaultParagraphFont"/>
    <w:qFormat/>
    <w:rsid w:val="008678A4"/>
  </w:style>
  <w:style w:type="character" w:customStyle="1" w:styleId="t5">
    <w:name w:val="t5"/>
    <w:basedOn w:val="DefaultParagraphFont"/>
    <w:qFormat/>
    <w:rsid w:val="008678A4"/>
  </w:style>
  <w:style w:type="paragraph" w:customStyle="1" w:styleId="Standard">
    <w:name w:val="Standard"/>
    <w:qFormat/>
    <w:rsid w:val="008678A4"/>
    <w:pPr>
      <w:suppressAutoHyphens/>
      <w:textAlignment w:val="baseline"/>
    </w:pPr>
    <w:rPr>
      <w:rFonts w:ascii="Liberation Serif" w:eastAsia="NSimSun" w:hAnsi="Liberation Serif" w:cs="Arial"/>
      <w:kern w:val="2"/>
      <w:lang w:val="fr-CH" w:eastAsia="zh-CN" w:bidi="hi-IN"/>
    </w:rPr>
  </w:style>
  <w:style w:type="paragraph" w:customStyle="1" w:styleId="Textbody">
    <w:name w:val="Text body"/>
    <w:basedOn w:val="Standard"/>
    <w:qFormat/>
    <w:rsid w:val="008678A4"/>
    <w:pPr>
      <w:spacing w:after="140" w:line="276" w:lineRule="auto"/>
    </w:pPr>
  </w:style>
  <w:style w:type="character" w:customStyle="1" w:styleId="Policepardfaut1">
    <w:name w:val="Police par défaut1"/>
    <w:qFormat/>
    <w:rsid w:val="009E2D60"/>
  </w:style>
  <w:style w:type="character" w:customStyle="1" w:styleId="t12">
    <w:name w:val="t12"/>
    <w:basedOn w:val="DefaultParagraphFont"/>
    <w:qFormat/>
    <w:rsid w:val="009E2D60"/>
  </w:style>
  <w:style w:type="character" w:customStyle="1" w:styleId="t7">
    <w:name w:val="t7"/>
    <w:basedOn w:val="DefaultParagraphFont"/>
    <w:qFormat/>
    <w:rsid w:val="009E2D60"/>
  </w:style>
  <w:style w:type="paragraph" w:customStyle="1" w:styleId="Default">
    <w:name w:val="Default"/>
    <w:rsid w:val="003F4505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855ACC-F5C7-4340-B1A7-8623AE1064E6}"/>
</file>

<file path=customXml/itemProps2.xml><?xml version="1.0" encoding="utf-8"?>
<ds:datastoreItem xmlns:ds="http://schemas.openxmlformats.org/officeDocument/2006/customXml" ds:itemID="{EB78F929-81F8-48C5-8195-B55EF3DAB7C8}"/>
</file>

<file path=customXml/itemProps3.xml><?xml version="1.0" encoding="utf-8"?>
<ds:datastoreItem xmlns:ds="http://schemas.openxmlformats.org/officeDocument/2006/customXml" ds:itemID="{C8B3E346-6C72-433B-83B6-0A043003FC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Morgantini</dc:creator>
  <cp:keywords/>
  <dc:description/>
  <cp:lastModifiedBy>Tony Salvador</cp:lastModifiedBy>
  <cp:revision>2</cp:revision>
  <dcterms:created xsi:type="dcterms:W3CDTF">2020-10-26T10:38:00Z</dcterms:created>
  <dcterms:modified xsi:type="dcterms:W3CDTF">2020-10-26T10:38:00Z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