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A411F" w14:textId="72324EAA" w:rsidR="00792EAD" w:rsidRPr="00792EAD" w:rsidRDefault="00792EAD" w:rsidP="00792EAD">
      <w:pPr>
        <w:jc w:val="center"/>
        <w:rPr>
          <w:b/>
        </w:rPr>
      </w:pPr>
      <w:r w:rsidRPr="00792EAD">
        <w:rPr>
          <w:b/>
        </w:rPr>
        <w:t>UN Human Rights Council</w:t>
      </w:r>
    </w:p>
    <w:p w14:paraId="0F00CA32" w14:textId="096F9EC5" w:rsidR="00792EAD" w:rsidRPr="00792EAD" w:rsidRDefault="00792EAD" w:rsidP="00792EAD">
      <w:pPr>
        <w:jc w:val="center"/>
        <w:rPr>
          <w:b/>
        </w:rPr>
      </w:pPr>
      <w:r w:rsidRPr="00792EAD">
        <w:rPr>
          <w:b/>
        </w:rPr>
        <w:t>6</w:t>
      </w:r>
      <w:r w:rsidRPr="00792EAD">
        <w:rPr>
          <w:b/>
          <w:vertAlign w:val="superscript"/>
        </w:rPr>
        <w:t>th</w:t>
      </w:r>
      <w:r w:rsidRPr="00792EAD">
        <w:rPr>
          <w:b/>
        </w:rPr>
        <w:t xml:space="preserve"> Session of the Open-Ended Intergovernmental Working Group on Transnational Corporations and other Business Enterprises with respect to Human Rights</w:t>
      </w:r>
    </w:p>
    <w:p w14:paraId="47A9216E" w14:textId="77777777" w:rsidR="00792EAD" w:rsidRPr="00792EAD" w:rsidRDefault="00792EAD" w:rsidP="00792EAD">
      <w:pPr>
        <w:spacing w:after="0"/>
        <w:jc w:val="center"/>
        <w:rPr>
          <w:b/>
        </w:rPr>
      </w:pPr>
      <w:r w:rsidRPr="00792EAD">
        <w:rPr>
          <w:b/>
        </w:rPr>
        <w:t>Statement by the Government of the United Kingdom</w:t>
      </w:r>
    </w:p>
    <w:p w14:paraId="1A2A9F58" w14:textId="27DA7694" w:rsidR="00792EAD" w:rsidRDefault="00792EAD" w:rsidP="00792EAD">
      <w:pPr>
        <w:jc w:val="center"/>
        <w:rPr>
          <w:b/>
        </w:rPr>
      </w:pPr>
      <w:r w:rsidRPr="00792EAD">
        <w:rPr>
          <w:b/>
        </w:rPr>
        <w:t>of Great Britain and Northern Ireland</w:t>
      </w:r>
    </w:p>
    <w:p w14:paraId="0303C22B" w14:textId="7ACD4D84" w:rsidR="00792EAD" w:rsidRPr="00792EAD" w:rsidRDefault="00792EAD" w:rsidP="00792EAD">
      <w:pPr>
        <w:jc w:val="center"/>
        <w:rPr>
          <w:b/>
        </w:rPr>
      </w:pPr>
      <w:r>
        <w:rPr>
          <w:b/>
        </w:rPr>
        <w:t>26 October 2020</w:t>
      </w:r>
    </w:p>
    <w:p w14:paraId="3D56362F" w14:textId="77777777" w:rsidR="00792EAD" w:rsidRDefault="00792EAD" w:rsidP="00D57A4F">
      <w:pPr>
        <w:jc w:val="both"/>
      </w:pPr>
    </w:p>
    <w:p w14:paraId="2FA4F9F4" w14:textId="4BA729B1" w:rsidR="00D57A4F" w:rsidRDefault="00792EAD" w:rsidP="00D57A4F">
      <w:pPr>
        <w:jc w:val="both"/>
      </w:pPr>
      <w:r>
        <w:t>Thank you, Chair.</w:t>
      </w:r>
    </w:p>
    <w:p w14:paraId="0009F3FB" w14:textId="15F792C4" w:rsidR="00D57A4F" w:rsidRDefault="005C376C" w:rsidP="00D57A4F">
      <w:pPr>
        <w:jc w:val="both"/>
      </w:pPr>
      <w:r>
        <w:t>We</w:t>
      </w:r>
      <w:r w:rsidR="00D57A4F">
        <w:t xml:space="preserve"> </w:t>
      </w:r>
      <w:r>
        <w:t>would like to begin by expressing our gratitude</w:t>
      </w:r>
      <w:r w:rsidR="00792EAD">
        <w:t xml:space="preserve"> to </w:t>
      </w:r>
      <w:r>
        <w:t>OHCHR</w:t>
      </w:r>
      <w:r w:rsidR="00D57A4F">
        <w:t xml:space="preserve"> for</w:t>
      </w:r>
      <w:r>
        <w:t xml:space="preserve"> organising this session in a hybrid - physical and virtual - format, and for thereby enabling the essential participation of civil society organisations and business stakeholders in this week</w:t>
      </w:r>
      <w:r w:rsidR="00DB72BE">
        <w:t>’s session</w:t>
      </w:r>
      <w:r>
        <w:t>.</w:t>
      </w:r>
    </w:p>
    <w:p w14:paraId="55C623F2" w14:textId="7EB85D07" w:rsidR="00DB72BE" w:rsidRDefault="00DB72BE" w:rsidP="00D57A4F">
      <w:pPr>
        <w:jc w:val="both"/>
      </w:pPr>
      <w:r>
        <w:t xml:space="preserve">We are also grateful to the Chair for circulation </w:t>
      </w:r>
      <w:r w:rsidR="007F5138">
        <w:t xml:space="preserve">on 6 August </w:t>
      </w:r>
      <w:r>
        <w:t>of the revised text</w:t>
      </w:r>
      <w:r w:rsidR="007F5138">
        <w:t xml:space="preserve"> of the proposed treaty</w:t>
      </w:r>
      <w:r>
        <w:t>. We have analysed and considered it carefully.</w:t>
      </w:r>
    </w:p>
    <w:p w14:paraId="4CD7E71B" w14:textId="53B0AC90" w:rsidR="00D57A4F" w:rsidRDefault="00940CF0" w:rsidP="000F48AC">
      <w:pPr>
        <w:jc w:val="both"/>
      </w:pPr>
      <w:r>
        <w:t>Before commenting on</w:t>
      </w:r>
      <w:r w:rsidR="007F5138">
        <w:t xml:space="preserve"> that text, we recall </w:t>
      </w:r>
      <w:r w:rsidR="00DB72BE">
        <w:t>that t</w:t>
      </w:r>
      <w:r w:rsidR="00B6636E">
        <w:t>he UK was the first country in the world to produce a National Action Plan for implementation of the UN Guiding Principles</w:t>
      </w:r>
      <w:r w:rsidR="00A37975">
        <w:t xml:space="preserve"> on Business and Human Rights</w:t>
      </w:r>
      <w:r w:rsidR="00B6636E">
        <w:t xml:space="preserve">, in 2013. </w:t>
      </w:r>
      <w:r w:rsidR="007F5138">
        <w:t>In 2015</w:t>
      </w:r>
      <w:r>
        <w:t>,</w:t>
      </w:r>
      <w:r w:rsidR="007F5138">
        <w:t xml:space="preserve"> our innovative Modern Slavery Act </w:t>
      </w:r>
      <w:r w:rsidR="00A92D40">
        <w:t xml:space="preserve">introduced requirements on businesses to report on the steps they </w:t>
      </w:r>
      <w:r>
        <w:t>take</w:t>
      </w:r>
      <w:r w:rsidR="00A92D40">
        <w:t xml:space="preserve"> to tackle modern slavery in their operations and global supply chains. </w:t>
      </w:r>
      <w:r w:rsidR="007F5138">
        <w:t>And in 2016</w:t>
      </w:r>
      <w:r w:rsidR="00B6636E">
        <w:t>, a</w:t>
      </w:r>
      <w:r w:rsidR="007F5138">
        <w:t>fter</w:t>
      </w:r>
      <w:r w:rsidR="00B6636E">
        <w:t xml:space="preserve"> </w:t>
      </w:r>
      <w:r w:rsidR="005C376C">
        <w:t xml:space="preserve">further </w:t>
      </w:r>
      <w:r w:rsidR="00B6636E">
        <w:t>broad consultation with business and civil society, we were the first country in the world to publish an updated National Plan Action. We take business and human rights seriously.</w:t>
      </w:r>
      <w:r w:rsidR="007E46A7">
        <w:t xml:space="preserve">  </w:t>
      </w:r>
    </w:p>
    <w:p w14:paraId="73636B2C" w14:textId="0E37E630" w:rsidR="00A37975" w:rsidRDefault="00A37975" w:rsidP="00D57A4F">
      <w:pPr>
        <w:jc w:val="both"/>
      </w:pPr>
      <w:r>
        <w:t xml:space="preserve">It is regrettable, therefore, that the process adopted by this intergovernmental working group does not </w:t>
      </w:r>
      <w:r w:rsidR="007F5138">
        <w:t>engender</w:t>
      </w:r>
      <w:r>
        <w:t xml:space="preserve"> serious engagement. By failing to return to the Human Rights Council in 2017 when the group’s mandate was due to be renewed, the </w:t>
      </w:r>
      <w:r w:rsidR="007F5138">
        <w:t xml:space="preserve">leadership </w:t>
      </w:r>
      <w:r w:rsidR="007F5138">
        <w:t xml:space="preserve">of this </w:t>
      </w:r>
      <w:r>
        <w:t xml:space="preserve">group forfeited a key moment to secure </w:t>
      </w:r>
      <w:r w:rsidR="00341BA0">
        <w:t xml:space="preserve">both </w:t>
      </w:r>
      <w:r>
        <w:t>cross-regional political backing for its continuation, and the Council’s guidance for its direction. Instead, year after year, fewer and fewer delegations appear here, in this negotiation room. This</w:t>
      </w:r>
      <w:r w:rsidR="007F5138">
        <w:t xml:space="preserve"> absence</w:t>
      </w:r>
      <w:r>
        <w:t xml:space="preserve"> signifies not apathy for </w:t>
      </w:r>
      <w:r w:rsidR="00341BA0">
        <w:t>this important topic</w:t>
      </w:r>
      <w:r>
        <w:t xml:space="preserve">, but lack of </w:t>
      </w:r>
      <w:r w:rsidR="00341BA0">
        <w:t>faith</w:t>
      </w:r>
      <w:r>
        <w:t xml:space="preserve"> in </w:t>
      </w:r>
      <w:r w:rsidR="00341BA0">
        <w:t>the text before us.</w:t>
      </w:r>
    </w:p>
    <w:p w14:paraId="440F171F" w14:textId="704F2983" w:rsidR="00341BA0" w:rsidRDefault="005C376C" w:rsidP="00D57A4F">
      <w:pPr>
        <w:jc w:val="both"/>
      </w:pPr>
      <w:r>
        <w:t xml:space="preserve">It is </w:t>
      </w:r>
      <w:r w:rsidR="007F5138">
        <w:t xml:space="preserve">of course </w:t>
      </w:r>
      <w:r>
        <w:t>true</w:t>
      </w:r>
      <w:r w:rsidR="00341BA0">
        <w:t xml:space="preserve"> that th</w:t>
      </w:r>
      <w:r w:rsidR="00DB72BE">
        <w:t>e</w:t>
      </w:r>
      <w:r w:rsidR="00341BA0">
        <w:t xml:space="preserve"> text has improved incrementally over the last three years: </w:t>
      </w:r>
      <w:r w:rsidR="007F5138">
        <w:t xml:space="preserve">for example, </w:t>
      </w:r>
      <w:r w:rsidR="00341BA0">
        <w:t xml:space="preserve">it applies to all business enterprises, not </w:t>
      </w:r>
      <w:r w:rsidR="00DB72BE">
        <w:t>on</w:t>
      </w:r>
      <w:r w:rsidR="00341BA0">
        <w:t>ly</w:t>
      </w:r>
      <w:r w:rsidR="00DB72BE">
        <w:t xml:space="preserve"> to</w:t>
      </w:r>
      <w:r w:rsidR="00341BA0">
        <w:t xml:space="preserve"> transnational corporations; and </w:t>
      </w:r>
      <w:r w:rsidR="007F5138">
        <w:t>the current version</w:t>
      </w:r>
      <w:r w:rsidR="00DB72BE">
        <w:t xml:space="preserve"> expressly applies to state-owned enterprises too</w:t>
      </w:r>
      <w:r w:rsidR="00341BA0">
        <w:t>.</w:t>
      </w:r>
    </w:p>
    <w:p w14:paraId="7CD05271" w14:textId="5BEDE1A9" w:rsidR="00D57A4F" w:rsidRDefault="007F5138" w:rsidP="00341BA0">
      <w:pPr>
        <w:jc w:val="both"/>
      </w:pPr>
      <w:r>
        <w:t xml:space="preserve">But fundamental flaws remain. In </w:t>
      </w:r>
      <w:r w:rsidR="00940CF0">
        <w:t>the UK’s</w:t>
      </w:r>
      <w:r>
        <w:t xml:space="preserve"> view, t</w:t>
      </w:r>
      <w:r w:rsidR="00D57A4F">
        <w:t xml:space="preserve">he current draft is incompatible with a </w:t>
      </w:r>
      <w:r>
        <w:t>several</w:t>
      </w:r>
      <w:r w:rsidR="00D57A4F">
        <w:t xml:space="preserve"> </w:t>
      </w:r>
      <w:r w:rsidR="005C376C">
        <w:t xml:space="preserve">key </w:t>
      </w:r>
      <w:r w:rsidR="00D57A4F">
        <w:t>principles of international law</w:t>
      </w:r>
      <w:r w:rsidR="00341BA0">
        <w:t>. Rather than engage in line-by-line critique, we will set out today our key concerns:</w:t>
      </w:r>
    </w:p>
    <w:p w14:paraId="0A037044" w14:textId="45A2C846" w:rsidR="00D57A4F" w:rsidRPr="00D57A4F" w:rsidRDefault="00D57A4F" w:rsidP="00D57A4F">
      <w:pPr>
        <w:jc w:val="both"/>
      </w:pPr>
      <w:r>
        <w:t xml:space="preserve">First, </w:t>
      </w:r>
      <w:r w:rsidR="000519E7">
        <w:t xml:space="preserve">the scope of this draft is </w:t>
      </w:r>
      <w:r w:rsidR="00630B2F">
        <w:t>too vague to be workable.</w:t>
      </w:r>
      <w:r w:rsidR="000519E7">
        <w:t xml:space="preserve"> Preambular Paragraph 8 and Article 6 extend its application beyond States parties’ “territory and jurisdiction” to businesses which are</w:t>
      </w:r>
      <w:r w:rsidR="00EB239F">
        <w:t xml:space="preserve"> somehow</w:t>
      </w:r>
      <w:r w:rsidR="000519E7">
        <w:t xml:space="preserve"> “otherwise under [their control]”. </w:t>
      </w:r>
      <w:r w:rsidR="00630B2F">
        <w:t>A</w:t>
      </w:r>
      <w:r w:rsidRPr="00D57A4F">
        <w:t>rt</w:t>
      </w:r>
      <w:r w:rsidR="000519E7">
        <w:t>icle</w:t>
      </w:r>
      <w:r w:rsidRPr="00D57A4F">
        <w:t xml:space="preserve"> 3.3 applies </w:t>
      </w:r>
      <w:r w:rsidRPr="00D57A4F">
        <w:lastRenderedPageBreak/>
        <w:t>the treaty</w:t>
      </w:r>
      <w:r w:rsidR="00630B2F">
        <w:t xml:space="preserve"> to “all </w:t>
      </w:r>
      <w:r w:rsidR="00D51EAE">
        <w:t xml:space="preserve">internationally recognised </w:t>
      </w:r>
      <w:r w:rsidR="00630B2F">
        <w:t xml:space="preserve">human rights”, </w:t>
      </w:r>
      <w:r w:rsidR="00D51EAE">
        <w:t xml:space="preserve">including those found in ILO conventions </w:t>
      </w:r>
      <w:r w:rsidR="007F5138">
        <w:t xml:space="preserve">and customary international law. Compounded by the breadth of the jurisdictional provisions, </w:t>
      </w:r>
      <w:r w:rsidR="00D51EAE">
        <w:t>this</w:t>
      </w:r>
      <w:r w:rsidR="007F5138">
        <w:t xml:space="preserve"> category of rights</w:t>
      </w:r>
      <w:r w:rsidR="00D51EAE">
        <w:t xml:space="preserve"> is imprecise and indeterminate</w:t>
      </w:r>
      <w:r w:rsidR="000519E7">
        <w:t xml:space="preserve">. </w:t>
      </w:r>
      <w:r w:rsidR="00630B2F">
        <w:t>And</w:t>
      </w:r>
      <w:r w:rsidR="000519E7">
        <w:t xml:space="preserve"> </w:t>
      </w:r>
      <w:r w:rsidRPr="00D57A4F">
        <w:t>Art</w:t>
      </w:r>
      <w:r w:rsidR="000519E7">
        <w:t>icle</w:t>
      </w:r>
      <w:r w:rsidRPr="00D57A4F">
        <w:t xml:space="preserve"> 4</w:t>
      </w:r>
      <w:r w:rsidR="00630B2F">
        <w:t>, as well as duplicating existing human rights,</w:t>
      </w:r>
      <w:r w:rsidRPr="00D57A4F">
        <w:t xml:space="preserve"> gifts </w:t>
      </w:r>
      <w:r w:rsidR="00630B2F">
        <w:t xml:space="preserve">new rights </w:t>
      </w:r>
      <w:r w:rsidRPr="00D57A4F">
        <w:t xml:space="preserve">to a generic category of “victims”, </w:t>
      </w:r>
      <w:r w:rsidR="000519E7">
        <w:t>rather than framing the rights of victims with reference to</w:t>
      </w:r>
      <w:r w:rsidRPr="00D57A4F">
        <w:t xml:space="preserve"> </w:t>
      </w:r>
      <w:r w:rsidR="00630B2F">
        <w:t xml:space="preserve">the </w:t>
      </w:r>
      <w:r w:rsidRPr="00D57A4F">
        <w:t>obligations</w:t>
      </w:r>
      <w:r w:rsidR="000519E7">
        <w:t xml:space="preserve"> imposed</w:t>
      </w:r>
      <w:r w:rsidRPr="00D57A4F">
        <w:t xml:space="preserve"> on </w:t>
      </w:r>
      <w:r w:rsidR="000519E7">
        <w:t>S</w:t>
      </w:r>
      <w:r w:rsidRPr="00D57A4F">
        <w:t>tates</w:t>
      </w:r>
      <w:r w:rsidR="00EB239F">
        <w:t xml:space="preserve"> which are party to the treaty</w:t>
      </w:r>
      <w:r w:rsidRPr="00D57A4F">
        <w:t>.</w:t>
      </w:r>
    </w:p>
    <w:p w14:paraId="40F6A0EB" w14:textId="7A7CAD50" w:rsidR="00D57A4F" w:rsidRPr="00D57A4F" w:rsidRDefault="00EB239F" w:rsidP="00D57A4F">
      <w:pPr>
        <w:jc w:val="both"/>
      </w:pPr>
      <w:r>
        <w:t>Second, the</w:t>
      </w:r>
      <w:r w:rsidR="00D57A4F" w:rsidRPr="00D57A4F">
        <w:t xml:space="preserve"> legal liability</w:t>
      </w:r>
      <w:r>
        <w:t xml:space="preserve"> provisions </w:t>
      </w:r>
      <w:r w:rsidR="00630B2F">
        <w:t>create</w:t>
      </w:r>
      <w:r w:rsidR="00341BA0">
        <w:t xml:space="preserve"> unrealistic</w:t>
      </w:r>
      <w:r w:rsidR="00630B2F">
        <w:t xml:space="preserve"> burdens on business</w:t>
      </w:r>
      <w:r w:rsidR="00341BA0">
        <w:t>,</w:t>
      </w:r>
      <w:r w:rsidR="00630B2F">
        <w:t xml:space="preserve"> far beyond</w:t>
      </w:r>
      <w:r>
        <w:t xml:space="preserve"> </w:t>
      </w:r>
      <w:r w:rsidR="005C376C">
        <w:t xml:space="preserve">the standards of </w:t>
      </w:r>
      <w:r>
        <w:t>due diligence</w:t>
      </w:r>
      <w:r w:rsidR="00D57A4F" w:rsidRPr="00D57A4F">
        <w:t>: Art</w:t>
      </w:r>
      <w:r>
        <w:t>icle</w:t>
      </w:r>
      <w:r w:rsidR="00D57A4F" w:rsidRPr="00D57A4F">
        <w:t xml:space="preserve"> </w:t>
      </w:r>
      <w:r w:rsidR="00D51EAE">
        <w:t>8</w:t>
      </w:r>
      <w:r>
        <w:t>,</w:t>
      </w:r>
      <w:r w:rsidR="00D57A4F" w:rsidRPr="00D57A4F">
        <w:t xml:space="preserve"> as drafted</w:t>
      </w:r>
      <w:r>
        <w:t>,</w:t>
      </w:r>
      <w:r w:rsidR="00D57A4F" w:rsidRPr="00D57A4F">
        <w:t xml:space="preserve"> means that businesses could be held liable for human rights abuses </w:t>
      </w:r>
      <w:r w:rsidR="009332ED">
        <w:t>“from their business relationships</w:t>
      </w:r>
      <w:r w:rsidR="007F5138">
        <w:t>”, even if</w:t>
      </w:r>
      <w:r w:rsidR="00D57A4F" w:rsidRPr="00D57A4F">
        <w:t xml:space="preserve"> harms </w:t>
      </w:r>
      <w:r w:rsidR="009332ED">
        <w:t>perpetrated by other business</w:t>
      </w:r>
      <w:r w:rsidR="002E3880">
        <w:t xml:space="preserve">es </w:t>
      </w:r>
      <w:r w:rsidR="007F5138">
        <w:t>a</w:t>
      </w:r>
      <w:r w:rsidR="002E3880">
        <w:t>re</w:t>
      </w:r>
      <w:r w:rsidR="009332ED">
        <w:t xml:space="preserve"> u</w:t>
      </w:r>
      <w:r w:rsidR="002E3880">
        <w:t xml:space="preserve">nforeseen and appropriate due diligence </w:t>
      </w:r>
      <w:r w:rsidR="007F5138">
        <w:t>i</w:t>
      </w:r>
      <w:r w:rsidR="002E3880">
        <w:t>s carried out</w:t>
      </w:r>
      <w:r w:rsidR="00D57A4F" w:rsidRPr="00D57A4F">
        <w:t>.</w:t>
      </w:r>
      <w:r w:rsidR="007F5138">
        <w:t xml:space="preserve"> This legal burden is</w:t>
      </w:r>
      <w:r w:rsidR="00B6636E">
        <w:t xml:space="preserve"> si</w:t>
      </w:r>
      <w:r w:rsidR="00566DA2">
        <w:t>mply unworkable.</w:t>
      </w:r>
    </w:p>
    <w:p w14:paraId="50882466" w14:textId="088503A5" w:rsidR="00D57A4F" w:rsidRDefault="00EB239F" w:rsidP="00D57A4F">
      <w:pPr>
        <w:jc w:val="both"/>
      </w:pPr>
      <w:r>
        <w:t>Third</w:t>
      </w:r>
      <w:r w:rsidR="00341BA0">
        <w:t xml:space="preserve">, the provisions </w:t>
      </w:r>
      <w:r w:rsidR="007F5138">
        <w:t xml:space="preserve">on adjudicative jurisdiction </w:t>
      </w:r>
      <w:r w:rsidR="00341BA0">
        <w:t>appear to breach key principles of sovereignty and due process.</w:t>
      </w:r>
      <w:r w:rsidR="00D57A4F" w:rsidRPr="00D57A4F">
        <w:t xml:space="preserve"> Art</w:t>
      </w:r>
      <w:r>
        <w:t>icle</w:t>
      </w:r>
      <w:r w:rsidR="00D57A4F" w:rsidRPr="00D57A4F">
        <w:t xml:space="preserve"> 9 </w:t>
      </w:r>
      <w:r w:rsidR="00D57A4F" w:rsidRPr="00EB239F">
        <w:rPr>
          <w:u w:val="single"/>
        </w:rPr>
        <w:t>requires</w:t>
      </w:r>
      <w:r w:rsidR="00D57A4F" w:rsidRPr="00D57A4F">
        <w:t xml:space="preserve"> </w:t>
      </w:r>
      <w:r>
        <w:t>the courts of a given State party</w:t>
      </w:r>
      <w:r w:rsidR="00D57A4F" w:rsidRPr="00D57A4F">
        <w:t xml:space="preserve"> to hear claims against businesses for abuses</w:t>
      </w:r>
      <w:r>
        <w:t xml:space="preserve">, </w:t>
      </w:r>
      <w:r w:rsidR="00D57A4F" w:rsidRPr="00D57A4F">
        <w:t>acts</w:t>
      </w:r>
      <w:r>
        <w:t xml:space="preserve"> or </w:t>
      </w:r>
      <w:r w:rsidR="00D57A4F" w:rsidRPr="00D57A4F">
        <w:t>omissions on th</w:t>
      </w:r>
      <w:r>
        <w:t>e State’s</w:t>
      </w:r>
      <w:r w:rsidR="00D57A4F" w:rsidRPr="00D57A4F">
        <w:t xml:space="preserve"> territory, even </w:t>
      </w:r>
      <w:r>
        <w:t xml:space="preserve">if </w:t>
      </w:r>
      <w:r w:rsidR="00D57A4F" w:rsidRPr="00D57A4F">
        <w:t xml:space="preserve">there is another jurisdiction which is more </w:t>
      </w:r>
      <w:r w:rsidR="00354153">
        <w:t>convenient</w:t>
      </w:r>
      <w:r w:rsidR="00D57A4F" w:rsidRPr="00D57A4F">
        <w:t xml:space="preserve"> or in which parallel proceedings are underway.</w:t>
      </w:r>
      <w:r>
        <w:t xml:space="preserve"> Most egregiously, this provision requires the courts of a State party to hear a claim</w:t>
      </w:r>
      <w:r w:rsidR="007F5138">
        <w:t xml:space="preserve"> under this treaty</w:t>
      </w:r>
      <w:r>
        <w:t xml:space="preserve"> against a business even </w:t>
      </w:r>
      <w:r w:rsidRPr="00D57A4F">
        <w:t>if the State where the business is domiciled is not a party to</w:t>
      </w:r>
      <w:r>
        <w:t xml:space="preserve"> the treaty.</w:t>
      </w:r>
    </w:p>
    <w:p w14:paraId="1B716F74" w14:textId="24BEABEF" w:rsidR="00341BA0" w:rsidRDefault="00AF280F" w:rsidP="00D57A4F">
      <w:pPr>
        <w:jc w:val="both"/>
      </w:pPr>
      <w:r>
        <w:t xml:space="preserve">For these and other reasons, the UK </w:t>
      </w:r>
      <w:r w:rsidR="007F5138">
        <w:t>remain</w:t>
      </w:r>
      <w:r>
        <w:t xml:space="preserve">s sceptical that this </w:t>
      </w:r>
      <w:r w:rsidR="007F5138">
        <w:t>text</w:t>
      </w:r>
      <w:r>
        <w:t xml:space="preserve"> can gather the political support that it would need to succeed in our shared goals</w:t>
      </w:r>
      <w:r w:rsidR="00DB72BE">
        <w:t xml:space="preserve"> of enhancing </w:t>
      </w:r>
      <w:r>
        <w:t>respect for human rights</w:t>
      </w:r>
      <w:r w:rsidR="00DB72BE">
        <w:t xml:space="preserve"> by businesses globally</w:t>
      </w:r>
      <w:r>
        <w:t xml:space="preserve">, </w:t>
      </w:r>
      <w:r w:rsidR="00DB72BE">
        <w:t xml:space="preserve">and </w:t>
      </w:r>
      <w:r>
        <w:t>ensuring</w:t>
      </w:r>
      <w:r w:rsidR="007F5138">
        <w:t xml:space="preserve"> access to effective remedy for</w:t>
      </w:r>
      <w:r>
        <w:t xml:space="preserve"> </w:t>
      </w:r>
      <w:r w:rsidR="007F5138">
        <w:t>all victims</w:t>
      </w:r>
      <w:r>
        <w:t>.</w:t>
      </w:r>
    </w:p>
    <w:p w14:paraId="6B54071B" w14:textId="333ABFEB" w:rsidR="008E2AAC" w:rsidRDefault="001762DB" w:rsidP="000F48AC">
      <w:pPr>
        <w:jc w:val="both"/>
      </w:pPr>
      <w:r>
        <w:t xml:space="preserve">As things stand, the landmark UN Guiding Principles remain the most clear, global and legally sound framework for putting respect by businesses for human rights on governments’ respective national agendas. </w:t>
      </w:r>
      <w:r w:rsidR="00AF280F">
        <w:t>Next year will be the</w:t>
      </w:r>
      <w:r w:rsidR="00940CF0">
        <w:t xml:space="preserve"> Principles’</w:t>
      </w:r>
      <w:r w:rsidR="00AF280F">
        <w:t xml:space="preserve"> tenth anniversary.</w:t>
      </w:r>
      <w:r w:rsidR="005C376C">
        <w:t xml:space="preserve"> </w:t>
      </w:r>
      <w:r w:rsidR="00940CF0">
        <w:t>W</w:t>
      </w:r>
      <w:r w:rsidR="00A17591">
        <w:t>e remain unwavering in our commitment to their implementation</w:t>
      </w:r>
      <w:r w:rsidR="00940CF0">
        <w:t>, nationally and internationally</w:t>
      </w:r>
      <w:r w:rsidR="000F48AC">
        <w:t>. And</w:t>
      </w:r>
      <w:r w:rsidR="00940CF0">
        <w:t xml:space="preserve"> </w:t>
      </w:r>
      <w:r w:rsidR="000F48AC">
        <w:t>we</w:t>
      </w:r>
      <w:r w:rsidR="008E2AAC">
        <w:t xml:space="preserve"> look forward to supporting the OHCHR </w:t>
      </w:r>
      <w:r w:rsidR="00940CF0">
        <w:t xml:space="preserve">in their mandate to support their dissemination and implementation </w:t>
      </w:r>
      <w:r w:rsidR="008E2AAC" w:rsidRPr="000F48AC">
        <w:t xml:space="preserve">over the course of the </w:t>
      </w:r>
      <w:r w:rsidR="008E2AAC" w:rsidRPr="000F48AC">
        <w:rPr>
          <w:u w:val="single"/>
        </w:rPr>
        <w:t>next</w:t>
      </w:r>
      <w:r w:rsidR="008E2AAC" w:rsidRPr="000F48AC">
        <w:t xml:space="preserve"> decade. </w:t>
      </w:r>
    </w:p>
    <w:p w14:paraId="6FE15C01" w14:textId="1EFEFDDF" w:rsidR="00940CF0" w:rsidRPr="000F48AC" w:rsidRDefault="00940CF0" w:rsidP="000F48AC">
      <w:pPr>
        <w:jc w:val="both"/>
        <w:rPr>
          <w:rFonts w:ascii="Calibri Light" w:hAnsi="Calibri Light" w:cs="Calibri Light"/>
          <w:lang w:eastAsia="fr-CH"/>
        </w:rPr>
      </w:pPr>
      <w:r>
        <w:t>Thank you.</w:t>
      </w:r>
      <w:bookmarkStart w:id="0" w:name="_GoBack"/>
      <w:bookmarkEnd w:id="0"/>
    </w:p>
    <w:p w14:paraId="50CE0041" w14:textId="1ECA0CE7" w:rsidR="00AF280F" w:rsidRDefault="00AF280F" w:rsidP="00D57A4F">
      <w:pPr>
        <w:jc w:val="both"/>
      </w:pPr>
    </w:p>
    <w:p w14:paraId="69603F9F" w14:textId="37659439" w:rsidR="0015477B" w:rsidRDefault="0015477B" w:rsidP="00D57A4F">
      <w:pPr>
        <w:jc w:val="both"/>
      </w:pPr>
    </w:p>
    <w:p w14:paraId="4AD5A6F1" w14:textId="12110D5F" w:rsidR="00BC261E" w:rsidRPr="00D57A4F" w:rsidRDefault="00940CF0" w:rsidP="00D57A4F">
      <w:pPr>
        <w:jc w:val="both"/>
      </w:pPr>
      <w:r>
        <w:t>725</w:t>
      </w:r>
      <w:r w:rsidR="00576A45">
        <w:t xml:space="preserve"> words</w:t>
      </w:r>
    </w:p>
    <w:sectPr w:rsidR="00BC261E" w:rsidRPr="00D57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D4EDD"/>
    <w:multiLevelType w:val="hybridMultilevel"/>
    <w:tmpl w:val="8AFC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EF"/>
    <w:rsid w:val="000519E7"/>
    <w:rsid w:val="000F48AC"/>
    <w:rsid w:val="0015477B"/>
    <w:rsid w:val="001762DB"/>
    <w:rsid w:val="002E3880"/>
    <w:rsid w:val="00341BA0"/>
    <w:rsid w:val="00354153"/>
    <w:rsid w:val="003F3619"/>
    <w:rsid w:val="00566DA2"/>
    <w:rsid w:val="00576A45"/>
    <w:rsid w:val="005C376C"/>
    <w:rsid w:val="005E58A5"/>
    <w:rsid w:val="00630B2F"/>
    <w:rsid w:val="00704FEF"/>
    <w:rsid w:val="00792EAD"/>
    <w:rsid w:val="007E46A7"/>
    <w:rsid w:val="007F5138"/>
    <w:rsid w:val="008B53FC"/>
    <w:rsid w:val="008E2AAC"/>
    <w:rsid w:val="009332ED"/>
    <w:rsid w:val="00940CF0"/>
    <w:rsid w:val="009D4F61"/>
    <w:rsid w:val="009E659E"/>
    <w:rsid w:val="00A17591"/>
    <w:rsid w:val="00A37975"/>
    <w:rsid w:val="00A92D40"/>
    <w:rsid w:val="00AF280F"/>
    <w:rsid w:val="00B6636E"/>
    <w:rsid w:val="00BC261E"/>
    <w:rsid w:val="00D51EAE"/>
    <w:rsid w:val="00D57A4F"/>
    <w:rsid w:val="00DB72BE"/>
    <w:rsid w:val="00E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E114"/>
  <w15:chartTrackingRefBased/>
  <w15:docId w15:val="{85E4FC7D-C936-4E4B-963D-C197E672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4F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6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5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2BABC-8B51-40F1-B975-53A01A0B156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903fcd-e141-437b-805d-3d56b598c55d"/>
    <ds:schemaRef ds:uri="http://purl.org/dc/elements/1.1/"/>
    <ds:schemaRef ds:uri="c38b264d-e2e2-4ee6-9fe5-2abef1ad80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22BA78-F667-4A75-8034-5A403538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C68DD-88AE-4376-B026-3E154B43A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Robson (Sensitive)</dc:creator>
  <cp:keywords/>
  <dc:description/>
  <cp:lastModifiedBy>Verity Robson (Sensitive)</cp:lastModifiedBy>
  <cp:revision>3</cp:revision>
  <dcterms:created xsi:type="dcterms:W3CDTF">2020-10-26T07:31:00Z</dcterms:created>
  <dcterms:modified xsi:type="dcterms:W3CDTF">2020-10-26T07:44:00Z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