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00" w:rsidRDefault="008A6500" w:rsidP="008A650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IGWG 6</w:t>
      </w:r>
      <w:r w:rsidRPr="008A6500">
        <w:rPr>
          <w:rFonts w:asciiTheme="minorHAnsi" w:hAnsiTheme="minorHAnsi" w:cstheme="minorHAnsi"/>
          <w:b/>
          <w:bCs/>
          <w:color w:val="auto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Session - Global Union Comments:</w:t>
      </w:r>
    </w:p>
    <w:p w:rsidR="008A6500" w:rsidRDefault="008A6500" w:rsidP="008A650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8A6500" w:rsidRDefault="008A6500" w:rsidP="008A650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General Statement (1)</w:t>
      </w:r>
    </w:p>
    <w:p w:rsidR="006013F2" w:rsidRDefault="006013F2" w:rsidP="008A650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6013F2" w:rsidRDefault="006013F2" w:rsidP="008A6500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Thank you, Chairperson. I speak on behalf of the over 200 million members of the following global trade union organisations:</w:t>
      </w:r>
    </w:p>
    <w:p w:rsidR="006013F2" w:rsidRDefault="006013F2" w:rsidP="008A6500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6E3808" w:rsidRDefault="006E3808" w:rsidP="006E3808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International Trade Union Confederation </w:t>
      </w:r>
    </w:p>
    <w:p w:rsidR="006E3808" w:rsidRDefault="006E3808" w:rsidP="006E380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color w:val="000000"/>
        </w:rPr>
      </w:pPr>
      <w:r>
        <w:t xml:space="preserve">Building and </w:t>
      </w:r>
      <w:r>
        <w:rPr>
          <w:color w:val="000000"/>
        </w:rPr>
        <w:t xml:space="preserve">Wood Workers’ International </w:t>
      </w:r>
    </w:p>
    <w:p w:rsidR="006E3808" w:rsidRDefault="006E3808" w:rsidP="006E380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color w:val="000000"/>
        </w:rPr>
      </w:pPr>
      <w:r>
        <w:t>Education International</w:t>
      </w:r>
    </w:p>
    <w:p w:rsidR="006E3808" w:rsidRDefault="006E3808" w:rsidP="006E380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color w:val="000000"/>
        </w:rPr>
      </w:pPr>
      <w:proofErr w:type="spellStart"/>
      <w:r>
        <w:rPr>
          <w:color w:val="000000"/>
        </w:rPr>
        <w:t>IndustriAll</w:t>
      </w:r>
      <w:proofErr w:type="spellEnd"/>
      <w:r>
        <w:rPr>
          <w:color w:val="000000"/>
        </w:rPr>
        <w:t xml:space="preserve"> Global Union </w:t>
      </w:r>
    </w:p>
    <w:p w:rsidR="006E3808" w:rsidRDefault="006E3808" w:rsidP="006E380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color w:val="000000"/>
        </w:rPr>
      </w:pPr>
      <w:r>
        <w:rPr>
          <w:color w:val="000000"/>
        </w:rPr>
        <w:t xml:space="preserve">International Transport Workers’ Federation </w:t>
      </w:r>
    </w:p>
    <w:p w:rsidR="006E3808" w:rsidRDefault="006E3808" w:rsidP="006E380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color w:val="000000"/>
        </w:rPr>
      </w:pPr>
      <w:r>
        <w:rPr>
          <w:color w:val="000000"/>
        </w:rPr>
        <w:t>I</w:t>
      </w:r>
      <w:r>
        <w:rPr>
          <w:color w:val="000000"/>
          <w:shd w:val="clear" w:color="auto" w:fill="FFFFFF"/>
        </w:rPr>
        <w:t>nternational Union of Food, Agricultural, Hotel, Restaurant, Catering, Tobacco and Allied Workers' Associations</w:t>
      </w:r>
    </w:p>
    <w:p w:rsidR="006E3808" w:rsidRDefault="006E3808" w:rsidP="006E380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color w:val="000000"/>
        </w:rPr>
      </w:pPr>
      <w:r>
        <w:rPr>
          <w:color w:val="000000"/>
          <w:shd w:val="clear" w:color="auto" w:fill="FFFFFF"/>
        </w:rPr>
        <w:t>Public Services International; and</w:t>
      </w:r>
    </w:p>
    <w:p w:rsidR="006E3808" w:rsidRDefault="006E3808" w:rsidP="006E380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color w:val="000000"/>
        </w:rPr>
      </w:pPr>
      <w:r>
        <w:rPr>
          <w:color w:val="000000"/>
          <w:shd w:val="clear" w:color="auto" w:fill="FFFFFF"/>
        </w:rPr>
        <w:t xml:space="preserve">UNI Global Union </w:t>
      </w:r>
    </w:p>
    <w:p w:rsidR="006013F2" w:rsidRPr="006013F2" w:rsidRDefault="006013F2" w:rsidP="008A6500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8A6500" w:rsidRPr="00563121" w:rsidRDefault="006E3808" w:rsidP="006E38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48B4">
        <w:rPr>
          <w:rFonts w:cstheme="minorHAnsi"/>
        </w:rPr>
        <w:t xml:space="preserve">With the COVID-19 pandemic once </w:t>
      </w:r>
      <w:r w:rsidRPr="00563121">
        <w:rPr>
          <w:rFonts w:cstheme="minorHAnsi"/>
        </w:rPr>
        <w:t>again exposing the fragility of global supply chains and business models built on non-standard forms of employment and informality, the Legally Binding Instrument</w:t>
      </w:r>
      <w:r w:rsidR="00D3177B">
        <w:rPr>
          <w:rFonts w:cstheme="minorHAnsi"/>
        </w:rPr>
        <w:t xml:space="preserve"> </w:t>
      </w:r>
      <w:r w:rsidRPr="00563121">
        <w:rPr>
          <w:rFonts w:cstheme="minorHAnsi"/>
        </w:rPr>
        <w:t xml:space="preserve">represents a unique opportunity to end the impunity for corporate human rights abuses. </w:t>
      </w:r>
    </w:p>
    <w:p w:rsidR="006E3808" w:rsidRPr="00563121" w:rsidRDefault="006E3808" w:rsidP="006E38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E3808" w:rsidRDefault="00563121" w:rsidP="006E38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63121">
        <w:rPr>
          <w:rFonts w:cstheme="minorHAnsi"/>
        </w:rPr>
        <w:t xml:space="preserve">Over the coming days, we will </w:t>
      </w:r>
      <w:r>
        <w:rPr>
          <w:rFonts w:cstheme="minorHAnsi"/>
        </w:rPr>
        <w:t xml:space="preserve">offer targeted comments on the </w:t>
      </w:r>
      <w:r w:rsidRPr="00563121">
        <w:rPr>
          <w:rFonts w:cstheme="minorHAnsi"/>
        </w:rPr>
        <w:t xml:space="preserve">second revised draft with a view to impressing upon governments the urgent need to </w:t>
      </w:r>
      <w:r w:rsidR="009C7730">
        <w:rPr>
          <w:rFonts w:cstheme="minorHAnsi"/>
        </w:rPr>
        <w:t xml:space="preserve">make significant progress in these negotiations. </w:t>
      </w:r>
    </w:p>
    <w:p w:rsidR="009C7730" w:rsidRDefault="009C7730" w:rsidP="006E38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C7730" w:rsidRPr="004448B4" w:rsidRDefault="009C7730" w:rsidP="009C77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211D1E"/>
        </w:rPr>
        <w:t>Overall, t</w:t>
      </w:r>
      <w:r w:rsidRPr="004448B4">
        <w:rPr>
          <w:rFonts w:cstheme="minorHAnsi"/>
          <w:color w:val="211D1E"/>
        </w:rPr>
        <w:t xml:space="preserve">he second revised draft has introduced further conceptual </w:t>
      </w:r>
      <w:r w:rsidRPr="004448B4">
        <w:rPr>
          <w:rFonts w:cstheme="minorHAnsi"/>
          <w:color w:val="000000"/>
        </w:rPr>
        <w:t xml:space="preserve">clarity, alignment with the </w:t>
      </w:r>
      <w:r>
        <w:rPr>
          <w:rFonts w:cstheme="minorHAnsi"/>
          <w:color w:val="000000"/>
        </w:rPr>
        <w:t>UNGPs</w:t>
      </w:r>
      <w:r w:rsidRPr="004448B4">
        <w:rPr>
          <w:rFonts w:cstheme="minorHAnsi"/>
          <w:color w:val="000000"/>
        </w:rPr>
        <w:t>, a more coherent structure, and a text that is politically viable for States and non-State actors alike. We welcome, among other things, the strengthening of the gender dimension throughout the text</w:t>
      </w:r>
      <w:r w:rsidR="00D74B1E">
        <w:rPr>
          <w:rFonts w:cstheme="minorHAnsi"/>
          <w:color w:val="000000"/>
        </w:rPr>
        <w:t>.</w:t>
      </w:r>
      <w:r w:rsidRPr="004448B4">
        <w:rPr>
          <w:rFonts w:cstheme="minorHAnsi"/>
          <w:color w:val="000000"/>
        </w:rPr>
        <w:t xml:space="preserve"> We also believe that the second revised draft </w:t>
      </w:r>
      <w:r w:rsidRPr="004448B4">
        <w:rPr>
          <w:rFonts w:cstheme="minorHAnsi"/>
        </w:rPr>
        <w:t xml:space="preserve">provides a sound basis for effectively addressing existing accountability and liability gaps arising from the complex structures of transnational companies and their supply chains dominating the global economy. </w:t>
      </w:r>
    </w:p>
    <w:p w:rsidR="009C7730" w:rsidRPr="004448B4" w:rsidRDefault="009C7730" w:rsidP="009C7730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F1CB4" w:rsidRDefault="009C7730" w:rsidP="009C7730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448B4">
        <w:rPr>
          <w:rFonts w:cstheme="minorHAnsi"/>
          <w:color w:val="000000"/>
        </w:rPr>
        <w:t xml:space="preserve">Another significant improvement in the second revised draft is a provision that </w:t>
      </w:r>
      <w:r w:rsidRPr="004448B4">
        <w:rPr>
          <w:rFonts w:cstheme="minorHAnsi"/>
          <w:i/>
          <w:color w:val="000000"/>
        </w:rPr>
        <w:t xml:space="preserve">explicitly </w:t>
      </w:r>
      <w:r w:rsidRPr="004448B4">
        <w:rPr>
          <w:rFonts w:cstheme="minorHAnsi"/>
          <w:color w:val="000000"/>
        </w:rPr>
        <w:t xml:space="preserve">requires States to ensure that any existing or new trade and investment agreements are compatible with the human rights obligations under the Legally Binding Instrument. </w:t>
      </w:r>
    </w:p>
    <w:p w:rsidR="00EF1CB4" w:rsidRDefault="00EF1CB4" w:rsidP="009C7730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74B1E" w:rsidRDefault="00D74B1E" w:rsidP="009C7730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Chairperson, </w:t>
      </w:r>
    </w:p>
    <w:p w:rsidR="00D74B1E" w:rsidRDefault="00D74B1E" w:rsidP="009C7730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9C7730" w:rsidRPr="004448B4" w:rsidRDefault="00EF1CB4" w:rsidP="009C7730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The second revised draft is definitely ‘negotiation ready’, but there are several areas that merit further attention. </w:t>
      </w:r>
      <w:r w:rsidR="00D74B1E">
        <w:rPr>
          <w:rFonts w:cstheme="minorHAnsi"/>
          <w:color w:val="000000"/>
        </w:rPr>
        <w:t xml:space="preserve">These include the need to explicitly recognise </w:t>
      </w:r>
      <w:r w:rsidR="009C7730" w:rsidRPr="004448B4">
        <w:rPr>
          <w:rFonts w:cstheme="minorHAnsi"/>
          <w:color w:val="000000"/>
        </w:rPr>
        <w:t>trade unionists</w:t>
      </w:r>
      <w:r w:rsidR="00D74B1E">
        <w:rPr>
          <w:rFonts w:cstheme="minorHAnsi"/>
          <w:color w:val="000000"/>
        </w:rPr>
        <w:t xml:space="preserve"> as human rights defenders</w:t>
      </w:r>
      <w:r w:rsidR="009C7730" w:rsidRPr="004448B4">
        <w:rPr>
          <w:rFonts w:cstheme="minorHAnsi"/>
          <w:color w:val="000000"/>
        </w:rPr>
        <w:t xml:space="preserve"> </w:t>
      </w:r>
      <w:r w:rsidR="00D74B1E">
        <w:rPr>
          <w:rFonts w:cstheme="minorHAnsi"/>
          <w:color w:val="000000"/>
        </w:rPr>
        <w:t xml:space="preserve">and an acknowledgement that trade unions are an </w:t>
      </w:r>
      <w:r w:rsidR="009C7730" w:rsidRPr="004448B4">
        <w:rPr>
          <w:rFonts w:cstheme="minorHAnsi"/>
          <w:color w:val="000000"/>
        </w:rPr>
        <w:t>integral part of human</w:t>
      </w:r>
      <w:r w:rsidR="00D74B1E">
        <w:rPr>
          <w:rFonts w:cstheme="minorHAnsi"/>
          <w:color w:val="000000"/>
        </w:rPr>
        <w:t xml:space="preserve"> rights due diligence processes</w:t>
      </w:r>
      <w:r w:rsidR="009C7730" w:rsidRPr="004448B4">
        <w:rPr>
          <w:rFonts w:cstheme="minorHAnsi"/>
          <w:color w:val="000000"/>
        </w:rPr>
        <w:t xml:space="preserve">.  </w:t>
      </w:r>
    </w:p>
    <w:p w:rsidR="009C7730" w:rsidRPr="004448B4" w:rsidRDefault="009C7730" w:rsidP="009C7730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9C7730" w:rsidRDefault="009C7730" w:rsidP="009C7730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448B4">
        <w:rPr>
          <w:rFonts w:cstheme="minorHAnsi"/>
          <w:color w:val="000000"/>
        </w:rPr>
        <w:t xml:space="preserve">While we welcome the expanded scope of human rights protected under the Legally Binding Instrument, it is essential that respect for </w:t>
      </w:r>
      <w:r w:rsidRPr="004448B4">
        <w:rPr>
          <w:rFonts w:cstheme="minorHAnsi"/>
          <w:i/>
          <w:color w:val="000000"/>
        </w:rPr>
        <w:t>fundamental principles and rights at work</w:t>
      </w:r>
      <w:r w:rsidRPr="004448B4">
        <w:rPr>
          <w:rFonts w:cstheme="minorHAnsi"/>
          <w:color w:val="000000"/>
        </w:rPr>
        <w:t xml:space="preserve"> is divorced from the requirement to ratify Core ILO Conventions. </w:t>
      </w:r>
    </w:p>
    <w:p w:rsidR="00EF1CB4" w:rsidRPr="004448B4" w:rsidRDefault="00EF1CB4" w:rsidP="009C7730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9C7730" w:rsidRDefault="009C7730" w:rsidP="009C7730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48B4">
        <w:rPr>
          <w:rFonts w:cstheme="minorHAnsi"/>
          <w:color w:val="000000"/>
        </w:rPr>
        <w:t xml:space="preserve">The second revised draft also limits the avenues for redress in a victim’s home state, which would inevitably hinder the options of returning migrant workers. Finally, the international enforcement mechanisms of the Legally Binding Instrument continue to fall </w:t>
      </w:r>
      <w:r w:rsidRPr="004448B4">
        <w:rPr>
          <w:rFonts w:cstheme="minorHAnsi"/>
        </w:rPr>
        <w:t>below our expectations. We reiterate our call for a complementary international mechanism to oversee compliance.</w:t>
      </w:r>
    </w:p>
    <w:p w:rsidR="00D74B1E" w:rsidRDefault="00D74B1E" w:rsidP="009C7730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E0770" w:rsidRDefault="00CE0770" w:rsidP="009C7730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Cha</w:t>
      </w:r>
      <w:r w:rsidR="00E24E35">
        <w:rPr>
          <w:rFonts w:cstheme="minorHAnsi"/>
        </w:rPr>
        <w:t>i</w:t>
      </w:r>
      <w:r>
        <w:rPr>
          <w:rFonts w:cstheme="minorHAnsi"/>
        </w:rPr>
        <w:t>rperson,</w:t>
      </w:r>
    </w:p>
    <w:p w:rsidR="00CE0770" w:rsidRDefault="00CE0770" w:rsidP="009C7730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5119B" w:rsidRDefault="00D74B1E" w:rsidP="00E24E35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We will expand on these and other points in the </w:t>
      </w:r>
      <w:r w:rsidR="00E24E35">
        <w:rPr>
          <w:rFonts w:cstheme="minorHAnsi"/>
        </w:rPr>
        <w:t>coming hours and days</w:t>
      </w:r>
      <w:r>
        <w:rPr>
          <w:rFonts w:cstheme="minorHAnsi"/>
        </w:rPr>
        <w:t>.</w:t>
      </w:r>
      <w:r w:rsidR="00CE0770">
        <w:rPr>
          <w:rFonts w:cstheme="minorHAnsi"/>
        </w:rPr>
        <w:t xml:space="preserve"> </w:t>
      </w:r>
      <w:r w:rsidR="0075119B">
        <w:rPr>
          <w:rFonts w:cstheme="minorHAnsi"/>
        </w:rPr>
        <w:t>Our full position paper is also available on the ITUC website.</w:t>
      </w:r>
    </w:p>
    <w:p w:rsidR="0075119B" w:rsidRDefault="0075119B" w:rsidP="00E24E35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24E35" w:rsidRPr="004448B4" w:rsidRDefault="0075119B" w:rsidP="00E24E35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</w:rPr>
        <w:t>In closing, o</w:t>
      </w:r>
      <w:r w:rsidR="00CE0770">
        <w:rPr>
          <w:rFonts w:cstheme="minorHAnsi"/>
        </w:rPr>
        <w:t xml:space="preserve">n behalf of the global trade union movement, </w:t>
      </w:r>
      <w:r w:rsidR="00E24E35">
        <w:rPr>
          <w:rFonts w:cstheme="minorHAnsi"/>
        </w:rPr>
        <w:t>I wish you good luck and every success for this 6</w:t>
      </w:r>
      <w:r w:rsidR="00E24E35" w:rsidRPr="00E24E35">
        <w:rPr>
          <w:rFonts w:cstheme="minorHAnsi"/>
          <w:vertAlign w:val="superscript"/>
        </w:rPr>
        <w:t>th</w:t>
      </w:r>
      <w:r w:rsidR="00E24E35">
        <w:rPr>
          <w:rFonts w:cstheme="minorHAnsi"/>
        </w:rPr>
        <w:t xml:space="preserve"> session.  </w:t>
      </w:r>
    </w:p>
    <w:p w:rsidR="009C7730" w:rsidRPr="004448B4" w:rsidRDefault="009C7730" w:rsidP="009C7730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3177B" w:rsidRDefault="00D3177B" w:rsidP="009C77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3177B" w:rsidRDefault="00D3177B" w:rsidP="009C77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Thank you. </w:t>
      </w:r>
    </w:p>
    <w:p w:rsidR="009C7730" w:rsidRDefault="009C7730" w:rsidP="006E38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013F2" w:rsidRDefault="006013F2">
      <w:bookmarkStart w:id="0" w:name="_GoBack"/>
      <w:bookmarkEnd w:id="0"/>
    </w:p>
    <w:sectPr w:rsidR="006013F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880" w:rsidRDefault="00D953DF">
      <w:pPr>
        <w:spacing w:after="0" w:line="240" w:lineRule="auto"/>
      </w:pPr>
      <w:r>
        <w:separator/>
      </w:r>
    </w:p>
  </w:endnote>
  <w:endnote w:type="continuationSeparator" w:id="0">
    <w:p w:rsidR="00E17880" w:rsidRDefault="00D9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003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2004" w:rsidRDefault="00A720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7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004" w:rsidRDefault="00A72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880" w:rsidRDefault="00D953DF">
      <w:pPr>
        <w:spacing w:after="0" w:line="240" w:lineRule="auto"/>
      </w:pPr>
      <w:r>
        <w:separator/>
      </w:r>
    </w:p>
  </w:footnote>
  <w:footnote w:type="continuationSeparator" w:id="0">
    <w:p w:rsidR="00E17880" w:rsidRDefault="00D95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52CF"/>
    <w:multiLevelType w:val="hybridMultilevel"/>
    <w:tmpl w:val="133E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15D2C"/>
    <w:multiLevelType w:val="hybridMultilevel"/>
    <w:tmpl w:val="623A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A0153"/>
    <w:multiLevelType w:val="hybridMultilevel"/>
    <w:tmpl w:val="00F873B2"/>
    <w:lvl w:ilvl="0" w:tplc="DBA6F8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60958"/>
    <w:multiLevelType w:val="hybridMultilevel"/>
    <w:tmpl w:val="6ACC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00"/>
    <w:rsid w:val="00111AC0"/>
    <w:rsid w:val="00343C25"/>
    <w:rsid w:val="00396DA8"/>
    <w:rsid w:val="003F373A"/>
    <w:rsid w:val="00542EAF"/>
    <w:rsid w:val="00563121"/>
    <w:rsid w:val="005901CA"/>
    <w:rsid w:val="006013F2"/>
    <w:rsid w:val="00626EC4"/>
    <w:rsid w:val="00635215"/>
    <w:rsid w:val="00685E1D"/>
    <w:rsid w:val="006D2340"/>
    <w:rsid w:val="006D3E49"/>
    <w:rsid w:val="006E3808"/>
    <w:rsid w:val="0075119B"/>
    <w:rsid w:val="007C341F"/>
    <w:rsid w:val="007F056E"/>
    <w:rsid w:val="008730CD"/>
    <w:rsid w:val="008A6500"/>
    <w:rsid w:val="009062AE"/>
    <w:rsid w:val="00940F7C"/>
    <w:rsid w:val="009C7730"/>
    <w:rsid w:val="00A72004"/>
    <w:rsid w:val="00A81442"/>
    <w:rsid w:val="00AF7B92"/>
    <w:rsid w:val="00BB6636"/>
    <w:rsid w:val="00CA1678"/>
    <w:rsid w:val="00CA5E76"/>
    <w:rsid w:val="00CE0770"/>
    <w:rsid w:val="00D3177B"/>
    <w:rsid w:val="00D74B1E"/>
    <w:rsid w:val="00D953DF"/>
    <w:rsid w:val="00E17880"/>
    <w:rsid w:val="00E24E35"/>
    <w:rsid w:val="00E74157"/>
    <w:rsid w:val="00EF1CB4"/>
    <w:rsid w:val="00F1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BB90"/>
  <w15:chartTrackingRefBased/>
  <w15:docId w15:val="{E412B7D7-8DC0-42B1-B21D-FC5C4F1A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65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650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A6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25444-05A0-4C07-A45A-50FA4B638C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CDC8AC-8A06-4E92-A9CC-AA56DD96B84F}"/>
</file>

<file path=customXml/itemProps3.xml><?xml version="1.0" encoding="utf-8"?>
<ds:datastoreItem xmlns:ds="http://schemas.openxmlformats.org/officeDocument/2006/customXml" ds:itemID="{990002B1-DF35-4662-8212-3A584E732A4B}"/>
</file>

<file path=customXml/itemProps4.xml><?xml version="1.0" encoding="utf-8"?>
<ds:datastoreItem xmlns:ds="http://schemas.openxmlformats.org/officeDocument/2006/customXml" ds:itemID="{D5DDA9BB-1EEA-41B0-A0E6-C8EEBB8E07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OCIT Cloud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Ruwan Subasinghe</dc:creator>
  <cp:keywords/>
  <dc:description/>
  <cp:lastModifiedBy>Ruwan Subasinghe</cp:lastModifiedBy>
  <cp:revision>3</cp:revision>
  <dcterms:created xsi:type="dcterms:W3CDTF">2020-10-23T21:52:00Z</dcterms:created>
  <dcterms:modified xsi:type="dcterms:W3CDTF">2020-10-23T23:09:00Z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