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F897B" w14:textId="0BED0D3C" w:rsidR="00BE224B" w:rsidRPr="00BE224B" w:rsidRDefault="00BE224B" w:rsidP="00BE224B">
      <w:pPr>
        <w:rPr>
          <w:rFonts w:asciiTheme="majorHAnsi" w:hAnsiTheme="majorHAnsi" w:cstheme="majorHAnsi"/>
          <w:b/>
          <w:bCs/>
        </w:rPr>
      </w:pPr>
      <w:r w:rsidRPr="00BE224B">
        <w:rPr>
          <w:rFonts w:asciiTheme="majorHAnsi" w:hAnsiTheme="majorHAnsi" w:cstheme="majorHAnsi"/>
          <w:b/>
          <w:bCs/>
        </w:rPr>
        <w:t>NGO Statement for the Sixth Session of the Open-ended intergovernmental working group for the elaboration of an International Legally Binding Instrument on Transnational Corporations and other Business Enterprises with respect to human rights, Resolution A/HRC/26/9 - 26 to 30 October 2020</w:t>
      </w:r>
    </w:p>
    <w:p w14:paraId="3FBD9D3A" w14:textId="77777777" w:rsidR="00BE224B" w:rsidRDefault="00BE224B" w:rsidP="001624ED">
      <w:pPr>
        <w:rPr>
          <w:rFonts w:asciiTheme="majorHAnsi" w:hAnsiTheme="majorHAnsi" w:cstheme="majorHAnsi"/>
        </w:rPr>
      </w:pPr>
    </w:p>
    <w:p w14:paraId="07EACA44" w14:textId="2229FC37" w:rsidR="001624ED" w:rsidRPr="008720AB" w:rsidRDefault="001624ED" w:rsidP="001624ED">
      <w:pPr>
        <w:rPr>
          <w:rFonts w:asciiTheme="majorHAnsi" w:hAnsiTheme="majorHAnsi" w:cstheme="majorHAnsi"/>
        </w:rPr>
      </w:pPr>
      <w:r w:rsidRPr="008720AB">
        <w:rPr>
          <w:rFonts w:asciiTheme="majorHAnsi" w:hAnsiTheme="majorHAnsi" w:cstheme="majorHAnsi"/>
        </w:rPr>
        <w:t xml:space="preserve">Thank you, Chair.  </w:t>
      </w:r>
    </w:p>
    <w:p w14:paraId="10C88261" w14:textId="68BEA336" w:rsidR="008D2201" w:rsidRDefault="003F0792" w:rsidP="001624ED">
      <w:pPr>
        <w:rPr>
          <w:rFonts w:asciiTheme="majorHAnsi" w:hAnsiTheme="majorHAnsi" w:cstheme="majorHAnsi"/>
        </w:rPr>
      </w:pPr>
      <w:r w:rsidRPr="008720AB">
        <w:rPr>
          <w:rFonts w:asciiTheme="majorHAnsi" w:hAnsiTheme="majorHAnsi" w:cstheme="majorHAnsi"/>
        </w:rPr>
        <w:t xml:space="preserve">This </w:t>
      </w:r>
      <w:r w:rsidR="001624ED" w:rsidRPr="008720AB">
        <w:rPr>
          <w:rFonts w:asciiTheme="majorHAnsi" w:hAnsiTheme="majorHAnsi" w:cstheme="majorHAnsi"/>
        </w:rPr>
        <w:t xml:space="preserve">statement </w:t>
      </w:r>
      <w:r w:rsidRPr="008720AB">
        <w:rPr>
          <w:rFonts w:asciiTheme="majorHAnsi" w:hAnsiTheme="majorHAnsi" w:cstheme="majorHAnsi"/>
        </w:rPr>
        <w:t xml:space="preserve">is </w:t>
      </w:r>
      <w:r w:rsidR="001624ED" w:rsidRPr="008720AB">
        <w:rPr>
          <w:rFonts w:asciiTheme="majorHAnsi" w:hAnsiTheme="majorHAnsi" w:cstheme="majorHAnsi"/>
        </w:rPr>
        <w:t>on behalf of the Mind the Gap consortium, a group of 11 NGOs exposing harmful corporate strategies that result in the avoidance of resp</w:t>
      </w:r>
      <w:bookmarkStart w:id="0" w:name="_GoBack"/>
      <w:bookmarkEnd w:id="0"/>
      <w:r w:rsidR="001624ED" w:rsidRPr="008720AB">
        <w:rPr>
          <w:rFonts w:asciiTheme="majorHAnsi" w:hAnsiTheme="majorHAnsi" w:cstheme="majorHAnsi"/>
        </w:rPr>
        <w:t xml:space="preserve">onsibility for human rights or environmental impacts. </w:t>
      </w:r>
      <w:r w:rsidR="00D55002">
        <w:rPr>
          <w:rFonts w:asciiTheme="majorHAnsi" w:hAnsiTheme="majorHAnsi" w:cstheme="majorHAnsi"/>
        </w:rPr>
        <w:t xml:space="preserve">Our </w:t>
      </w:r>
      <w:r w:rsidR="009F2FB1">
        <w:rPr>
          <w:rFonts w:asciiTheme="majorHAnsi" w:hAnsiTheme="majorHAnsi" w:cstheme="majorHAnsi"/>
        </w:rPr>
        <w:t>multi-jurisdictional research</w:t>
      </w:r>
      <w:r w:rsidR="00D55002">
        <w:rPr>
          <w:rFonts w:asciiTheme="majorHAnsi" w:hAnsiTheme="majorHAnsi" w:cstheme="majorHAnsi"/>
        </w:rPr>
        <w:t xml:space="preserve"> </w:t>
      </w:r>
      <w:r w:rsidR="008D2201" w:rsidRPr="008D2201">
        <w:rPr>
          <w:rFonts w:asciiTheme="majorHAnsi" w:hAnsiTheme="majorHAnsi" w:cstheme="majorHAnsi"/>
        </w:rPr>
        <w:t xml:space="preserve">has found that </w:t>
      </w:r>
      <w:r w:rsidR="008D2201">
        <w:rPr>
          <w:rFonts w:asciiTheme="majorHAnsi" w:hAnsiTheme="majorHAnsi" w:cstheme="majorHAnsi"/>
        </w:rPr>
        <w:t>c</w:t>
      </w:r>
      <w:r w:rsidR="008D2201" w:rsidRPr="008D2201">
        <w:rPr>
          <w:rFonts w:asciiTheme="majorHAnsi" w:hAnsiTheme="majorHAnsi" w:cstheme="majorHAnsi"/>
        </w:rPr>
        <w:t xml:space="preserve">orporations will routinely devote a lot of time and legal resources to insist that a case be moved to a jurisdiction with a weaker rule of law, lower human </w:t>
      </w:r>
      <w:r w:rsidR="008D2201" w:rsidRPr="0047071D">
        <w:rPr>
          <w:rFonts w:asciiTheme="majorHAnsi" w:hAnsiTheme="majorHAnsi" w:cstheme="majorHAnsi"/>
        </w:rPr>
        <w:t>rights standards</w:t>
      </w:r>
      <w:r w:rsidR="009F2FB1" w:rsidRPr="0047071D">
        <w:rPr>
          <w:rFonts w:asciiTheme="majorHAnsi" w:hAnsiTheme="majorHAnsi" w:cstheme="majorHAnsi"/>
        </w:rPr>
        <w:t xml:space="preserve">, and </w:t>
      </w:r>
      <w:r w:rsidR="0047071D" w:rsidRPr="00702F38">
        <w:rPr>
          <w:rFonts w:asciiTheme="majorHAnsi" w:hAnsiTheme="majorHAnsi" w:cstheme="majorHAnsi"/>
        </w:rPr>
        <w:t xml:space="preserve">a higher likelihood of a court determining it does not have jurisdiction to hear the case, leaving </w:t>
      </w:r>
      <w:r w:rsidR="009F2FB1" w:rsidRPr="0047071D">
        <w:rPr>
          <w:rFonts w:asciiTheme="majorHAnsi" w:hAnsiTheme="majorHAnsi" w:cstheme="majorHAnsi"/>
        </w:rPr>
        <w:t xml:space="preserve">affected rights-holders </w:t>
      </w:r>
      <w:r w:rsidR="0047071D" w:rsidRPr="00702F38">
        <w:rPr>
          <w:rFonts w:asciiTheme="majorHAnsi" w:hAnsiTheme="majorHAnsi" w:cstheme="majorHAnsi"/>
        </w:rPr>
        <w:t>without</w:t>
      </w:r>
      <w:r w:rsidR="009F2FB1" w:rsidRPr="0047071D">
        <w:rPr>
          <w:rFonts w:asciiTheme="majorHAnsi" w:hAnsiTheme="majorHAnsi" w:cstheme="majorHAnsi"/>
        </w:rPr>
        <w:t xml:space="preserve"> access to remedy</w:t>
      </w:r>
      <w:r w:rsidR="008D2201" w:rsidRPr="0047071D">
        <w:rPr>
          <w:rFonts w:asciiTheme="majorHAnsi" w:hAnsiTheme="majorHAnsi" w:cstheme="majorHAnsi"/>
        </w:rPr>
        <w:t>.</w:t>
      </w:r>
    </w:p>
    <w:p w14:paraId="555E3BEA" w14:textId="65F942AA" w:rsidR="001624ED" w:rsidRPr="008720AB" w:rsidRDefault="001624ED" w:rsidP="001624ED">
      <w:pPr>
        <w:rPr>
          <w:rFonts w:asciiTheme="majorHAnsi" w:hAnsiTheme="majorHAnsi" w:cstheme="majorHAnsi"/>
          <w:b/>
          <w:lang w:val="en-US"/>
        </w:rPr>
      </w:pPr>
      <w:r w:rsidRPr="008720AB">
        <w:rPr>
          <w:rFonts w:asciiTheme="majorHAnsi" w:hAnsiTheme="majorHAnsi" w:cstheme="majorHAnsi"/>
        </w:rPr>
        <w:t xml:space="preserve">We welcome the direction in which the draft text has evolved on Article 9 regarding </w:t>
      </w:r>
      <w:r w:rsidRPr="008720AB">
        <w:rPr>
          <w:rFonts w:asciiTheme="majorHAnsi" w:hAnsiTheme="majorHAnsi" w:cstheme="majorHAnsi"/>
          <w:b/>
          <w:lang w:val="en-US"/>
        </w:rPr>
        <w:t>Forum necessitates</w:t>
      </w:r>
      <w:r w:rsidR="00AE7779" w:rsidRPr="008720AB">
        <w:rPr>
          <w:rFonts w:asciiTheme="majorHAnsi" w:hAnsiTheme="majorHAnsi" w:cstheme="majorHAnsi"/>
          <w:b/>
          <w:lang w:val="en-US"/>
        </w:rPr>
        <w:t>, and urge the preservation of sections of 9</w:t>
      </w:r>
      <w:r w:rsidR="008D2201">
        <w:rPr>
          <w:rFonts w:asciiTheme="majorHAnsi" w:hAnsiTheme="majorHAnsi" w:cstheme="majorHAnsi"/>
          <w:b/>
          <w:lang w:val="en-US"/>
        </w:rPr>
        <w:t xml:space="preserve"> </w:t>
      </w:r>
      <w:r w:rsidR="00AE7779" w:rsidRPr="008720AB">
        <w:rPr>
          <w:rFonts w:asciiTheme="majorHAnsi" w:hAnsiTheme="majorHAnsi" w:cstheme="majorHAnsi"/>
          <w:b/>
          <w:lang w:val="en-US"/>
        </w:rPr>
        <w:t>(4) and 9</w:t>
      </w:r>
      <w:r w:rsidR="00ED234D">
        <w:rPr>
          <w:rFonts w:asciiTheme="majorHAnsi" w:hAnsiTheme="majorHAnsi" w:cstheme="majorHAnsi"/>
          <w:b/>
          <w:lang w:val="en-US"/>
        </w:rPr>
        <w:t xml:space="preserve"> </w:t>
      </w:r>
      <w:r w:rsidR="00AE7779" w:rsidRPr="008720AB">
        <w:rPr>
          <w:rFonts w:asciiTheme="majorHAnsi" w:hAnsiTheme="majorHAnsi" w:cstheme="majorHAnsi"/>
          <w:b/>
          <w:lang w:val="en-US"/>
        </w:rPr>
        <w:t xml:space="preserve">(5). </w:t>
      </w:r>
    </w:p>
    <w:p w14:paraId="1B2D561A" w14:textId="1A0B5264" w:rsidR="00960BCD" w:rsidRPr="008720AB" w:rsidRDefault="00AE7779" w:rsidP="001624ED">
      <w:pPr>
        <w:rPr>
          <w:rFonts w:asciiTheme="majorHAnsi" w:hAnsiTheme="majorHAnsi" w:cstheme="majorHAnsi"/>
          <w:i/>
          <w:lang w:val="en-US"/>
        </w:rPr>
      </w:pPr>
      <w:r w:rsidRPr="008720AB">
        <w:rPr>
          <w:rFonts w:asciiTheme="majorHAnsi" w:hAnsiTheme="majorHAnsi" w:cstheme="majorHAnsi"/>
          <w:i/>
          <w:lang w:val="en-US"/>
        </w:rPr>
        <w:t xml:space="preserve">Under </w:t>
      </w:r>
      <w:r w:rsidR="00960BCD" w:rsidRPr="008720AB">
        <w:rPr>
          <w:rFonts w:asciiTheme="majorHAnsi" w:hAnsiTheme="majorHAnsi" w:cstheme="majorHAnsi"/>
          <w:i/>
          <w:lang w:val="en-US"/>
        </w:rPr>
        <w:t>Art 9 (4)</w:t>
      </w:r>
      <w:r w:rsidR="003F0792" w:rsidRPr="008720AB">
        <w:rPr>
          <w:rFonts w:asciiTheme="majorHAnsi" w:hAnsiTheme="majorHAnsi" w:cstheme="majorHAnsi"/>
          <w:i/>
          <w:lang w:val="en-US"/>
        </w:rPr>
        <w:t>:</w:t>
      </w:r>
      <w:r w:rsidR="00960BCD" w:rsidRPr="008720AB">
        <w:rPr>
          <w:rFonts w:asciiTheme="majorHAnsi" w:hAnsiTheme="majorHAnsi" w:cstheme="majorHAnsi"/>
          <w:i/>
          <w:lang w:val="en-US"/>
        </w:rPr>
        <w:t xml:space="preserve"> </w:t>
      </w:r>
      <w:r w:rsidRPr="008720AB">
        <w:rPr>
          <w:rFonts w:asciiTheme="majorHAnsi" w:hAnsiTheme="majorHAnsi" w:cstheme="majorHAnsi"/>
          <w:i/>
          <w:lang w:val="en-US"/>
        </w:rPr>
        <w:t>“</w:t>
      </w:r>
      <w:r w:rsidR="00A243A6" w:rsidRPr="008720AB">
        <w:rPr>
          <w:rFonts w:asciiTheme="majorHAnsi" w:hAnsiTheme="majorHAnsi" w:cstheme="majorHAnsi"/>
          <w:i/>
          <w:lang w:val="en-US"/>
        </w:rPr>
        <w:t>Courts shall have jurisdiction over claims against legal or natural persons not domiciled in the territory of the forum State, if the claim is closely connected with a claim against a legal or natural person domiciled in the territory of the forum State</w:t>
      </w:r>
      <w:r w:rsidRPr="008720AB">
        <w:rPr>
          <w:rFonts w:asciiTheme="majorHAnsi" w:hAnsiTheme="majorHAnsi" w:cstheme="majorHAnsi"/>
          <w:i/>
          <w:lang w:val="en-US"/>
        </w:rPr>
        <w:t>”</w:t>
      </w:r>
    </w:p>
    <w:p w14:paraId="354CF1F9" w14:textId="77777777" w:rsidR="00960BCD" w:rsidRPr="008720AB" w:rsidRDefault="00960BCD" w:rsidP="00960BCD">
      <w:pPr>
        <w:rPr>
          <w:rFonts w:asciiTheme="majorHAnsi" w:hAnsiTheme="majorHAnsi" w:cstheme="majorHAnsi"/>
        </w:rPr>
      </w:pPr>
      <w:r w:rsidRPr="008720AB">
        <w:rPr>
          <w:rFonts w:asciiTheme="majorHAnsi" w:hAnsiTheme="majorHAnsi" w:cstheme="majorHAnsi"/>
        </w:rPr>
        <w:t>In the context of these negotiations, some states have suggested this</w:t>
      </w:r>
      <w:r w:rsidR="0085730E" w:rsidRPr="008720AB">
        <w:rPr>
          <w:rFonts w:asciiTheme="majorHAnsi" w:hAnsiTheme="majorHAnsi" w:cstheme="majorHAnsi"/>
        </w:rPr>
        <w:t xml:space="preserve"> section</w:t>
      </w:r>
      <w:r w:rsidRPr="008720AB">
        <w:rPr>
          <w:rFonts w:asciiTheme="majorHAnsi" w:hAnsiTheme="majorHAnsi" w:cstheme="majorHAnsi"/>
        </w:rPr>
        <w:t xml:space="preserve"> risks undermining state sovereignty and increases the likelihood of parallel proceedings.</w:t>
      </w:r>
    </w:p>
    <w:p w14:paraId="63EB9EB8" w14:textId="77777777" w:rsidR="00960BCD" w:rsidRPr="008720AB" w:rsidRDefault="00960BCD" w:rsidP="001624ED">
      <w:pPr>
        <w:rPr>
          <w:rFonts w:asciiTheme="majorHAnsi" w:hAnsiTheme="majorHAnsi" w:cstheme="majorHAnsi"/>
        </w:rPr>
      </w:pPr>
      <w:r w:rsidRPr="008720AB">
        <w:rPr>
          <w:rFonts w:asciiTheme="majorHAnsi" w:hAnsiTheme="majorHAnsi" w:cstheme="majorHAnsi"/>
        </w:rPr>
        <w:t xml:space="preserve"> However:</w:t>
      </w:r>
    </w:p>
    <w:p w14:paraId="43B6E769" w14:textId="73792564" w:rsidR="00AE7779" w:rsidRPr="00702F38" w:rsidRDefault="00960BCD" w:rsidP="00AE777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lang w:val="en-US"/>
        </w:rPr>
      </w:pPr>
      <w:r w:rsidRPr="00702F38">
        <w:rPr>
          <w:rFonts w:asciiTheme="majorHAnsi" w:hAnsiTheme="majorHAnsi" w:cstheme="majorHAnsi"/>
          <w:lang w:val="en-US"/>
        </w:rPr>
        <w:t>I</w:t>
      </w:r>
      <w:r w:rsidR="00AE7779" w:rsidRPr="00702F38">
        <w:rPr>
          <w:rFonts w:asciiTheme="majorHAnsi" w:hAnsiTheme="majorHAnsi" w:cstheme="majorHAnsi"/>
          <w:lang w:val="en-US"/>
        </w:rPr>
        <w:t>t</w:t>
      </w:r>
      <w:r w:rsidR="006D3C7E">
        <w:rPr>
          <w:rFonts w:asciiTheme="majorHAnsi" w:hAnsiTheme="majorHAnsi" w:cstheme="majorHAnsi"/>
          <w:lang w:val="en-US"/>
        </w:rPr>
        <w:t xml:space="preserve"> will create the conditions for avoiding parallel proceedings as it </w:t>
      </w:r>
      <w:r w:rsidRPr="006D3C7E">
        <w:rPr>
          <w:rFonts w:asciiTheme="majorHAnsi" w:hAnsiTheme="majorHAnsi" w:cstheme="majorHAnsi"/>
        </w:rPr>
        <w:t>allow</w:t>
      </w:r>
      <w:r w:rsidR="00AE7779" w:rsidRPr="006D3C7E">
        <w:rPr>
          <w:rFonts w:asciiTheme="majorHAnsi" w:hAnsiTheme="majorHAnsi" w:cstheme="majorHAnsi"/>
        </w:rPr>
        <w:t>s</w:t>
      </w:r>
      <w:r w:rsidRPr="008720AB">
        <w:rPr>
          <w:rFonts w:asciiTheme="majorHAnsi" w:hAnsiTheme="majorHAnsi" w:cstheme="majorHAnsi"/>
        </w:rPr>
        <w:t xml:space="preserve"> claimants to </w:t>
      </w:r>
      <w:r w:rsidR="00A243A6" w:rsidRPr="008720AB">
        <w:rPr>
          <w:rFonts w:asciiTheme="majorHAnsi" w:hAnsiTheme="majorHAnsi" w:cstheme="majorHAnsi"/>
        </w:rPr>
        <w:t>sue</w:t>
      </w:r>
      <w:r w:rsidRPr="008720AB">
        <w:rPr>
          <w:rFonts w:asciiTheme="majorHAnsi" w:hAnsiTheme="majorHAnsi" w:cstheme="majorHAnsi"/>
        </w:rPr>
        <w:t xml:space="preserve"> a parent company and its subsidiary in the same proceedings and jurisdiction. </w:t>
      </w:r>
    </w:p>
    <w:p w14:paraId="32AC5492" w14:textId="065D4DE1" w:rsidR="00876F61" w:rsidRPr="00876F61" w:rsidRDefault="00876F61" w:rsidP="00876F6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lang w:val="en-US"/>
        </w:rPr>
      </w:pPr>
      <w:r w:rsidRPr="00702F38">
        <w:rPr>
          <w:rFonts w:asciiTheme="majorHAnsi" w:hAnsiTheme="majorHAnsi" w:cstheme="majorHAnsi"/>
          <w:lang w:val="en-US"/>
        </w:rPr>
        <w:t>Furthermore</w:t>
      </w:r>
      <w:r w:rsidR="0047071D">
        <w:rPr>
          <w:rFonts w:asciiTheme="majorHAnsi" w:hAnsiTheme="majorHAnsi" w:cstheme="majorHAnsi"/>
          <w:lang w:val="en-US"/>
        </w:rPr>
        <w:t>,</w:t>
      </w:r>
      <w:r w:rsidRPr="00702F38">
        <w:rPr>
          <w:rFonts w:asciiTheme="majorHAnsi" w:hAnsiTheme="majorHAnsi" w:cstheme="majorHAnsi"/>
          <w:lang w:val="en-US"/>
        </w:rPr>
        <w:t xml:space="preserve"> this not a legal novelty; this section is in line with EU legal developments as it recalls</w:t>
      </w:r>
      <w:r w:rsidR="00E27330">
        <w:rPr>
          <w:rFonts w:asciiTheme="majorHAnsi" w:hAnsiTheme="majorHAnsi" w:cstheme="majorHAnsi"/>
          <w:lang w:val="en-US"/>
        </w:rPr>
        <w:t xml:space="preserve"> the</w:t>
      </w:r>
      <w:r w:rsidRPr="00702F38">
        <w:rPr>
          <w:rFonts w:asciiTheme="majorHAnsi" w:hAnsiTheme="majorHAnsi" w:cstheme="majorHAnsi"/>
          <w:lang w:val="en-US"/>
        </w:rPr>
        <w:t xml:space="preserve"> </w:t>
      </w:r>
      <w:r w:rsidR="00E27330">
        <w:rPr>
          <w:rFonts w:asciiTheme="majorHAnsi" w:hAnsiTheme="majorHAnsi" w:cstheme="majorHAnsi"/>
          <w:lang w:val="en-US"/>
        </w:rPr>
        <w:t xml:space="preserve">Recast </w:t>
      </w:r>
      <w:r w:rsidR="00525B86" w:rsidRPr="00525B86">
        <w:rPr>
          <w:rFonts w:asciiTheme="majorHAnsi" w:hAnsiTheme="majorHAnsi" w:cstheme="majorHAnsi"/>
          <w:lang w:val="en-US"/>
        </w:rPr>
        <w:t>Brussels Regulation</w:t>
      </w:r>
      <w:r w:rsidRPr="00876F61">
        <w:rPr>
          <w:rFonts w:asciiTheme="majorHAnsi" w:hAnsiTheme="majorHAnsi" w:cstheme="majorHAnsi"/>
          <w:lang w:val="en-US"/>
        </w:rPr>
        <w:t xml:space="preserve">, </w:t>
      </w:r>
      <w:r w:rsidRPr="00702F38">
        <w:rPr>
          <w:rFonts w:asciiTheme="majorHAnsi" w:hAnsiTheme="majorHAnsi" w:cstheme="majorHAnsi"/>
          <w:lang w:val="en-US"/>
        </w:rPr>
        <w:t>which confers a right on claimant</w:t>
      </w:r>
      <w:r w:rsidR="00E27330">
        <w:rPr>
          <w:rFonts w:asciiTheme="majorHAnsi" w:hAnsiTheme="majorHAnsi" w:cstheme="majorHAnsi"/>
          <w:lang w:val="en-US"/>
        </w:rPr>
        <w:t>s</w:t>
      </w:r>
      <w:r w:rsidRPr="00702F38">
        <w:rPr>
          <w:rFonts w:asciiTheme="majorHAnsi" w:hAnsiTheme="majorHAnsi" w:cstheme="majorHAnsi"/>
          <w:lang w:val="en-US"/>
        </w:rPr>
        <w:t xml:space="preserve"> to sue an EU domiciled defendant in EU courts</w:t>
      </w:r>
      <w:r>
        <w:rPr>
          <w:rFonts w:asciiTheme="majorHAnsi" w:hAnsiTheme="majorHAnsi" w:cstheme="majorHAnsi"/>
          <w:lang w:val="en-US"/>
        </w:rPr>
        <w:t>.</w:t>
      </w:r>
    </w:p>
    <w:p w14:paraId="3BF096B7" w14:textId="3A31D0F8" w:rsidR="00BA5538" w:rsidRPr="008720AB" w:rsidRDefault="008F4D82" w:rsidP="008F4D82">
      <w:pPr>
        <w:pStyle w:val="NormalWeb"/>
        <w:spacing w:after="150"/>
        <w:ind w:left="360"/>
        <w:rPr>
          <w:rFonts w:asciiTheme="majorHAnsi" w:hAnsiTheme="majorHAnsi" w:cstheme="majorHAnsi"/>
        </w:rPr>
      </w:pPr>
      <w:r w:rsidRPr="008720AB">
        <w:rPr>
          <w:rFonts w:asciiTheme="majorHAnsi" w:hAnsiTheme="majorHAnsi" w:cstheme="majorHAnsi"/>
          <w:lang w:val="en-US"/>
        </w:rPr>
        <w:t xml:space="preserve">Section 9(4) alone however </w:t>
      </w:r>
      <w:r w:rsidR="00A243A6" w:rsidRPr="008720AB">
        <w:rPr>
          <w:rFonts w:asciiTheme="majorHAnsi" w:hAnsiTheme="majorHAnsi" w:cstheme="majorHAnsi"/>
        </w:rPr>
        <w:t xml:space="preserve">is insufficient </w:t>
      </w:r>
      <w:r w:rsidRPr="008720AB">
        <w:rPr>
          <w:rFonts w:asciiTheme="majorHAnsi" w:hAnsiTheme="majorHAnsi" w:cstheme="majorHAnsi"/>
        </w:rPr>
        <w:t>for ensuring access to remedy for claimants</w:t>
      </w:r>
      <w:r w:rsidR="00BA5538" w:rsidRPr="008720AB">
        <w:rPr>
          <w:rFonts w:asciiTheme="majorHAnsi" w:hAnsiTheme="majorHAnsi" w:cstheme="majorHAnsi"/>
        </w:rPr>
        <w:t>.</w:t>
      </w:r>
      <w:r w:rsidR="00A243A6" w:rsidRPr="008720AB">
        <w:rPr>
          <w:rFonts w:asciiTheme="majorHAnsi" w:hAnsiTheme="majorHAnsi" w:cstheme="majorHAnsi"/>
        </w:rPr>
        <w:t xml:space="preserve"> </w:t>
      </w:r>
      <w:r w:rsidR="00BA5538" w:rsidRPr="008720AB">
        <w:rPr>
          <w:rFonts w:asciiTheme="majorHAnsi" w:hAnsiTheme="majorHAnsi" w:cstheme="majorHAnsi"/>
        </w:rPr>
        <w:t>B</w:t>
      </w:r>
      <w:r w:rsidR="00A243A6" w:rsidRPr="008720AB">
        <w:rPr>
          <w:rFonts w:asciiTheme="majorHAnsi" w:hAnsiTheme="majorHAnsi" w:cstheme="majorHAnsi"/>
        </w:rPr>
        <w:t>usiness activities of a transnational character often engage multiple jurisdictions</w:t>
      </w:r>
      <w:r w:rsidR="00BA5538" w:rsidRPr="008720AB">
        <w:rPr>
          <w:rFonts w:asciiTheme="majorHAnsi" w:hAnsiTheme="majorHAnsi" w:cstheme="majorHAnsi"/>
        </w:rPr>
        <w:t>, and 9(4) does not capture all these connections</w:t>
      </w:r>
    </w:p>
    <w:p w14:paraId="0AAB7C02" w14:textId="51B27B36" w:rsidR="00A243A6" w:rsidRPr="008720AB" w:rsidRDefault="00BA5538" w:rsidP="00702F38">
      <w:r w:rsidRPr="008720AB">
        <w:rPr>
          <w:rFonts w:asciiTheme="majorHAnsi" w:hAnsiTheme="majorHAnsi" w:cstheme="majorHAnsi"/>
        </w:rPr>
        <w:t>I</w:t>
      </w:r>
      <w:r w:rsidR="00A243A6" w:rsidRPr="008720AB">
        <w:rPr>
          <w:rFonts w:asciiTheme="majorHAnsi" w:hAnsiTheme="majorHAnsi" w:cstheme="majorHAnsi"/>
        </w:rPr>
        <w:t xml:space="preserve">n the interests of access to </w:t>
      </w:r>
      <w:r w:rsidRPr="008720AB">
        <w:rPr>
          <w:rFonts w:asciiTheme="majorHAnsi" w:hAnsiTheme="majorHAnsi" w:cstheme="majorHAnsi"/>
        </w:rPr>
        <w:t>remedy</w:t>
      </w:r>
      <w:r w:rsidR="00B55FBE">
        <w:rPr>
          <w:rFonts w:asciiTheme="majorHAnsi" w:hAnsiTheme="majorHAnsi" w:cstheme="majorHAnsi"/>
        </w:rPr>
        <w:t>, w</w:t>
      </w:r>
      <w:proofErr w:type="spellStart"/>
      <w:r w:rsidR="00B55FBE" w:rsidRPr="008720AB">
        <w:rPr>
          <w:rFonts w:asciiTheme="majorHAnsi" w:hAnsiTheme="majorHAnsi" w:cstheme="majorHAnsi"/>
          <w:lang w:val="en-US"/>
        </w:rPr>
        <w:t>e</w:t>
      </w:r>
      <w:proofErr w:type="spellEnd"/>
      <w:r w:rsidR="00B55FBE" w:rsidRPr="008720AB">
        <w:rPr>
          <w:rFonts w:asciiTheme="majorHAnsi" w:hAnsiTheme="majorHAnsi" w:cstheme="majorHAnsi"/>
          <w:lang w:val="en-US"/>
        </w:rPr>
        <w:t xml:space="preserve"> strongly argue in favor of keeping the current </w:t>
      </w:r>
      <w:r w:rsidR="00B55FBE">
        <w:rPr>
          <w:rFonts w:asciiTheme="majorHAnsi" w:hAnsiTheme="majorHAnsi" w:cstheme="majorHAnsi"/>
          <w:lang w:val="en-US"/>
        </w:rPr>
        <w:t xml:space="preserve">wording of </w:t>
      </w:r>
      <w:r w:rsidR="00B55FBE" w:rsidRPr="008720AB">
        <w:rPr>
          <w:rFonts w:asciiTheme="majorHAnsi" w:hAnsiTheme="majorHAnsi" w:cstheme="majorHAnsi"/>
          <w:lang w:val="en-US"/>
        </w:rPr>
        <w:t xml:space="preserve">article </w:t>
      </w:r>
      <w:r w:rsidR="00B55FBE">
        <w:rPr>
          <w:rFonts w:asciiTheme="majorHAnsi" w:hAnsiTheme="majorHAnsi" w:cstheme="majorHAnsi"/>
          <w:lang w:val="en-US"/>
        </w:rPr>
        <w:t xml:space="preserve">9 (5) </w:t>
      </w:r>
      <w:r w:rsidR="00B55FBE" w:rsidRPr="008720AB">
        <w:rPr>
          <w:rFonts w:asciiTheme="majorHAnsi" w:hAnsiTheme="majorHAnsi" w:cstheme="majorHAnsi"/>
          <w:lang w:val="en-US"/>
        </w:rPr>
        <w:t>in the instrument.</w:t>
      </w:r>
    </w:p>
    <w:p w14:paraId="5E56BD88" w14:textId="77777777" w:rsidR="001624ED" w:rsidRPr="008720AB" w:rsidRDefault="001624ED" w:rsidP="001624ED">
      <w:pPr>
        <w:rPr>
          <w:rFonts w:asciiTheme="majorHAnsi" w:hAnsiTheme="majorHAnsi" w:cstheme="majorHAnsi"/>
          <w:i/>
          <w:lang w:val="en-US"/>
        </w:rPr>
      </w:pPr>
      <w:r w:rsidRPr="008720AB">
        <w:rPr>
          <w:rFonts w:asciiTheme="majorHAnsi" w:hAnsiTheme="majorHAnsi" w:cstheme="majorHAnsi"/>
          <w:i/>
          <w:lang w:val="en-US"/>
        </w:rPr>
        <w:t>Art. 9 (5): “Courts shall have jurisdiction over claims against legal or natural persons not domiciled in the territory of the forum State if no other effective forum guaranteeing a fair trial is available and there is a sufficiently close connection to the State Party concerned.”</w:t>
      </w:r>
    </w:p>
    <w:p w14:paraId="06A772DE" w14:textId="77777777" w:rsidR="001624ED" w:rsidRPr="008720AB" w:rsidRDefault="001624ED" w:rsidP="001624E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8720AB">
        <w:rPr>
          <w:rFonts w:asciiTheme="majorHAnsi" w:hAnsiTheme="majorHAnsi" w:cstheme="majorHAnsi"/>
          <w:lang w:val="en-US"/>
        </w:rPr>
        <w:t>This clause is needed to ensure effective access to justice in cases where the justice systems in both the home state and host state are unwilling and/or unable to address the case, but a (sufficiently close) connection can be found to another jurisdiction.</w:t>
      </w:r>
    </w:p>
    <w:p w14:paraId="60EE6F29" w14:textId="77777777" w:rsidR="001624ED" w:rsidRPr="008720AB" w:rsidRDefault="001624ED" w:rsidP="001624E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8720AB">
        <w:rPr>
          <w:rFonts w:asciiTheme="majorHAnsi" w:hAnsiTheme="majorHAnsi" w:cstheme="majorHAnsi"/>
          <w:lang w:val="en-US"/>
        </w:rPr>
        <w:t xml:space="preserve">It will create an obligation for courts of the home state to exercise jurisdiction no matter where the victims are from, making it impossible there to invoke the ‘forum non </w:t>
      </w:r>
      <w:proofErr w:type="spellStart"/>
      <w:r w:rsidRPr="008720AB">
        <w:rPr>
          <w:rFonts w:asciiTheme="majorHAnsi" w:hAnsiTheme="majorHAnsi" w:cstheme="majorHAnsi"/>
          <w:lang w:val="en-US"/>
        </w:rPr>
        <w:t>conveniens</w:t>
      </w:r>
      <w:proofErr w:type="spellEnd"/>
      <w:r w:rsidRPr="008720AB">
        <w:rPr>
          <w:rFonts w:asciiTheme="majorHAnsi" w:hAnsiTheme="majorHAnsi" w:cstheme="majorHAnsi"/>
          <w:lang w:val="en-US"/>
        </w:rPr>
        <w:t xml:space="preserve">’ argument to get a case dismissed. </w:t>
      </w:r>
    </w:p>
    <w:p w14:paraId="362B60CC" w14:textId="77777777" w:rsidR="00B46EAF" w:rsidRPr="008720AB" w:rsidRDefault="00247584" w:rsidP="001624E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8720AB">
        <w:rPr>
          <w:rFonts w:asciiTheme="majorHAnsi" w:hAnsiTheme="majorHAnsi" w:cstheme="majorHAnsi"/>
          <w:lang w:val="en-US"/>
        </w:rPr>
        <w:t xml:space="preserve">Despite the arguments of some states that this is an </w:t>
      </w:r>
      <w:r w:rsidR="00960BCD" w:rsidRPr="008720AB">
        <w:rPr>
          <w:rFonts w:asciiTheme="majorHAnsi" w:hAnsiTheme="majorHAnsi" w:cstheme="majorHAnsi"/>
          <w:lang w:val="en-US"/>
        </w:rPr>
        <w:t>aberration</w:t>
      </w:r>
      <w:r w:rsidRPr="008720AB">
        <w:rPr>
          <w:rFonts w:asciiTheme="majorHAnsi" w:hAnsiTheme="majorHAnsi" w:cstheme="majorHAnsi"/>
          <w:lang w:val="en-US"/>
        </w:rPr>
        <w:t>,</w:t>
      </w:r>
      <w:r w:rsidR="00CB713B" w:rsidRPr="008720AB">
        <w:rPr>
          <w:rFonts w:asciiTheme="majorHAnsi" w:hAnsiTheme="majorHAnsi" w:cstheme="majorHAnsi"/>
          <w:lang w:val="en-US"/>
        </w:rPr>
        <w:t xml:space="preserve"> it is a long established common law principle</w:t>
      </w:r>
      <w:r w:rsidR="00CB713B" w:rsidRPr="008720AB">
        <w:rPr>
          <w:rFonts w:asciiTheme="majorHAnsi" w:hAnsiTheme="majorHAnsi" w:cstheme="majorHAnsi"/>
        </w:rPr>
        <w:t xml:space="preserve"> that the possibility of substantial injustice in the natural forum is an exception to the </w:t>
      </w:r>
      <w:r w:rsidR="00CB713B" w:rsidRPr="008720AB">
        <w:rPr>
          <w:rStyle w:val="Emphasis"/>
          <w:rFonts w:asciiTheme="majorHAnsi" w:hAnsiTheme="majorHAnsi" w:cstheme="majorHAnsi"/>
        </w:rPr>
        <w:t xml:space="preserve">forum </w:t>
      </w:r>
      <w:proofErr w:type="gramStart"/>
      <w:r w:rsidR="00CB713B" w:rsidRPr="008720AB">
        <w:rPr>
          <w:rStyle w:val="Emphasis"/>
          <w:rFonts w:asciiTheme="majorHAnsi" w:hAnsiTheme="majorHAnsi" w:cstheme="majorHAnsi"/>
        </w:rPr>
        <w:t>non conveniens</w:t>
      </w:r>
      <w:proofErr w:type="gramEnd"/>
      <w:r w:rsidR="00CB713B" w:rsidRPr="008720AB">
        <w:rPr>
          <w:rFonts w:asciiTheme="majorHAnsi" w:hAnsiTheme="majorHAnsi" w:cstheme="majorHAnsi"/>
        </w:rPr>
        <w:t> principle.</w:t>
      </w:r>
    </w:p>
    <w:p w14:paraId="033C3D37" w14:textId="77777777" w:rsidR="00B55FBE" w:rsidRDefault="003A2E72" w:rsidP="00205184">
      <w:pPr>
        <w:pStyle w:val="NormalWeb"/>
        <w:spacing w:after="15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Article 9 paragraphs 4 and 5 need to be preserved as they form </w:t>
      </w:r>
      <w:r w:rsidR="00B55FBE">
        <w:rPr>
          <w:rFonts w:asciiTheme="majorHAnsi" w:hAnsiTheme="majorHAnsi" w:cstheme="majorHAnsi"/>
        </w:rPr>
        <w:t xml:space="preserve">a </w:t>
      </w:r>
      <w:r w:rsidRPr="003A2E72">
        <w:rPr>
          <w:rFonts w:asciiTheme="majorHAnsi" w:hAnsiTheme="majorHAnsi" w:cstheme="majorHAnsi"/>
        </w:rPr>
        <w:t>backbone of this treaty</w:t>
      </w:r>
      <w:r w:rsidR="00B55FBE">
        <w:rPr>
          <w:rFonts w:asciiTheme="majorHAnsi" w:hAnsiTheme="majorHAnsi" w:cstheme="majorHAnsi"/>
        </w:rPr>
        <w:t xml:space="preserve">, and are </w:t>
      </w:r>
      <w:r w:rsidR="00DE7B27">
        <w:rPr>
          <w:rFonts w:asciiTheme="majorHAnsi" w:hAnsiTheme="majorHAnsi" w:cstheme="majorHAnsi"/>
        </w:rPr>
        <w:t xml:space="preserve">essential </w:t>
      </w:r>
      <w:r w:rsidR="00B55FBE">
        <w:rPr>
          <w:rFonts w:asciiTheme="majorHAnsi" w:hAnsiTheme="majorHAnsi" w:cstheme="majorHAnsi"/>
        </w:rPr>
        <w:t>to closing</w:t>
      </w:r>
      <w:r w:rsidR="00D538AD">
        <w:rPr>
          <w:rFonts w:asciiTheme="majorHAnsi" w:hAnsiTheme="majorHAnsi" w:cstheme="majorHAnsi"/>
        </w:rPr>
        <w:t xml:space="preserve"> </w:t>
      </w:r>
      <w:r w:rsidR="00B55FBE">
        <w:rPr>
          <w:rFonts w:asciiTheme="majorHAnsi" w:hAnsiTheme="majorHAnsi" w:cstheme="majorHAnsi"/>
        </w:rPr>
        <w:t>an</w:t>
      </w:r>
      <w:r w:rsidR="00D538AD">
        <w:rPr>
          <w:rFonts w:asciiTheme="majorHAnsi" w:hAnsiTheme="majorHAnsi" w:cstheme="majorHAnsi"/>
        </w:rPr>
        <w:t xml:space="preserve"> existing governance gap on access to remedy. </w:t>
      </w:r>
    </w:p>
    <w:p w14:paraId="4F1B3934" w14:textId="22432490" w:rsidR="00B55FBE" w:rsidRDefault="006B7422" w:rsidP="00205184">
      <w:pPr>
        <w:pStyle w:val="NormalWeb"/>
        <w:spacing w:after="15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provisions on</w:t>
      </w:r>
      <w:r w:rsidR="00D538AD" w:rsidRPr="008720AB">
        <w:rPr>
          <w:rFonts w:asciiTheme="majorHAnsi" w:hAnsiTheme="majorHAnsi" w:cstheme="majorHAnsi"/>
        </w:rPr>
        <w:t xml:space="preserve"> adjudicative jurisdiction must reflect the reality of how transnational business is conducted</w:t>
      </w:r>
      <w:r>
        <w:rPr>
          <w:rFonts w:asciiTheme="majorHAnsi" w:hAnsiTheme="majorHAnsi" w:cstheme="majorHAnsi"/>
        </w:rPr>
        <w:t>. T</w:t>
      </w:r>
      <w:r w:rsidR="00D538AD">
        <w:rPr>
          <w:rFonts w:asciiTheme="majorHAnsi" w:hAnsiTheme="majorHAnsi" w:cstheme="majorHAnsi"/>
        </w:rPr>
        <w:t>ransnational activities</w:t>
      </w:r>
      <w:r w:rsidR="00B55FBE">
        <w:rPr>
          <w:rFonts w:asciiTheme="majorHAnsi" w:hAnsiTheme="majorHAnsi" w:cstheme="majorHAnsi"/>
        </w:rPr>
        <w:t xml:space="preserve"> of a corporation</w:t>
      </w:r>
      <w:r w:rsidR="00D538A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need to be </w:t>
      </w:r>
      <w:r w:rsidR="00D538AD">
        <w:rPr>
          <w:rFonts w:asciiTheme="majorHAnsi" w:hAnsiTheme="majorHAnsi" w:cstheme="majorHAnsi"/>
        </w:rPr>
        <w:t xml:space="preserve">met with commensurate </w:t>
      </w:r>
      <w:r w:rsidR="00205184">
        <w:rPr>
          <w:rFonts w:asciiTheme="majorHAnsi" w:hAnsiTheme="majorHAnsi" w:cstheme="majorHAnsi"/>
        </w:rPr>
        <w:t xml:space="preserve">accountability in the </w:t>
      </w:r>
      <w:r w:rsidR="00D538AD" w:rsidRPr="008720AB">
        <w:rPr>
          <w:rFonts w:asciiTheme="majorHAnsi" w:hAnsiTheme="majorHAnsi" w:cstheme="majorHAnsi"/>
        </w:rPr>
        <w:t>jurisdictions</w:t>
      </w:r>
      <w:r w:rsidR="00B55FB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in which </w:t>
      </w:r>
      <w:r w:rsidR="00B55FBE">
        <w:rPr>
          <w:rFonts w:asciiTheme="majorHAnsi" w:hAnsiTheme="majorHAnsi" w:cstheme="majorHAnsi"/>
        </w:rPr>
        <w:t>it operates.</w:t>
      </w:r>
    </w:p>
    <w:p w14:paraId="392D30FA" w14:textId="693104C3" w:rsidR="00127C54" w:rsidRPr="00702F38" w:rsidRDefault="00205184">
      <w:pPr>
        <w:pStyle w:val="NormalWeb"/>
        <w:spacing w:after="15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Cases of corporate human rights abuses have fallen through the jurisdictional cracks for too long. This is our chan</w:t>
      </w:r>
      <w:r w:rsidR="00B55FBE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e and obligation to change that, and ensure access to remedy for </w:t>
      </w:r>
      <w:r w:rsidR="003A2E72" w:rsidRPr="008720AB">
        <w:rPr>
          <w:rFonts w:asciiTheme="majorHAnsi" w:hAnsiTheme="majorHAnsi" w:cstheme="majorHAnsi"/>
        </w:rPr>
        <w:t xml:space="preserve">communities, workers, </w:t>
      </w:r>
      <w:r>
        <w:rPr>
          <w:rFonts w:asciiTheme="majorHAnsi" w:hAnsiTheme="majorHAnsi" w:cstheme="majorHAnsi"/>
        </w:rPr>
        <w:t>and</w:t>
      </w:r>
      <w:r w:rsidR="003A2E72" w:rsidRPr="008720AB">
        <w:rPr>
          <w:rFonts w:asciiTheme="majorHAnsi" w:hAnsiTheme="majorHAnsi" w:cstheme="majorHAnsi"/>
        </w:rPr>
        <w:t xml:space="preserve"> human rights defenders</w:t>
      </w:r>
      <w:r>
        <w:rPr>
          <w:rFonts w:asciiTheme="majorHAnsi" w:hAnsiTheme="majorHAnsi" w:cstheme="majorHAnsi"/>
        </w:rPr>
        <w:t xml:space="preserve"> wherever they </w:t>
      </w:r>
      <w:r w:rsidR="00B3489E">
        <w:rPr>
          <w:rFonts w:asciiTheme="majorHAnsi" w:hAnsiTheme="majorHAnsi" w:cstheme="majorHAnsi"/>
        </w:rPr>
        <w:t>are</w:t>
      </w:r>
      <w:r w:rsidR="003A2E72" w:rsidRPr="008720AB">
        <w:rPr>
          <w:rFonts w:asciiTheme="majorHAnsi" w:hAnsiTheme="majorHAnsi" w:cstheme="majorHAnsi"/>
        </w:rPr>
        <w:t>.</w:t>
      </w:r>
    </w:p>
    <w:p w14:paraId="15BCA982" w14:textId="77777777" w:rsidR="00247584" w:rsidRPr="00702F38" w:rsidRDefault="00ED234D" w:rsidP="00702F38">
      <w:pPr>
        <w:rPr>
          <w:rFonts w:asciiTheme="majorHAnsi" w:hAnsiTheme="majorHAnsi" w:cstheme="majorHAnsi"/>
          <w:lang w:val="en-US"/>
        </w:rPr>
      </w:pPr>
      <w:r w:rsidRPr="00702F38">
        <w:rPr>
          <w:rFonts w:asciiTheme="majorHAnsi" w:hAnsiTheme="majorHAnsi" w:cstheme="majorHAnsi"/>
          <w:lang w:val="en-US"/>
        </w:rPr>
        <w:t>Thank you.</w:t>
      </w:r>
    </w:p>
    <w:p w14:paraId="01BFAD08" w14:textId="77777777" w:rsidR="00563C54" w:rsidRPr="008720AB" w:rsidRDefault="00563C54" w:rsidP="00563C54">
      <w:pPr>
        <w:pStyle w:val="ListParagraph"/>
        <w:ind w:left="0"/>
        <w:rPr>
          <w:rFonts w:asciiTheme="majorHAnsi" w:hAnsiTheme="majorHAnsi" w:cstheme="majorHAnsi"/>
        </w:rPr>
      </w:pPr>
    </w:p>
    <w:sectPr w:rsidR="00563C54" w:rsidRPr="0087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158"/>
    <w:multiLevelType w:val="hybridMultilevel"/>
    <w:tmpl w:val="3DDECEFC"/>
    <w:lvl w:ilvl="0" w:tplc="53545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3D29"/>
    <w:multiLevelType w:val="hybridMultilevel"/>
    <w:tmpl w:val="A4BE8DE6"/>
    <w:lvl w:ilvl="0" w:tplc="A6B4D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ED"/>
    <w:rsid w:val="00127C54"/>
    <w:rsid w:val="001624ED"/>
    <w:rsid w:val="001A505F"/>
    <w:rsid w:val="00205184"/>
    <w:rsid w:val="00247584"/>
    <w:rsid w:val="002F2CBE"/>
    <w:rsid w:val="00357D6A"/>
    <w:rsid w:val="00373629"/>
    <w:rsid w:val="003736F8"/>
    <w:rsid w:val="00394F45"/>
    <w:rsid w:val="003A2E72"/>
    <w:rsid w:val="003F0792"/>
    <w:rsid w:val="0047071D"/>
    <w:rsid w:val="004C5C61"/>
    <w:rsid w:val="00506F49"/>
    <w:rsid w:val="00525B86"/>
    <w:rsid w:val="00563C54"/>
    <w:rsid w:val="005D6F88"/>
    <w:rsid w:val="00605AD6"/>
    <w:rsid w:val="00636F4D"/>
    <w:rsid w:val="006B7422"/>
    <w:rsid w:val="006D3C7E"/>
    <w:rsid w:val="00702F38"/>
    <w:rsid w:val="00725B7F"/>
    <w:rsid w:val="007843EF"/>
    <w:rsid w:val="00820325"/>
    <w:rsid w:val="0085730E"/>
    <w:rsid w:val="008720AB"/>
    <w:rsid w:val="00876F61"/>
    <w:rsid w:val="008D2201"/>
    <w:rsid w:val="008F4D82"/>
    <w:rsid w:val="0093256F"/>
    <w:rsid w:val="00960BCD"/>
    <w:rsid w:val="009870DB"/>
    <w:rsid w:val="009F2FB1"/>
    <w:rsid w:val="00A243A6"/>
    <w:rsid w:val="00A83F38"/>
    <w:rsid w:val="00AE7779"/>
    <w:rsid w:val="00B3489E"/>
    <w:rsid w:val="00B46EAF"/>
    <w:rsid w:val="00B55FBE"/>
    <w:rsid w:val="00BA5538"/>
    <w:rsid w:val="00BE224B"/>
    <w:rsid w:val="00C3270D"/>
    <w:rsid w:val="00CB713B"/>
    <w:rsid w:val="00D04F2D"/>
    <w:rsid w:val="00D538AD"/>
    <w:rsid w:val="00D55002"/>
    <w:rsid w:val="00D67F33"/>
    <w:rsid w:val="00D7747E"/>
    <w:rsid w:val="00DE7B27"/>
    <w:rsid w:val="00E27330"/>
    <w:rsid w:val="00E54FD5"/>
    <w:rsid w:val="00ED234D"/>
    <w:rsid w:val="00F6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1554"/>
  <w15:chartTrackingRefBased/>
  <w15:docId w15:val="{DE79B0CF-0C6B-4BD4-A455-C0ABDE4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3C5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63C54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563C54"/>
    <w:rPr>
      <w:b/>
      <w:bCs/>
    </w:rPr>
  </w:style>
  <w:style w:type="character" w:styleId="Emphasis">
    <w:name w:val="Emphasis"/>
    <w:basedOn w:val="DefaultParagraphFont"/>
    <w:uiPriority w:val="20"/>
    <w:qFormat/>
    <w:rsid w:val="00563C5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3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D80F5D-6BF6-45F1-B33E-6875BC2D2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9D42A-5DAA-466C-B525-498B1EF533CA}"/>
</file>

<file path=customXml/itemProps3.xml><?xml version="1.0" encoding="utf-8"?>
<ds:datastoreItem xmlns:ds="http://schemas.openxmlformats.org/officeDocument/2006/customXml" ds:itemID="{7837E43F-3547-4818-968F-00477D3B1F96}"/>
</file>

<file path=customXml/itemProps4.xml><?xml version="1.0" encoding="utf-8"?>
<ds:datastoreItem xmlns:ds="http://schemas.openxmlformats.org/officeDocument/2006/customXml" ds:itemID="{60C3213B-57D8-41DF-B7A6-C1E174C90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Biggs</dc:creator>
  <cp:keywords/>
  <dc:description/>
  <cp:lastModifiedBy>Wisam Ahmad</cp:lastModifiedBy>
  <cp:revision>2</cp:revision>
  <dcterms:created xsi:type="dcterms:W3CDTF">2020-10-27T11:38:00Z</dcterms:created>
  <dcterms:modified xsi:type="dcterms:W3CDTF">2020-10-27T11:38:00Z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