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1DD7" w:rsidRDefault="005E1DD7">
      <w:pPr>
        <w:rPr>
          <w:b/>
          <w:bCs/>
          <w:lang w:val="en-GB"/>
        </w:rPr>
      </w:pPr>
      <w:r>
        <w:rPr>
          <w:b/>
          <w:bCs/>
          <w:lang w:val="en-GB"/>
        </w:rPr>
        <w:t>2</w:t>
      </w:r>
      <w:r w:rsidR="008B6151">
        <w:rPr>
          <w:b/>
          <w:bCs/>
          <w:lang w:val="en-GB"/>
        </w:rPr>
        <w:t>8</w:t>
      </w:r>
      <w:r>
        <w:rPr>
          <w:b/>
          <w:bCs/>
          <w:lang w:val="en-GB"/>
        </w:rPr>
        <w:t xml:space="preserve">/10/2020 Statement European </w:t>
      </w:r>
      <w:proofErr w:type="spellStart"/>
      <w:r>
        <w:rPr>
          <w:b/>
          <w:bCs/>
          <w:lang w:val="en-GB"/>
        </w:rPr>
        <w:t>Center</w:t>
      </w:r>
      <w:proofErr w:type="spellEnd"/>
      <w:r>
        <w:rPr>
          <w:b/>
          <w:bCs/>
          <w:lang w:val="en-GB"/>
        </w:rPr>
        <w:t xml:space="preserve"> for Constitutional and Human Rights (ECCHR)</w:t>
      </w:r>
    </w:p>
    <w:p w:rsidR="005E1DD7" w:rsidRPr="005E1DD7" w:rsidRDefault="005E1DD7">
      <w:pPr>
        <w:rPr>
          <w:lang w:val="en-GB"/>
        </w:rPr>
      </w:pPr>
      <w:r w:rsidRPr="005E1DD7">
        <w:rPr>
          <w:lang w:val="en-GB"/>
        </w:rPr>
        <w:t>(check against delivery)</w:t>
      </w:r>
    </w:p>
    <w:p w:rsidR="005E1DD7" w:rsidRDefault="005E1DD7">
      <w:pPr>
        <w:rPr>
          <w:lang w:val="en-GB"/>
        </w:rPr>
      </w:pPr>
    </w:p>
    <w:p w:rsidR="005E1DD7" w:rsidRDefault="005E1DD7">
      <w:pPr>
        <w:rPr>
          <w:lang w:val="en-GB"/>
        </w:rPr>
      </w:pPr>
    </w:p>
    <w:p w:rsidR="00FE46BF" w:rsidRPr="005E1DD7" w:rsidRDefault="000C099D">
      <w:pPr>
        <w:rPr>
          <w:lang w:val="en-GB"/>
        </w:rPr>
      </w:pPr>
      <w:r w:rsidRPr="005E1DD7">
        <w:rPr>
          <w:lang w:val="en-GB"/>
        </w:rPr>
        <w:t xml:space="preserve">Thank </w:t>
      </w:r>
      <w:r w:rsidR="005E1DD7" w:rsidRPr="005E1DD7">
        <w:rPr>
          <w:lang w:val="en-GB"/>
        </w:rPr>
        <w:t>you, Mr. Chair Rapporteur</w:t>
      </w:r>
      <w:r w:rsidRPr="005E1DD7">
        <w:rPr>
          <w:lang w:val="en-GB"/>
        </w:rPr>
        <w:t>,</w:t>
      </w:r>
    </w:p>
    <w:p w:rsidR="000C099D" w:rsidRPr="005E1DD7" w:rsidRDefault="000C099D">
      <w:pPr>
        <w:rPr>
          <w:lang w:val="en-GB"/>
        </w:rPr>
      </w:pPr>
    </w:p>
    <w:p w:rsidR="005E1DD7" w:rsidRDefault="000C099D">
      <w:pPr>
        <w:rPr>
          <w:lang w:val="en-GB"/>
        </w:rPr>
      </w:pPr>
      <w:r w:rsidRPr="005E1DD7">
        <w:rPr>
          <w:lang w:val="en-GB"/>
        </w:rPr>
        <w:t xml:space="preserve">The European </w:t>
      </w:r>
      <w:proofErr w:type="spellStart"/>
      <w:r w:rsidRPr="005E1DD7">
        <w:rPr>
          <w:lang w:val="en-GB"/>
        </w:rPr>
        <w:t>Center</w:t>
      </w:r>
      <w:proofErr w:type="spellEnd"/>
      <w:r w:rsidRPr="005E1DD7">
        <w:rPr>
          <w:lang w:val="en-GB"/>
        </w:rPr>
        <w:t xml:space="preserve"> for Constitutional and Human Rights </w:t>
      </w:r>
      <w:r w:rsidR="007111AF">
        <w:rPr>
          <w:lang w:val="en-GB"/>
        </w:rPr>
        <w:t xml:space="preserve">is honoured to further contribute to articles </w:t>
      </w:r>
      <w:r w:rsidR="008B6151">
        <w:rPr>
          <w:lang w:val="en-GB"/>
        </w:rPr>
        <w:t xml:space="preserve">9, 10 </w:t>
      </w:r>
      <w:r w:rsidR="007111AF">
        <w:rPr>
          <w:lang w:val="en-GB"/>
        </w:rPr>
        <w:t xml:space="preserve">and </w:t>
      </w:r>
      <w:r w:rsidR="008B6151">
        <w:rPr>
          <w:lang w:val="en-GB"/>
        </w:rPr>
        <w:t>11</w:t>
      </w:r>
      <w:r w:rsidR="007111AF">
        <w:rPr>
          <w:lang w:val="en-GB"/>
        </w:rPr>
        <w:t xml:space="preserve"> of the </w:t>
      </w:r>
      <w:r w:rsidRPr="005E1DD7">
        <w:rPr>
          <w:lang w:val="en-GB"/>
        </w:rPr>
        <w:t>second revised draft of the treaty</w:t>
      </w:r>
      <w:r w:rsidR="007111AF">
        <w:rPr>
          <w:lang w:val="en-GB"/>
        </w:rPr>
        <w:t>.</w:t>
      </w:r>
    </w:p>
    <w:p w:rsidR="000C099D" w:rsidRDefault="000C099D">
      <w:pPr>
        <w:rPr>
          <w:lang w:val="en-GB"/>
        </w:rPr>
      </w:pPr>
    </w:p>
    <w:p w:rsidR="00E34A62" w:rsidRPr="005E1DD7" w:rsidRDefault="00E34A62" w:rsidP="00E34A62">
      <w:pPr>
        <w:rPr>
          <w:u w:val="single"/>
          <w:lang w:val="en-GB"/>
        </w:rPr>
      </w:pPr>
      <w:r w:rsidRPr="005E1DD7">
        <w:rPr>
          <w:u w:val="single"/>
          <w:lang w:val="en-GB"/>
        </w:rPr>
        <w:t xml:space="preserve">Article </w:t>
      </w:r>
      <w:r w:rsidR="008B6151">
        <w:rPr>
          <w:u w:val="single"/>
          <w:lang w:val="en-GB"/>
        </w:rPr>
        <w:t>9.</w:t>
      </w:r>
      <w:r w:rsidRPr="005E1DD7">
        <w:rPr>
          <w:u w:val="single"/>
          <w:lang w:val="en-GB"/>
        </w:rPr>
        <w:t xml:space="preserve"> </w:t>
      </w:r>
      <w:r w:rsidR="008B6151">
        <w:rPr>
          <w:u w:val="single"/>
          <w:lang w:val="en-GB"/>
        </w:rPr>
        <w:t>Adjudicative jurisdiction</w:t>
      </w:r>
    </w:p>
    <w:p w:rsidR="00E34A62" w:rsidRDefault="00E34A62">
      <w:pPr>
        <w:rPr>
          <w:lang w:val="en-GB"/>
        </w:rPr>
      </w:pPr>
    </w:p>
    <w:p w:rsidR="00F30360" w:rsidRDefault="008B6151">
      <w:pPr>
        <w:rPr>
          <w:lang w:val="en-GB"/>
        </w:rPr>
      </w:pPr>
      <w:r>
        <w:rPr>
          <w:lang w:val="en-GB"/>
        </w:rPr>
        <w:t xml:space="preserve">Article 9 provides for several options of jurisdictions, which strengthens its capacity to bring access to remedy for victims of human rights abuses by business enterprises. </w:t>
      </w:r>
      <w:r w:rsidR="00F30360">
        <w:rPr>
          <w:lang w:val="en-GB"/>
        </w:rPr>
        <w:t xml:space="preserve">However, this can be further strengthened by adding the option of “significant business interests” as well as the domicile of the claimants. </w:t>
      </w:r>
    </w:p>
    <w:p w:rsidR="00F30360" w:rsidRDefault="00F30360">
      <w:pPr>
        <w:rPr>
          <w:lang w:val="en-GB"/>
        </w:rPr>
      </w:pPr>
    </w:p>
    <w:p w:rsidR="00E34A62" w:rsidRDefault="008B6151">
      <w:pPr>
        <w:rPr>
          <w:lang w:val="en-GB"/>
        </w:rPr>
      </w:pPr>
      <w:r>
        <w:rPr>
          <w:lang w:val="en-GB"/>
        </w:rPr>
        <w:t xml:space="preserve">Article 9.5 adds a forum </w:t>
      </w:r>
      <w:proofErr w:type="spellStart"/>
      <w:r>
        <w:rPr>
          <w:lang w:val="en-GB"/>
        </w:rPr>
        <w:t>necessatis</w:t>
      </w:r>
      <w:proofErr w:type="spellEnd"/>
      <w:r>
        <w:rPr>
          <w:lang w:val="en-GB"/>
        </w:rPr>
        <w:t xml:space="preserve"> provision, which we believe are crucial for a victim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 xml:space="preserve"> approach. Instead of the expressed fear for forum shopping, we believe that the current wording </w:t>
      </w:r>
      <w:r w:rsidR="008A2674">
        <w:rPr>
          <w:lang w:val="en-GB"/>
        </w:rPr>
        <w:t>is crucial for</w:t>
      </w:r>
      <w:r>
        <w:rPr>
          <w:lang w:val="en-GB"/>
        </w:rPr>
        <w:t xml:space="preserve"> the Legally Binding Agreement to deliver to its purpose. We would </w:t>
      </w:r>
      <w:r w:rsidR="008A2674">
        <w:rPr>
          <w:lang w:val="en-GB"/>
        </w:rPr>
        <w:t xml:space="preserve">therefore </w:t>
      </w:r>
      <w:r>
        <w:rPr>
          <w:lang w:val="en-GB"/>
        </w:rPr>
        <w:t xml:space="preserve">strongly urge to keep these provisions as is, or even further strengthen them. </w:t>
      </w:r>
    </w:p>
    <w:p w:rsidR="00E34A62" w:rsidRDefault="00E34A62">
      <w:pPr>
        <w:rPr>
          <w:lang w:val="en-GB"/>
        </w:rPr>
      </w:pPr>
    </w:p>
    <w:p w:rsidR="005E1DD7" w:rsidRPr="005E1DD7" w:rsidRDefault="005E1DD7">
      <w:pPr>
        <w:rPr>
          <w:u w:val="single"/>
          <w:lang w:val="en-GB"/>
        </w:rPr>
      </w:pPr>
      <w:r w:rsidRPr="005E1DD7">
        <w:rPr>
          <w:u w:val="single"/>
          <w:lang w:val="en-GB"/>
        </w:rPr>
        <w:t>Article</w:t>
      </w:r>
      <w:r w:rsidR="008B6151">
        <w:rPr>
          <w:u w:val="single"/>
          <w:lang w:val="en-GB"/>
        </w:rPr>
        <w:t xml:space="preserve"> 10</w:t>
      </w:r>
      <w:r w:rsidRPr="005E1DD7">
        <w:rPr>
          <w:u w:val="single"/>
          <w:lang w:val="en-GB"/>
        </w:rPr>
        <w:t xml:space="preserve">. </w:t>
      </w:r>
      <w:r w:rsidR="008B6151">
        <w:rPr>
          <w:u w:val="single"/>
          <w:lang w:val="en-GB"/>
        </w:rPr>
        <w:t>Statute of Limitations</w:t>
      </w:r>
    </w:p>
    <w:p w:rsidR="005E1DD7" w:rsidRDefault="005E1DD7">
      <w:pPr>
        <w:rPr>
          <w:lang w:val="en-GB"/>
        </w:rPr>
      </w:pPr>
    </w:p>
    <w:p w:rsidR="008B6151" w:rsidRDefault="008B6151">
      <w:pPr>
        <w:rPr>
          <w:lang w:val="en-GB"/>
        </w:rPr>
      </w:pPr>
      <w:r w:rsidRPr="008B6151">
        <w:rPr>
          <w:lang w:val="en-GB"/>
        </w:rPr>
        <w:t xml:space="preserve">On the applicable statute of limitations in Article </w:t>
      </w:r>
      <w:r>
        <w:rPr>
          <w:lang w:val="en-GB"/>
        </w:rPr>
        <w:t>10</w:t>
      </w:r>
      <w:r w:rsidRPr="008B6151">
        <w:rPr>
          <w:lang w:val="en-GB"/>
        </w:rPr>
        <w:t>, it</w:t>
      </w:r>
      <w:r>
        <w:rPr>
          <w:lang w:val="en-GB"/>
        </w:rPr>
        <w:t xml:space="preserve"> is unclear </w:t>
      </w:r>
      <w:r w:rsidRPr="008B6151">
        <w:rPr>
          <w:lang w:val="en-GB"/>
        </w:rPr>
        <w:t xml:space="preserve">what constitutes a “reasonable period of time” across jurisdictions and/or possible violations. The zero draft used the term “not unduly restrictive,” which seems more appropriate but suffers from a similar lack of clarity. </w:t>
      </w:r>
    </w:p>
    <w:p w:rsidR="008B6151" w:rsidRDefault="008B6151">
      <w:pPr>
        <w:rPr>
          <w:lang w:val="en-GB"/>
        </w:rPr>
      </w:pPr>
    </w:p>
    <w:p w:rsidR="005E1DD7" w:rsidRDefault="008B6151">
      <w:pPr>
        <w:rPr>
          <w:lang w:val="en-GB"/>
        </w:rPr>
      </w:pPr>
      <w:r>
        <w:rPr>
          <w:lang w:val="en-GB"/>
        </w:rPr>
        <w:t>We would therefore equally add as a yard stick to interpret this notion</w:t>
      </w:r>
      <w:r w:rsidRPr="008B6151">
        <w:rPr>
          <w:lang w:val="en-GB"/>
        </w:rPr>
        <w:t xml:space="preserve"> the complex and differentiated nature of some cases of businesses’ human rights violations, as well as the added complexity of a case’s transnational character.</w:t>
      </w:r>
    </w:p>
    <w:p w:rsidR="008B6151" w:rsidRDefault="008B6151">
      <w:pPr>
        <w:rPr>
          <w:lang w:val="en-GB"/>
        </w:rPr>
      </w:pPr>
    </w:p>
    <w:p w:rsidR="008B6151" w:rsidRDefault="008B6151">
      <w:pPr>
        <w:rPr>
          <w:lang w:val="en-GB"/>
        </w:rPr>
      </w:pPr>
      <w:r>
        <w:rPr>
          <w:lang w:val="en-GB"/>
        </w:rPr>
        <w:t>We would equally suggest adding the possibility for claimants to deviate from existing statute of limitations.</w:t>
      </w:r>
    </w:p>
    <w:p w:rsidR="008B6151" w:rsidRDefault="008B6151">
      <w:pPr>
        <w:rPr>
          <w:lang w:val="en-GB"/>
        </w:rPr>
      </w:pPr>
    </w:p>
    <w:p w:rsidR="005E07EA" w:rsidRDefault="005E07EA">
      <w:pPr>
        <w:rPr>
          <w:u w:val="single"/>
          <w:lang w:val="en-GB"/>
        </w:rPr>
      </w:pPr>
      <w:r w:rsidRPr="005E1DD7">
        <w:rPr>
          <w:u w:val="single"/>
          <w:lang w:val="en-GB"/>
        </w:rPr>
        <w:t xml:space="preserve">Article </w:t>
      </w:r>
      <w:r w:rsidR="00F30360">
        <w:rPr>
          <w:u w:val="single"/>
          <w:lang w:val="en-GB"/>
        </w:rPr>
        <w:t>11</w:t>
      </w:r>
      <w:r w:rsidRPr="005E1DD7">
        <w:rPr>
          <w:u w:val="single"/>
          <w:lang w:val="en-GB"/>
        </w:rPr>
        <w:t xml:space="preserve">. </w:t>
      </w:r>
      <w:r>
        <w:rPr>
          <w:u w:val="single"/>
          <w:lang w:val="en-GB"/>
        </w:rPr>
        <w:t>A</w:t>
      </w:r>
      <w:r w:rsidR="008B6151">
        <w:rPr>
          <w:u w:val="single"/>
          <w:lang w:val="en-GB"/>
        </w:rPr>
        <w:t>pplicable law</w:t>
      </w:r>
    </w:p>
    <w:p w:rsidR="008B6151" w:rsidRDefault="008B6151">
      <w:pPr>
        <w:rPr>
          <w:u w:val="single"/>
          <w:lang w:val="en-GB"/>
        </w:rPr>
      </w:pPr>
    </w:p>
    <w:p w:rsidR="00520E6A" w:rsidRPr="00520E6A" w:rsidRDefault="008B6151">
      <w:pPr>
        <w:rPr>
          <w:lang w:val="en-GB"/>
        </w:rPr>
      </w:pPr>
      <w:r w:rsidRPr="008B6151">
        <w:rPr>
          <w:lang w:val="en-GB"/>
        </w:rPr>
        <w:t xml:space="preserve">Although this article provides a broad choice of law, we </w:t>
      </w:r>
      <w:r>
        <w:rPr>
          <w:lang w:val="en-GB"/>
        </w:rPr>
        <w:t xml:space="preserve">are pleased to see that </w:t>
      </w:r>
      <w:r w:rsidRPr="008B6151">
        <w:rPr>
          <w:lang w:val="en-GB"/>
        </w:rPr>
        <w:t>that</w:t>
      </w:r>
      <w:r>
        <w:rPr>
          <w:lang w:val="en-GB"/>
        </w:rPr>
        <w:t xml:space="preserve"> it is not the</w:t>
      </w:r>
      <w:r w:rsidRPr="008B6151">
        <w:rPr>
          <w:lang w:val="en-GB"/>
        </w:rPr>
        <w:t xml:space="preserve"> competent court </w:t>
      </w:r>
      <w:r>
        <w:rPr>
          <w:lang w:val="en-GB"/>
        </w:rPr>
        <w:t>who</w:t>
      </w:r>
      <w:r w:rsidRPr="008B6151">
        <w:rPr>
          <w:lang w:val="en-GB"/>
        </w:rPr>
        <w:t xml:space="preserve"> determine</w:t>
      </w:r>
      <w:r>
        <w:rPr>
          <w:lang w:val="en-GB"/>
        </w:rPr>
        <w:t>s</w:t>
      </w:r>
      <w:r w:rsidRPr="008B6151">
        <w:rPr>
          <w:lang w:val="en-GB"/>
        </w:rPr>
        <w:t xml:space="preserve"> the applicable law, but instead confer that choice to the </w:t>
      </w:r>
      <w:r>
        <w:rPr>
          <w:lang w:val="en-GB"/>
        </w:rPr>
        <w:t>claimants</w:t>
      </w:r>
      <w:r w:rsidRPr="008B6151">
        <w:rPr>
          <w:lang w:val="en-GB"/>
        </w:rPr>
        <w:t xml:space="preserve"> who brought the dispute to court, allowing the </w:t>
      </w:r>
      <w:r>
        <w:rPr>
          <w:lang w:val="en-GB"/>
        </w:rPr>
        <w:t xml:space="preserve">claimants </w:t>
      </w:r>
      <w:r w:rsidRPr="008B6151">
        <w:rPr>
          <w:lang w:val="en-GB"/>
        </w:rPr>
        <w:t xml:space="preserve">to choose the most favourable law. </w:t>
      </w:r>
    </w:p>
    <w:p w:rsidR="005E07EA" w:rsidRDefault="005E07EA">
      <w:pPr>
        <w:rPr>
          <w:lang w:val="en-GB"/>
        </w:rPr>
      </w:pPr>
    </w:p>
    <w:p w:rsidR="005E1DD7" w:rsidRPr="005E1DD7" w:rsidRDefault="005E1DD7">
      <w:pPr>
        <w:rPr>
          <w:lang w:val="en-GB"/>
        </w:rPr>
      </w:pPr>
      <w:r>
        <w:rPr>
          <w:lang w:val="en-GB"/>
        </w:rPr>
        <w:t>Thank you very much,</w:t>
      </w:r>
    </w:p>
    <w:sectPr w:rsidR="005E1DD7" w:rsidRPr="005E1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9D"/>
    <w:rsid w:val="000C099D"/>
    <w:rsid w:val="004656B4"/>
    <w:rsid w:val="00495AFC"/>
    <w:rsid w:val="00520E6A"/>
    <w:rsid w:val="005E07EA"/>
    <w:rsid w:val="005E1DD7"/>
    <w:rsid w:val="007111AF"/>
    <w:rsid w:val="0080264B"/>
    <w:rsid w:val="008A2674"/>
    <w:rsid w:val="008B6151"/>
    <w:rsid w:val="00A80470"/>
    <w:rsid w:val="00AB0658"/>
    <w:rsid w:val="00B74A81"/>
    <w:rsid w:val="00C945E0"/>
    <w:rsid w:val="00E34A62"/>
    <w:rsid w:val="00F30360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DBBFF0"/>
  <w15:chartTrackingRefBased/>
  <w15:docId w15:val="{13903737-7888-9E4E-9891-7FA3D1FD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link w:val="VoetnoottekstChar"/>
    <w:qFormat/>
    <w:rsid w:val="00AB0658"/>
    <w:pPr>
      <w:pBdr>
        <w:top w:val="nil"/>
        <w:left w:val="nil"/>
        <w:bottom w:val="nil"/>
        <w:right w:val="nil"/>
        <w:between w:val="nil"/>
        <w:bar w:val="nil"/>
      </w:pBdr>
      <w:ind w:left="339" w:hanging="339"/>
    </w:pPr>
    <w:rPr>
      <w:rFonts w:ascii="Times New Roman" w:eastAsia="Times New Roman" w:hAnsi="Times New Roman" w:cs="Times New Roman"/>
      <w:color w:val="000000"/>
      <w:kern w:val="2"/>
      <w:u w:color="000000"/>
      <w:bdr w:val="nil"/>
      <w:lang w:val="en-US" w:eastAsia="nl-NL"/>
    </w:rPr>
  </w:style>
  <w:style w:type="character" w:customStyle="1" w:styleId="VoetnoottekstChar">
    <w:name w:val="Voetnoottekst Char"/>
    <w:basedOn w:val="Standaardalinea-lettertype"/>
    <w:link w:val="Voetnoottekst"/>
    <w:rsid w:val="00AB0658"/>
    <w:rPr>
      <w:rFonts w:ascii="Times New Roman" w:eastAsia="Times New Roman" w:hAnsi="Times New Roman" w:cs="Times New Roman"/>
      <w:color w:val="000000"/>
      <w:kern w:val="2"/>
      <w:u w:color="000000"/>
      <w:bdr w:val="nil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0E6A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E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AA1B95-3222-40E0-AB5D-9A944CBA9492}"/>
</file>

<file path=customXml/itemProps2.xml><?xml version="1.0" encoding="utf-8"?>
<ds:datastoreItem xmlns:ds="http://schemas.openxmlformats.org/officeDocument/2006/customXml" ds:itemID="{44574E04-081F-4ED5-B153-51CD91DB074A}"/>
</file>

<file path=customXml/itemProps3.xml><?xml version="1.0" encoding="utf-8"?>
<ds:datastoreItem xmlns:ds="http://schemas.openxmlformats.org/officeDocument/2006/customXml" ds:itemID="{9C7DB06C-FE46-4D5E-B094-8A1A4C1628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Vanpeperstraete</dc:creator>
  <cp:keywords/>
  <dc:description/>
  <cp:lastModifiedBy>Ben Vanpeperstraete</cp:lastModifiedBy>
  <cp:revision>3</cp:revision>
  <dcterms:created xsi:type="dcterms:W3CDTF">2020-10-28T15:04:00Z</dcterms:created>
  <dcterms:modified xsi:type="dcterms:W3CDTF">2020-10-28T15:05:00Z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