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A532" w14:textId="1B0F8DCB" w:rsidR="0079267E" w:rsidRPr="007A2A71" w:rsidRDefault="0079267E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Article 9</w:t>
      </w:r>
      <w:r w:rsidR="00991A4A" w:rsidRPr="007A2A71">
        <w:rPr>
          <w:rFonts w:ascii="Times New Roman"/>
          <w:sz w:val="24"/>
          <w:szCs w:val="24"/>
          <w:lang w:val="en-US"/>
        </w:rPr>
        <w:t xml:space="preserve"> – Second revised Draft </w:t>
      </w:r>
      <w:r w:rsidR="00A7319E" w:rsidRPr="007A2A71">
        <w:rPr>
          <w:rFonts w:ascii="Times New Roman"/>
          <w:sz w:val="24"/>
          <w:szCs w:val="24"/>
          <w:lang w:val="en-US"/>
        </w:rPr>
        <w:t xml:space="preserve"> </w:t>
      </w:r>
    </w:p>
    <w:p w14:paraId="7BC2A665" w14:textId="757CA05D" w:rsidR="00E8310A" w:rsidRPr="007A2A71" w:rsidRDefault="00E8310A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This intervention is on behalf of</w:t>
      </w:r>
      <w:r w:rsidR="00D963BB" w:rsidRPr="007A2A71">
        <w:rPr>
          <w:rFonts w:ascii="Times New Roman"/>
          <w:sz w:val="24"/>
          <w:szCs w:val="24"/>
          <w:lang w:val="en-US"/>
        </w:rPr>
        <w:t xml:space="preserve"> the</w:t>
      </w:r>
      <w:r w:rsidRPr="007A2A71">
        <w:rPr>
          <w:rFonts w:ascii="Times New Roman"/>
          <w:sz w:val="24"/>
          <w:szCs w:val="24"/>
          <w:lang w:val="en-US"/>
        </w:rPr>
        <w:t xml:space="preserve"> ESCR-Net, which is a Network of more than 280 members </w:t>
      </w:r>
      <w:r w:rsidR="00D963BB" w:rsidRPr="007A2A71">
        <w:rPr>
          <w:rFonts w:ascii="Times New Roman"/>
          <w:sz w:val="24"/>
          <w:szCs w:val="24"/>
          <w:lang w:val="en-US"/>
        </w:rPr>
        <w:t>from</w:t>
      </w:r>
      <w:r w:rsidRPr="007A2A71">
        <w:rPr>
          <w:rFonts w:ascii="Times New Roman"/>
          <w:sz w:val="24"/>
          <w:szCs w:val="24"/>
          <w:lang w:val="en-US"/>
        </w:rPr>
        <w:t xml:space="preserve"> 75</w:t>
      </w:r>
      <w:r w:rsidR="007A2A71" w:rsidRPr="007A2A71">
        <w:rPr>
          <w:rFonts w:ascii="Times New Roman"/>
          <w:sz w:val="24"/>
          <w:szCs w:val="24"/>
          <w:lang w:val="en-US"/>
        </w:rPr>
        <w:t xml:space="preserve"> countries</w:t>
      </w:r>
      <w:r w:rsidRPr="007A2A71">
        <w:rPr>
          <w:rFonts w:ascii="Times New Roman"/>
          <w:sz w:val="24"/>
          <w:szCs w:val="24"/>
          <w:lang w:val="en-US"/>
        </w:rPr>
        <w:t xml:space="preserve">. </w:t>
      </w:r>
    </w:p>
    <w:p w14:paraId="26C35B97" w14:textId="3992166C" w:rsidR="00723E6E" w:rsidRPr="007A2A71" w:rsidRDefault="00D963BB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Regarding article 9, I will like to emphasize that a</w:t>
      </w:r>
      <w:r w:rsidR="00EC14C4" w:rsidRPr="007A2A71">
        <w:rPr>
          <w:rFonts w:ascii="Times New Roman"/>
          <w:sz w:val="24"/>
          <w:szCs w:val="24"/>
          <w:lang w:val="en-US"/>
        </w:rPr>
        <w:t xml:space="preserve">djudicative </w:t>
      </w:r>
      <w:r w:rsidRPr="007A2A71">
        <w:rPr>
          <w:rFonts w:ascii="Times New Roman"/>
          <w:sz w:val="24"/>
          <w:szCs w:val="24"/>
          <w:lang w:val="en-US"/>
        </w:rPr>
        <w:t>j</w:t>
      </w:r>
      <w:r w:rsidR="00EC14C4" w:rsidRPr="007A2A71">
        <w:rPr>
          <w:rFonts w:ascii="Times New Roman"/>
          <w:sz w:val="24"/>
          <w:szCs w:val="24"/>
          <w:lang w:val="en-US"/>
        </w:rPr>
        <w:t>urisdiction</w:t>
      </w:r>
      <w:r w:rsidR="00EC14C4" w:rsidRPr="007A2A71">
        <w:rPr>
          <w:rFonts w:ascii="Times New Roman"/>
          <w:b/>
          <w:sz w:val="24"/>
          <w:szCs w:val="24"/>
          <w:lang w:val="en-US"/>
        </w:rPr>
        <w:t xml:space="preserve"> </w:t>
      </w:r>
      <w:r w:rsidR="00EC14C4" w:rsidRPr="007A2A71">
        <w:rPr>
          <w:rFonts w:ascii="Times New Roman"/>
          <w:sz w:val="24"/>
          <w:szCs w:val="24"/>
          <w:lang w:val="en-US"/>
        </w:rPr>
        <w:t>issues</w:t>
      </w:r>
      <w:r w:rsidR="00EC14C4" w:rsidRPr="007A2A71">
        <w:rPr>
          <w:rFonts w:ascii="Times New Roman"/>
          <w:b/>
          <w:sz w:val="24"/>
          <w:szCs w:val="24"/>
          <w:lang w:val="en-US"/>
        </w:rPr>
        <w:t xml:space="preserve"> </w:t>
      </w:r>
      <w:r w:rsidR="00EC14C4" w:rsidRPr="007A2A71">
        <w:rPr>
          <w:rFonts w:ascii="Times New Roman"/>
          <w:sz w:val="24"/>
          <w:szCs w:val="24"/>
          <w:lang w:val="en-US"/>
        </w:rPr>
        <w:t>are crucial to guarantee an effective remedy</w:t>
      </w:r>
      <w:r w:rsidR="00723E6E" w:rsidRPr="007A2A71">
        <w:rPr>
          <w:rFonts w:ascii="Times New Roman"/>
          <w:sz w:val="24"/>
          <w:szCs w:val="24"/>
          <w:lang w:val="en-US"/>
        </w:rPr>
        <w:t xml:space="preserve"> for </w:t>
      </w:r>
      <w:r w:rsidR="00E8310A" w:rsidRPr="007A2A71">
        <w:rPr>
          <w:rFonts w:ascii="Times New Roman"/>
          <w:sz w:val="24"/>
          <w:szCs w:val="24"/>
          <w:lang w:val="en-US"/>
        </w:rPr>
        <w:t xml:space="preserve">the </w:t>
      </w:r>
      <w:r w:rsidR="00723E6E" w:rsidRPr="007A2A71">
        <w:rPr>
          <w:rFonts w:ascii="Times New Roman"/>
          <w:sz w:val="24"/>
          <w:szCs w:val="24"/>
          <w:lang w:val="en-US"/>
        </w:rPr>
        <w:t>victims</w:t>
      </w:r>
      <w:r w:rsidR="007010F3" w:rsidRPr="007A2A71">
        <w:rPr>
          <w:rFonts w:ascii="Times New Roman"/>
          <w:sz w:val="24"/>
          <w:szCs w:val="24"/>
          <w:lang w:val="en-US"/>
        </w:rPr>
        <w:t>. This</w:t>
      </w:r>
      <w:r w:rsidR="00723E6E" w:rsidRPr="007A2A71">
        <w:rPr>
          <w:rFonts w:ascii="Times New Roman"/>
          <w:sz w:val="24"/>
          <w:szCs w:val="24"/>
          <w:lang w:val="en-US"/>
        </w:rPr>
        <w:t xml:space="preserve"> </w:t>
      </w:r>
      <w:r w:rsidR="007010F3" w:rsidRPr="007A2A71">
        <w:rPr>
          <w:rFonts w:ascii="Times New Roman"/>
          <w:sz w:val="24"/>
          <w:szCs w:val="24"/>
          <w:lang w:val="en-US"/>
        </w:rPr>
        <w:t xml:space="preserve">article </w:t>
      </w:r>
      <w:r w:rsidR="00723E6E" w:rsidRPr="007A2A71">
        <w:rPr>
          <w:rFonts w:ascii="Times New Roman"/>
          <w:sz w:val="24"/>
          <w:szCs w:val="24"/>
          <w:lang w:val="en-US"/>
        </w:rPr>
        <w:t xml:space="preserve">is </w:t>
      </w:r>
      <w:r w:rsidR="00646E98" w:rsidRPr="007A2A71">
        <w:rPr>
          <w:rFonts w:ascii="Times New Roman"/>
          <w:sz w:val="24"/>
          <w:szCs w:val="24"/>
          <w:lang w:val="en-US"/>
        </w:rPr>
        <w:t>especially</w:t>
      </w:r>
      <w:r w:rsidR="00723E6E" w:rsidRPr="007A2A71">
        <w:rPr>
          <w:rFonts w:ascii="Times New Roman"/>
          <w:sz w:val="24"/>
          <w:szCs w:val="24"/>
          <w:lang w:val="en-US"/>
        </w:rPr>
        <w:t xml:space="preserve"> important for this LBI to achieve its purposes</w:t>
      </w:r>
      <w:r w:rsidR="00E8310A" w:rsidRPr="007A2A71">
        <w:rPr>
          <w:rFonts w:ascii="Times New Roman"/>
          <w:sz w:val="24"/>
          <w:szCs w:val="24"/>
          <w:lang w:val="en-US"/>
        </w:rPr>
        <w:t>. S</w:t>
      </w:r>
      <w:r w:rsidR="00723E6E" w:rsidRPr="007A2A71">
        <w:rPr>
          <w:rFonts w:ascii="Times New Roman"/>
          <w:sz w:val="24"/>
          <w:szCs w:val="24"/>
          <w:lang w:val="en-US"/>
        </w:rPr>
        <w:t>ince</w:t>
      </w:r>
      <w:r w:rsidR="00E8310A" w:rsidRPr="007A2A71">
        <w:rPr>
          <w:rFonts w:ascii="Times New Roman"/>
          <w:sz w:val="24"/>
          <w:szCs w:val="24"/>
          <w:lang w:val="en-US"/>
        </w:rPr>
        <w:t>,</w:t>
      </w:r>
      <w:r w:rsidR="00723E6E" w:rsidRPr="007A2A71">
        <w:rPr>
          <w:rFonts w:ascii="Times New Roman"/>
          <w:sz w:val="24"/>
          <w:szCs w:val="24"/>
          <w:lang w:val="en-US"/>
        </w:rPr>
        <w:t xml:space="preserve"> denial of justice is the fundamental concern in which this LBI is founded. </w:t>
      </w:r>
    </w:p>
    <w:p w14:paraId="085F1C30" w14:textId="49210473" w:rsidR="00B83A8B" w:rsidRPr="007A2A71" w:rsidRDefault="00723E6E" w:rsidP="00723E6E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 xml:space="preserve">The inclusion of forum non </w:t>
      </w:r>
      <w:proofErr w:type="spellStart"/>
      <w:r w:rsidR="00646E98" w:rsidRPr="007A2A71">
        <w:rPr>
          <w:rFonts w:ascii="Times New Roman"/>
          <w:sz w:val="24"/>
          <w:szCs w:val="24"/>
          <w:lang w:val="en-US"/>
        </w:rPr>
        <w:t>conveniens</w:t>
      </w:r>
      <w:proofErr w:type="spellEnd"/>
      <w:r w:rsidR="00646E98" w:rsidRPr="007A2A71">
        <w:rPr>
          <w:rFonts w:ascii="Times New Roman"/>
          <w:sz w:val="24"/>
          <w:szCs w:val="24"/>
          <w:lang w:val="en-US"/>
        </w:rPr>
        <w:t xml:space="preserve"> </w:t>
      </w:r>
      <w:r w:rsidRPr="007A2A71">
        <w:rPr>
          <w:rFonts w:ascii="Times New Roman"/>
          <w:sz w:val="24"/>
          <w:szCs w:val="24"/>
          <w:lang w:val="en-US"/>
        </w:rPr>
        <w:t xml:space="preserve">and forum </w:t>
      </w:r>
      <w:proofErr w:type="spellStart"/>
      <w:r w:rsidR="00646E98" w:rsidRPr="007A2A71">
        <w:rPr>
          <w:rFonts w:ascii="Times New Roman"/>
          <w:sz w:val="24"/>
          <w:szCs w:val="24"/>
          <w:lang w:val="en-US"/>
        </w:rPr>
        <w:t>necessitatis</w:t>
      </w:r>
      <w:proofErr w:type="spellEnd"/>
      <w:r w:rsidR="00646E98" w:rsidRPr="007A2A71">
        <w:rPr>
          <w:rFonts w:ascii="Times New Roman"/>
          <w:sz w:val="24"/>
          <w:szCs w:val="24"/>
          <w:lang w:val="en-US"/>
        </w:rPr>
        <w:t xml:space="preserve"> </w:t>
      </w:r>
      <w:r w:rsidRPr="007A2A71">
        <w:rPr>
          <w:rFonts w:ascii="Times New Roman"/>
          <w:sz w:val="24"/>
          <w:szCs w:val="24"/>
          <w:lang w:val="en-US"/>
        </w:rPr>
        <w:t xml:space="preserve">in article 7 </w:t>
      </w:r>
      <w:r w:rsidR="00646E98" w:rsidRPr="007A2A71">
        <w:rPr>
          <w:rFonts w:ascii="Times New Roman"/>
          <w:sz w:val="24"/>
          <w:szCs w:val="24"/>
          <w:lang w:val="en-US"/>
        </w:rPr>
        <w:t>is</w:t>
      </w:r>
      <w:r w:rsidRPr="007A2A71">
        <w:rPr>
          <w:rFonts w:ascii="Times New Roman"/>
          <w:sz w:val="24"/>
          <w:szCs w:val="24"/>
          <w:lang w:val="en-US"/>
        </w:rPr>
        <w:t xml:space="preserve"> a great improvement</w:t>
      </w:r>
      <w:r w:rsidR="00266686" w:rsidRPr="007A2A71">
        <w:rPr>
          <w:rFonts w:ascii="Times New Roman"/>
          <w:sz w:val="24"/>
          <w:szCs w:val="24"/>
          <w:lang w:val="en-US"/>
        </w:rPr>
        <w:t xml:space="preserve">. </w:t>
      </w:r>
      <w:r w:rsidRPr="007A2A71">
        <w:rPr>
          <w:rFonts w:ascii="Times New Roman"/>
          <w:sz w:val="24"/>
          <w:szCs w:val="24"/>
          <w:lang w:val="en-US"/>
        </w:rPr>
        <w:t xml:space="preserve">Also, </w:t>
      </w:r>
      <w:r w:rsidR="00B83A8B" w:rsidRPr="007A2A71">
        <w:rPr>
          <w:rFonts w:ascii="Times New Roman"/>
          <w:sz w:val="24"/>
          <w:szCs w:val="24"/>
          <w:lang w:val="en-US"/>
        </w:rPr>
        <w:t xml:space="preserve">this draft allows </w:t>
      </w:r>
      <w:r w:rsidRPr="007A2A71">
        <w:rPr>
          <w:rFonts w:ascii="Times New Roman"/>
          <w:sz w:val="24"/>
          <w:szCs w:val="24"/>
          <w:lang w:val="en-US"/>
        </w:rPr>
        <w:t>for Courts to bring together claims that are closely connecte</w:t>
      </w:r>
      <w:r w:rsidR="00266686" w:rsidRPr="007A2A71">
        <w:rPr>
          <w:rFonts w:ascii="Times New Roman"/>
          <w:sz w:val="24"/>
          <w:szCs w:val="24"/>
          <w:lang w:val="en-US"/>
        </w:rPr>
        <w:t xml:space="preserve">d. </w:t>
      </w:r>
    </w:p>
    <w:p w14:paraId="4236E4E1" w14:textId="13A6FDB1" w:rsidR="00646E98" w:rsidRPr="007A2A71" w:rsidRDefault="00646E98" w:rsidP="00723E6E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 xml:space="preserve">Both improvements are key to consolidate an effective international legal system in addressing human rights abuses or violations in the context of business activities. </w:t>
      </w:r>
    </w:p>
    <w:p w14:paraId="69CB537F" w14:textId="77777777" w:rsidR="00D963BB" w:rsidRPr="007A2A71" w:rsidRDefault="00723E6E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Notwithstanding these progresses, we believe that the Draft can be further perfected in this regard</w:t>
      </w:r>
      <w:r w:rsidR="00D963BB" w:rsidRPr="007A2A71">
        <w:rPr>
          <w:rFonts w:ascii="Times New Roman"/>
          <w:sz w:val="24"/>
          <w:szCs w:val="24"/>
          <w:lang w:val="en-US"/>
        </w:rPr>
        <w:t>.</w:t>
      </w:r>
    </w:p>
    <w:p w14:paraId="411C728E" w14:textId="11FC0BAD" w:rsidR="00BC518A" w:rsidRPr="007A2A71" w:rsidRDefault="00BC518A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A</w:t>
      </w:r>
      <w:r w:rsidR="00D963BB" w:rsidRPr="007A2A71">
        <w:rPr>
          <w:rFonts w:ascii="Times New Roman"/>
          <w:sz w:val="24"/>
          <w:szCs w:val="24"/>
          <w:lang w:val="en-US"/>
        </w:rPr>
        <w:t xml:space="preserve"> </w:t>
      </w:r>
      <w:r w:rsidRPr="007A2A71">
        <w:rPr>
          <w:rFonts w:ascii="Times New Roman"/>
          <w:sz w:val="24"/>
          <w:szCs w:val="24"/>
          <w:lang w:val="en-US"/>
        </w:rPr>
        <w:t>first element</w:t>
      </w:r>
      <w:r w:rsidR="00D963BB" w:rsidRPr="007A2A71">
        <w:rPr>
          <w:rFonts w:ascii="Times New Roman"/>
          <w:sz w:val="24"/>
          <w:szCs w:val="24"/>
          <w:lang w:val="en-US"/>
        </w:rPr>
        <w:t xml:space="preserve"> is that</w:t>
      </w:r>
      <w:r w:rsidRPr="007A2A71">
        <w:rPr>
          <w:rFonts w:ascii="Times New Roman"/>
          <w:sz w:val="24"/>
          <w:szCs w:val="24"/>
          <w:lang w:val="en-US"/>
        </w:rPr>
        <w:t xml:space="preserve"> the home of the victims must be considered as one of the criteria in </w:t>
      </w:r>
      <w:r w:rsidR="00D963BB" w:rsidRPr="007A2A71">
        <w:rPr>
          <w:rFonts w:ascii="Times New Roman"/>
          <w:sz w:val="24"/>
          <w:szCs w:val="24"/>
          <w:lang w:val="en-US"/>
        </w:rPr>
        <w:t xml:space="preserve">first </w:t>
      </w:r>
      <w:r w:rsidRPr="007A2A71">
        <w:rPr>
          <w:rFonts w:ascii="Times New Roman"/>
          <w:sz w:val="24"/>
          <w:szCs w:val="24"/>
          <w:lang w:val="en-US"/>
        </w:rPr>
        <w:t>paragraph</w:t>
      </w:r>
      <w:r w:rsidR="007A2A71" w:rsidRPr="007A2A71">
        <w:rPr>
          <w:rFonts w:ascii="Times New Roman"/>
          <w:sz w:val="24"/>
          <w:szCs w:val="24"/>
          <w:lang w:val="en-US"/>
        </w:rPr>
        <w:t xml:space="preserve"> of article 9</w:t>
      </w:r>
      <w:r w:rsidRPr="007A2A71">
        <w:rPr>
          <w:rFonts w:ascii="Times New Roman"/>
          <w:sz w:val="24"/>
          <w:szCs w:val="24"/>
          <w:lang w:val="en-US"/>
        </w:rPr>
        <w:t>. This was in the previous draft and its omission in the current one does not seem reasonable.</w:t>
      </w:r>
    </w:p>
    <w:p w14:paraId="1165EDD5" w14:textId="3AAC5365" w:rsidR="00266686" w:rsidRPr="007A2A71" w:rsidRDefault="00E8310A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Likewise, t</w:t>
      </w:r>
      <w:r w:rsidR="00646E98" w:rsidRPr="007A2A71">
        <w:rPr>
          <w:rFonts w:ascii="Times New Roman"/>
          <w:sz w:val="24"/>
          <w:szCs w:val="24"/>
          <w:lang w:val="en-US"/>
        </w:rPr>
        <w:t xml:space="preserve">he rules laid in the first paragraph shall be in accordance with the victim’s choice. They shall be in full stand to seek effective remedy in the most suitable forum, </w:t>
      </w:r>
      <w:r w:rsidR="00B83A8B" w:rsidRPr="007A2A71">
        <w:rPr>
          <w:rFonts w:ascii="Times New Roman"/>
          <w:sz w:val="24"/>
          <w:szCs w:val="24"/>
          <w:lang w:val="en-US"/>
        </w:rPr>
        <w:t>s</w:t>
      </w:r>
      <w:r w:rsidR="00D963BB" w:rsidRPr="007A2A71">
        <w:rPr>
          <w:rFonts w:ascii="Times New Roman"/>
          <w:sz w:val="24"/>
          <w:szCs w:val="24"/>
          <w:lang w:val="en-US"/>
        </w:rPr>
        <w:t xml:space="preserve">o </w:t>
      </w:r>
      <w:r w:rsidR="00646E98" w:rsidRPr="007A2A71">
        <w:rPr>
          <w:rFonts w:ascii="Times New Roman"/>
          <w:sz w:val="24"/>
          <w:szCs w:val="24"/>
          <w:lang w:val="en-US"/>
        </w:rPr>
        <w:t xml:space="preserve">to avert any case of denial of justice. </w:t>
      </w:r>
    </w:p>
    <w:p w14:paraId="5DF4BE5E" w14:textId="77AD96BB" w:rsidR="00D963BB" w:rsidRPr="007A2A71" w:rsidRDefault="00E8310A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 xml:space="preserve">Among the criteria to determine where the legal or natural person conducting business is domiciled, it is important </w:t>
      </w:r>
      <w:r w:rsidR="00D54316" w:rsidRPr="007A2A71">
        <w:rPr>
          <w:rFonts w:ascii="Times New Roman"/>
          <w:sz w:val="24"/>
          <w:szCs w:val="24"/>
          <w:lang w:val="en-US"/>
        </w:rPr>
        <w:t>to</w:t>
      </w:r>
      <w:r w:rsidRPr="007A2A71">
        <w:rPr>
          <w:rFonts w:ascii="Times New Roman"/>
          <w:sz w:val="24"/>
          <w:szCs w:val="24"/>
          <w:lang w:val="en-US"/>
        </w:rPr>
        <w:t xml:space="preserve"> includ</w:t>
      </w:r>
      <w:r w:rsidR="00D54316" w:rsidRPr="007A2A71">
        <w:rPr>
          <w:rFonts w:ascii="Times New Roman"/>
          <w:sz w:val="24"/>
          <w:szCs w:val="24"/>
          <w:lang w:val="en-US"/>
        </w:rPr>
        <w:t>e</w:t>
      </w:r>
      <w:r w:rsidRPr="007A2A71">
        <w:rPr>
          <w:rFonts w:ascii="Times New Roman"/>
          <w:sz w:val="24"/>
          <w:szCs w:val="24"/>
          <w:lang w:val="en-US"/>
        </w:rPr>
        <w:t xml:space="preserve"> where its substantial assets are located. </w:t>
      </w:r>
      <w:r w:rsidR="00D54316" w:rsidRPr="007A2A71">
        <w:rPr>
          <w:rFonts w:ascii="Times New Roman"/>
          <w:sz w:val="24"/>
          <w:szCs w:val="24"/>
          <w:lang w:val="en-US"/>
        </w:rPr>
        <w:t>S</w:t>
      </w:r>
      <w:r w:rsidRPr="007A2A71">
        <w:rPr>
          <w:rFonts w:ascii="Times New Roman"/>
          <w:sz w:val="24"/>
          <w:szCs w:val="24"/>
          <w:lang w:val="en-US"/>
        </w:rPr>
        <w:t xml:space="preserve">o that the </w:t>
      </w:r>
      <w:r w:rsidR="009808C8" w:rsidRPr="007A2A71">
        <w:rPr>
          <w:rFonts w:ascii="Times New Roman"/>
          <w:sz w:val="24"/>
          <w:szCs w:val="24"/>
          <w:lang w:val="en-US"/>
        </w:rPr>
        <w:t>C</w:t>
      </w:r>
      <w:r w:rsidRPr="007A2A71">
        <w:rPr>
          <w:rFonts w:ascii="Times New Roman"/>
          <w:sz w:val="24"/>
          <w:szCs w:val="24"/>
          <w:lang w:val="en-US"/>
        </w:rPr>
        <w:t xml:space="preserve">ourts can </w:t>
      </w:r>
      <w:r w:rsidR="00B83A8B" w:rsidRPr="007A2A71">
        <w:rPr>
          <w:rFonts w:ascii="Times New Roman"/>
          <w:sz w:val="24"/>
          <w:szCs w:val="24"/>
          <w:lang w:val="en-US"/>
        </w:rPr>
        <w:t xml:space="preserve">effectively </w:t>
      </w:r>
      <w:r w:rsidRPr="007A2A71">
        <w:rPr>
          <w:rFonts w:ascii="Times New Roman"/>
          <w:sz w:val="24"/>
          <w:szCs w:val="24"/>
          <w:lang w:val="en-US"/>
        </w:rPr>
        <w:t>lift the corporate veil</w:t>
      </w:r>
      <w:r w:rsidR="00D963BB" w:rsidRPr="007A2A71">
        <w:rPr>
          <w:rFonts w:ascii="Times New Roman"/>
          <w:sz w:val="24"/>
          <w:szCs w:val="24"/>
          <w:lang w:val="en-US"/>
        </w:rPr>
        <w:t>.</w:t>
      </w:r>
    </w:p>
    <w:p w14:paraId="6D640641" w14:textId="3C0F1C32" w:rsidR="007010F3" w:rsidRPr="007A2A71" w:rsidRDefault="00B83A8B" w:rsidP="00266686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I</w:t>
      </w:r>
      <w:r w:rsidR="00266686" w:rsidRPr="007A2A71">
        <w:rPr>
          <w:rFonts w:ascii="Times New Roman"/>
          <w:sz w:val="24"/>
          <w:szCs w:val="24"/>
          <w:lang w:val="en-US"/>
        </w:rPr>
        <w:t>t is important</w:t>
      </w:r>
      <w:r w:rsidRPr="007A2A71">
        <w:rPr>
          <w:rFonts w:ascii="Times New Roman"/>
          <w:sz w:val="24"/>
          <w:szCs w:val="24"/>
          <w:lang w:val="en-US"/>
        </w:rPr>
        <w:t xml:space="preserve"> also that this article shall be</w:t>
      </w:r>
      <w:r w:rsidR="00266686" w:rsidRPr="007A2A71">
        <w:rPr>
          <w:rFonts w:ascii="Times New Roman"/>
          <w:sz w:val="24"/>
          <w:szCs w:val="24"/>
          <w:lang w:val="en-US"/>
        </w:rPr>
        <w:t xml:space="preserve"> applicable to both civil and criminal proceedings</w:t>
      </w:r>
      <w:r w:rsidRPr="007A2A71">
        <w:rPr>
          <w:rFonts w:ascii="Times New Roman"/>
          <w:sz w:val="24"/>
          <w:szCs w:val="24"/>
          <w:lang w:val="en-US"/>
        </w:rPr>
        <w:t xml:space="preserve">. And we believe that it should include a rule to clarify that, when appropriate, this won’t preclude universal jurisdiction for international crimes. </w:t>
      </w:r>
    </w:p>
    <w:p w14:paraId="53DAA025" w14:textId="3880522F" w:rsidR="007010F3" w:rsidRPr="007A2A71" w:rsidRDefault="007010F3" w:rsidP="007010F3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Finally,</w:t>
      </w:r>
      <w:r w:rsidR="00D54316" w:rsidRPr="007A2A71">
        <w:rPr>
          <w:rFonts w:ascii="Times New Roman"/>
          <w:sz w:val="24"/>
          <w:szCs w:val="24"/>
          <w:lang w:val="en-US"/>
        </w:rPr>
        <w:t xml:space="preserve"> in</w:t>
      </w:r>
      <w:r w:rsidRPr="007A2A71">
        <w:rPr>
          <w:rFonts w:ascii="Times New Roman"/>
          <w:sz w:val="24"/>
          <w:szCs w:val="24"/>
          <w:lang w:val="en-US"/>
        </w:rPr>
        <w:t xml:space="preserve"> article 12, we believe that paragraph 10 should be removed. It provides for extensive authorizations for the States to refuse to cooperate. </w:t>
      </w:r>
    </w:p>
    <w:p w14:paraId="5024F326" w14:textId="4BF2F5A8" w:rsidR="007010F3" w:rsidRPr="007A2A71" w:rsidRDefault="007010F3" w:rsidP="00266686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>Paragraph 9 already provides different grounds on which States may refuse</w:t>
      </w:r>
      <w:r w:rsidR="007A2A71" w:rsidRPr="007A2A71">
        <w:rPr>
          <w:rFonts w:ascii="Times New Roman"/>
          <w:sz w:val="24"/>
          <w:szCs w:val="24"/>
          <w:lang w:val="en-US"/>
        </w:rPr>
        <w:t xml:space="preserve"> to it</w:t>
      </w:r>
      <w:r w:rsidR="00D54316" w:rsidRPr="007A2A71">
        <w:rPr>
          <w:rFonts w:ascii="Times New Roman"/>
          <w:sz w:val="24"/>
          <w:szCs w:val="24"/>
          <w:lang w:val="en-US"/>
        </w:rPr>
        <w:t xml:space="preserve">. </w:t>
      </w:r>
      <w:r w:rsidRPr="007A2A71">
        <w:rPr>
          <w:rFonts w:ascii="Times New Roman"/>
          <w:sz w:val="24"/>
          <w:szCs w:val="24"/>
          <w:lang w:val="en-US"/>
        </w:rPr>
        <w:t>So, does</w:t>
      </w:r>
      <w:r w:rsidR="00D54316" w:rsidRPr="007A2A71">
        <w:rPr>
          <w:rFonts w:ascii="Times New Roman"/>
          <w:sz w:val="24"/>
          <w:szCs w:val="24"/>
          <w:lang w:val="en-US"/>
        </w:rPr>
        <w:t>n’t</w:t>
      </w:r>
      <w:r w:rsidRPr="007A2A71">
        <w:rPr>
          <w:rFonts w:ascii="Times New Roman"/>
          <w:sz w:val="24"/>
          <w:szCs w:val="24"/>
          <w:lang w:val="en-US"/>
        </w:rPr>
        <w:t xml:space="preserve"> seem reasonable to widen like this the States margins to refuse assistance and, in doing so, to </w:t>
      </w:r>
      <w:r w:rsidR="007A2A71" w:rsidRPr="007A2A71">
        <w:rPr>
          <w:rStyle w:val="tlid-translation"/>
          <w:rFonts w:ascii="Times New Roman"/>
          <w:sz w:val="24"/>
          <w:szCs w:val="24"/>
          <w:lang w:val="en"/>
        </w:rPr>
        <w:t xml:space="preserve">thwart </w:t>
      </w:r>
      <w:r w:rsidRPr="007A2A71">
        <w:rPr>
          <w:rFonts w:ascii="Times New Roman"/>
          <w:sz w:val="24"/>
          <w:szCs w:val="24"/>
          <w:lang w:val="en-US"/>
        </w:rPr>
        <w:t>justice</w:t>
      </w:r>
      <w:r w:rsidR="007A2A71">
        <w:rPr>
          <w:rFonts w:ascii="Times New Roman"/>
          <w:sz w:val="24"/>
          <w:szCs w:val="24"/>
          <w:lang w:val="en-US"/>
        </w:rPr>
        <w:t xml:space="preserve">. </w:t>
      </w:r>
    </w:p>
    <w:p w14:paraId="531421D9" w14:textId="3D338672" w:rsidR="00723E6E" w:rsidRPr="007A2A71" w:rsidRDefault="00266686">
      <w:pPr>
        <w:rPr>
          <w:rFonts w:ascii="Times New Roman"/>
          <w:sz w:val="24"/>
          <w:szCs w:val="24"/>
          <w:lang w:val="en-US"/>
        </w:rPr>
      </w:pPr>
      <w:r w:rsidRPr="007A2A71">
        <w:rPr>
          <w:rFonts w:ascii="Times New Roman"/>
          <w:sz w:val="24"/>
          <w:szCs w:val="24"/>
          <w:lang w:val="en-US"/>
        </w:rPr>
        <w:t xml:space="preserve">We encourage this Working Group to </w:t>
      </w:r>
      <w:r w:rsidR="00D963BB" w:rsidRPr="007A2A71">
        <w:rPr>
          <w:rFonts w:ascii="Times New Roman"/>
          <w:sz w:val="24"/>
          <w:szCs w:val="24"/>
          <w:lang w:val="en-US"/>
        </w:rPr>
        <w:t>up</w:t>
      </w:r>
      <w:r w:rsidRPr="007A2A71">
        <w:rPr>
          <w:rFonts w:ascii="Times New Roman"/>
          <w:sz w:val="24"/>
          <w:szCs w:val="24"/>
          <w:lang w:val="en"/>
        </w:rPr>
        <w:t>hold the improvements and consensus reached</w:t>
      </w:r>
      <w:r w:rsidR="00646E98" w:rsidRPr="007A2A71">
        <w:rPr>
          <w:rFonts w:ascii="Times New Roman"/>
          <w:sz w:val="24"/>
          <w:szCs w:val="24"/>
          <w:lang w:val="en"/>
        </w:rPr>
        <w:t>. And</w:t>
      </w:r>
      <w:r w:rsidRPr="007A2A71">
        <w:rPr>
          <w:rFonts w:ascii="Times New Roman"/>
          <w:sz w:val="24"/>
          <w:szCs w:val="24"/>
          <w:lang w:val="en-US"/>
        </w:rPr>
        <w:t xml:space="preserve"> </w:t>
      </w:r>
      <w:r w:rsidR="00D963BB" w:rsidRPr="007A2A71">
        <w:rPr>
          <w:rFonts w:ascii="Times New Roman"/>
          <w:sz w:val="24"/>
          <w:szCs w:val="24"/>
          <w:lang w:val="en-US"/>
        </w:rPr>
        <w:t xml:space="preserve">to </w:t>
      </w:r>
      <w:r w:rsidRPr="007A2A71">
        <w:rPr>
          <w:rFonts w:ascii="Times New Roman"/>
          <w:sz w:val="24"/>
          <w:szCs w:val="24"/>
          <w:lang w:val="en-US"/>
        </w:rPr>
        <w:t xml:space="preserve">continue to strengthen the norms that provide for effective access to remedy for the victims </w:t>
      </w:r>
      <w:r w:rsidR="00646E98" w:rsidRPr="007A2A71">
        <w:rPr>
          <w:rFonts w:ascii="Times New Roman"/>
          <w:sz w:val="24"/>
          <w:szCs w:val="24"/>
          <w:lang w:val="en-US"/>
        </w:rPr>
        <w:t xml:space="preserve">of </w:t>
      </w:r>
      <w:r w:rsidRPr="007A2A71">
        <w:rPr>
          <w:rFonts w:ascii="Times New Roman"/>
          <w:sz w:val="24"/>
          <w:szCs w:val="24"/>
          <w:lang w:val="en-US"/>
        </w:rPr>
        <w:t>human rights abuses or violations in the context of business activities.</w:t>
      </w:r>
    </w:p>
    <w:p w14:paraId="09F5F51F" w14:textId="77777777" w:rsidR="00723E6E" w:rsidRPr="007A2A71" w:rsidRDefault="00723E6E">
      <w:pPr>
        <w:rPr>
          <w:rFonts w:ascii="Times New Roman"/>
          <w:sz w:val="24"/>
          <w:szCs w:val="24"/>
          <w:lang w:val="en-US"/>
        </w:rPr>
      </w:pPr>
    </w:p>
    <w:sectPr w:rsidR="00723E6E" w:rsidRPr="007A2A71" w:rsidSect="00B83A8B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A735" w14:textId="77777777" w:rsidR="0024293E" w:rsidRDefault="0024293E" w:rsidP="00991A4A">
      <w:pPr>
        <w:spacing w:after="0" w:line="240" w:lineRule="auto"/>
      </w:pPr>
      <w:r>
        <w:separator/>
      </w:r>
    </w:p>
  </w:endnote>
  <w:endnote w:type="continuationSeparator" w:id="0">
    <w:p w14:paraId="47F8CC20" w14:textId="77777777" w:rsidR="0024293E" w:rsidRDefault="0024293E" w:rsidP="0099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6716" w14:textId="77777777" w:rsidR="0024293E" w:rsidRDefault="0024293E" w:rsidP="00991A4A">
      <w:pPr>
        <w:spacing w:after="0" w:line="240" w:lineRule="auto"/>
      </w:pPr>
      <w:r>
        <w:separator/>
      </w:r>
    </w:p>
  </w:footnote>
  <w:footnote w:type="continuationSeparator" w:id="0">
    <w:p w14:paraId="15DA6888" w14:textId="77777777" w:rsidR="0024293E" w:rsidRDefault="0024293E" w:rsidP="0099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6A21" w14:textId="13EF823F" w:rsidR="00991A4A" w:rsidRDefault="00991A4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6646F72" wp14:editId="2AA5DBFA">
          <wp:simplePos x="0" y="0"/>
          <wp:positionH relativeFrom="column">
            <wp:posOffset>-528408</wp:posOffset>
          </wp:positionH>
          <wp:positionV relativeFrom="paragraph">
            <wp:posOffset>-197331</wp:posOffset>
          </wp:positionV>
          <wp:extent cx="1229710" cy="514150"/>
          <wp:effectExtent l="0" t="0" r="0" b="635"/>
          <wp:wrapTight wrapText="bothSides">
            <wp:wrapPolygon edited="0">
              <wp:start x="0" y="0"/>
              <wp:lineTo x="0" y="20826"/>
              <wp:lineTo x="21087" y="20826"/>
              <wp:lineTo x="210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10" cy="51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MTMxMDExNLA0NbJU0lEKTi0uzszPAykwqQUAlOlp2iwAAAA="/>
  </w:docVars>
  <w:rsids>
    <w:rsidRoot w:val="00902503"/>
    <w:rsid w:val="0015050A"/>
    <w:rsid w:val="0024293E"/>
    <w:rsid w:val="00266686"/>
    <w:rsid w:val="002955CE"/>
    <w:rsid w:val="005F02DB"/>
    <w:rsid w:val="00646E98"/>
    <w:rsid w:val="007010F3"/>
    <w:rsid w:val="00723E6E"/>
    <w:rsid w:val="0079267E"/>
    <w:rsid w:val="007A2A71"/>
    <w:rsid w:val="00902503"/>
    <w:rsid w:val="0096338A"/>
    <w:rsid w:val="009808C8"/>
    <w:rsid w:val="00991A4A"/>
    <w:rsid w:val="00A7319E"/>
    <w:rsid w:val="00B83A8B"/>
    <w:rsid w:val="00BC518A"/>
    <w:rsid w:val="00D54316"/>
    <w:rsid w:val="00D70CA7"/>
    <w:rsid w:val="00D86268"/>
    <w:rsid w:val="00D963BB"/>
    <w:rsid w:val="00E7244B"/>
    <w:rsid w:val="00E8310A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3124AB"/>
  <w15:chartTrackingRefBased/>
  <w15:docId w15:val="{8DF5F703-8C63-4986-A5CF-67FD80C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67E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uentedeprrafopredeter"/>
    <w:rsid w:val="00EC14C4"/>
  </w:style>
  <w:style w:type="character" w:customStyle="1" w:styleId="tlid-translation">
    <w:name w:val="tlid-translation"/>
    <w:basedOn w:val="Fuentedeprrafopredeter"/>
    <w:rsid w:val="00266686"/>
  </w:style>
  <w:style w:type="paragraph" w:styleId="Encabezado">
    <w:name w:val="header"/>
    <w:basedOn w:val="Normal"/>
    <w:link w:val="EncabezadoCar"/>
    <w:uiPriority w:val="99"/>
    <w:unhideWhenUsed/>
    <w:rsid w:val="0099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A4A"/>
  </w:style>
  <w:style w:type="paragraph" w:styleId="Piedepgina">
    <w:name w:val="footer"/>
    <w:basedOn w:val="Normal"/>
    <w:link w:val="PiedepginaCar"/>
    <w:uiPriority w:val="99"/>
    <w:unhideWhenUsed/>
    <w:rsid w:val="0099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121B8-E601-4FC7-9722-00EF843BB7E1}"/>
</file>

<file path=customXml/itemProps2.xml><?xml version="1.0" encoding="utf-8"?>
<ds:datastoreItem xmlns:ds="http://schemas.openxmlformats.org/officeDocument/2006/customXml" ds:itemID="{F2C225BF-1501-457A-AF69-A5EC3A6D9D76}"/>
</file>

<file path=customXml/itemProps3.xml><?xml version="1.0" encoding="utf-8"?>
<ds:datastoreItem xmlns:ds="http://schemas.openxmlformats.org/officeDocument/2006/customXml" ds:itemID="{4646ABBD-5766-4F63-AE58-20B9DA951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López</dc:creator>
  <cp:keywords/>
  <dc:description/>
  <cp:lastModifiedBy>Andrés López </cp:lastModifiedBy>
  <cp:revision>6</cp:revision>
  <dcterms:created xsi:type="dcterms:W3CDTF">2020-10-22T13:20:00Z</dcterms:created>
  <dcterms:modified xsi:type="dcterms:W3CDTF">2020-10-27T14:06:00Z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