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0884" w14:textId="77777777" w:rsidR="00623FF1" w:rsidRPr="00EA3168" w:rsidRDefault="00623FF1" w:rsidP="008829B9">
      <w:pPr>
        <w:pStyle w:val="CorpsA"/>
        <w:jc w:val="center"/>
        <w:rPr>
          <w:rStyle w:val="AucuneA"/>
          <w:rFonts w:ascii="Times New Roman" w:hAnsi="Times New Roman" w:cs="Times New Roman"/>
          <w:b/>
          <w:bCs/>
          <w:sz w:val="24"/>
          <w:szCs w:val="24"/>
        </w:rPr>
      </w:pPr>
    </w:p>
    <w:p w14:paraId="0BA33950" w14:textId="63FD6919" w:rsidR="00623FF1" w:rsidRPr="00EA3168" w:rsidRDefault="00623FF1" w:rsidP="008829B9">
      <w:pPr>
        <w:pStyle w:val="CorpsA"/>
        <w:jc w:val="center"/>
        <w:rPr>
          <w:rStyle w:val="AucuneA"/>
          <w:rFonts w:ascii="Times New Roman" w:hAnsi="Times New Roman" w:cs="Times New Roman"/>
          <w:b/>
          <w:bCs/>
          <w:sz w:val="24"/>
          <w:szCs w:val="24"/>
        </w:rPr>
      </w:pPr>
      <w:r w:rsidRPr="00EA3168">
        <w:rPr>
          <w:rFonts w:ascii="Times New Roman" w:eastAsia="Gill Sans MT" w:hAnsi="Times New Roman" w:cs="Times New Roman"/>
          <w:noProof/>
          <w:color w:val="00000A"/>
          <w:sz w:val="24"/>
          <w:szCs w:val="24"/>
          <w:bdr w:val="none" w:sz="0" w:space="0" w:color="auto"/>
          <w:lang w:val="de-DE" w:eastAsia="de-DE"/>
        </w:rPr>
        <w:drawing>
          <wp:inline distT="0" distB="0" distL="0" distR="0" wp14:anchorId="0BB5D3A7" wp14:editId="598572E7">
            <wp:extent cx="2171700" cy="793750"/>
            <wp:effectExtent l="0" t="0" r="0" b="6350"/>
            <wp:docPr id="2" name="Grafik 2" descr="C:\Users\suarez-franco\AppData\Local\Microsoft\Windows\INetCache\Content.MSO\592481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arez-franco\AppData\Local\Microsoft\Windows\INetCache\Content.MSO\5924811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BF08C" w14:textId="77777777" w:rsidR="00623FF1" w:rsidRPr="005E5DE4" w:rsidRDefault="00623FF1" w:rsidP="008829B9">
      <w:pPr>
        <w:pStyle w:val="CorpsA"/>
        <w:jc w:val="center"/>
        <w:rPr>
          <w:rStyle w:val="AucuneA"/>
          <w:rFonts w:ascii="Times New Roman" w:hAnsi="Times New Roman" w:cs="Times New Roman"/>
          <w:b/>
          <w:bCs/>
          <w:sz w:val="26"/>
          <w:szCs w:val="26"/>
        </w:rPr>
      </w:pPr>
    </w:p>
    <w:p w14:paraId="0952B323" w14:textId="77777777" w:rsidR="005E5DE4" w:rsidRDefault="005E5DE4" w:rsidP="005E5DE4">
      <w:pPr>
        <w:pStyle w:val="CorpsA"/>
        <w:jc w:val="center"/>
        <w:rPr>
          <w:rFonts w:ascii="Fian text" w:hAnsi="Fian text"/>
          <w:b/>
          <w:bCs/>
          <w:sz w:val="26"/>
          <w:szCs w:val="26"/>
          <w:lang w:val="en-GB"/>
        </w:rPr>
      </w:pPr>
      <w:r w:rsidRPr="005E5DE4">
        <w:rPr>
          <w:rFonts w:ascii="Fian text" w:hAnsi="Fian text"/>
          <w:b/>
          <w:bCs/>
          <w:sz w:val="26"/>
          <w:szCs w:val="26"/>
          <w:lang w:val="en-GB"/>
        </w:rPr>
        <w:t>Oral statement by FIAN International during the 6</w:t>
      </w:r>
      <w:r w:rsidRPr="005E5DE4">
        <w:rPr>
          <w:rFonts w:ascii="Fian text" w:hAnsi="Fian text"/>
          <w:b/>
          <w:bCs/>
          <w:sz w:val="26"/>
          <w:szCs w:val="26"/>
          <w:vertAlign w:val="superscript"/>
          <w:lang w:val="en-GB"/>
        </w:rPr>
        <w:t>th</w:t>
      </w:r>
      <w:r w:rsidRPr="005E5DE4">
        <w:rPr>
          <w:rFonts w:ascii="Fian text" w:hAnsi="Fian text"/>
          <w:b/>
          <w:bCs/>
          <w:sz w:val="26"/>
          <w:szCs w:val="26"/>
          <w:lang w:val="en-GB"/>
        </w:rPr>
        <w:t xml:space="preserve"> session of the OEIGWG on TNCs and other business enterprises with respect to human rights: </w:t>
      </w:r>
    </w:p>
    <w:p w14:paraId="06AFDB68" w14:textId="36E5EFB3" w:rsidR="003A5191" w:rsidRPr="003A5191" w:rsidRDefault="00F540CF" w:rsidP="003A5191">
      <w:pPr>
        <w:pStyle w:val="CorpsA"/>
        <w:jc w:val="center"/>
        <w:rPr>
          <w:rStyle w:val="AucuneA"/>
          <w:rFonts w:ascii="Fian text" w:hAnsi="Fian text" w:cs="Times New Roman"/>
          <w:b/>
          <w:bCs/>
          <w:sz w:val="26"/>
          <w:szCs w:val="26"/>
        </w:rPr>
      </w:pPr>
      <w:r>
        <w:rPr>
          <w:rStyle w:val="AucuneA"/>
          <w:rFonts w:ascii="Fian text" w:hAnsi="Fian text" w:cs="Times New Roman"/>
          <w:b/>
          <w:bCs/>
          <w:sz w:val="26"/>
          <w:szCs w:val="26"/>
        </w:rPr>
        <w:t>Article 5 (Protection of victims)</w:t>
      </w:r>
      <w:r w:rsidR="001B6C35">
        <w:rPr>
          <w:rStyle w:val="AucuneA"/>
          <w:rFonts w:ascii="Fian text" w:hAnsi="Fian text" w:cs="Times New Roman"/>
          <w:b/>
          <w:bCs/>
          <w:sz w:val="26"/>
          <w:szCs w:val="26"/>
        </w:rPr>
        <w:t>/</w:t>
      </w:r>
      <w:r>
        <w:rPr>
          <w:rStyle w:val="AucuneA"/>
          <w:rFonts w:ascii="Fian text" w:hAnsi="Fian text" w:cs="Times New Roman"/>
          <w:b/>
          <w:bCs/>
          <w:sz w:val="26"/>
          <w:szCs w:val="26"/>
        </w:rPr>
        <w:t>Article 6 (Prevention</w:t>
      </w:r>
      <w:r w:rsidR="005E5DE4" w:rsidRPr="005E5DE4">
        <w:rPr>
          <w:rStyle w:val="AucuneA"/>
          <w:rFonts w:ascii="Fian text" w:hAnsi="Fian text" w:cs="Times New Roman"/>
          <w:b/>
          <w:bCs/>
          <w:sz w:val="26"/>
          <w:szCs w:val="26"/>
        </w:rPr>
        <w:t>)</w:t>
      </w:r>
      <w:r w:rsidR="001B6C35">
        <w:rPr>
          <w:rStyle w:val="AucuneA"/>
          <w:rFonts w:ascii="Fian text" w:hAnsi="Fian text" w:cs="Times New Roman"/>
          <w:b/>
          <w:bCs/>
          <w:sz w:val="26"/>
          <w:szCs w:val="26"/>
        </w:rPr>
        <w:t>/</w:t>
      </w:r>
      <w:r w:rsidR="003A5191">
        <w:rPr>
          <w:rStyle w:val="AucuneA"/>
          <w:rFonts w:ascii="Fian text" w:hAnsi="Fian text" w:cs="Times New Roman"/>
          <w:b/>
          <w:bCs/>
          <w:sz w:val="26"/>
          <w:szCs w:val="26"/>
        </w:rPr>
        <w:t>Article 7 (Access to remedy)</w:t>
      </w:r>
    </w:p>
    <w:p w14:paraId="72FE2BE8" w14:textId="77777777" w:rsidR="005E5DE4" w:rsidRPr="005E5DE4" w:rsidRDefault="005E5DE4" w:rsidP="005E5DE4">
      <w:pPr>
        <w:pStyle w:val="CorpsA"/>
        <w:jc w:val="center"/>
        <w:rPr>
          <w:rStyle w:val="AucuneA"/>
          <w:rFonts w:ascii="Fian text" w:hAnsi="Fian text" w:cs="Times New Roman"/>
          <w:b/>
          <w:bCs/>
          <w:sz w:val="24"/>
          <w:szCs w:val="24"/>
        </w:rPr>
      </w:pPr>
    </w:p>
    <w:p w14:paraId="7223BE8D" w14:textId="2424D53C" w:rsidR="00623FF1" w:rsidRDefault="00393933" w:rsidP="00393933">
      <w:pPr>
        <w:pStyle w:val="CorpsA"/>
        <w:jc w:val="both"/>
        <w:rPr>
          <w:rStyle w:val="AucuneA"/>
          <w:rFonts w:ascii="Fian text" w:hAnsi="Fian text" w:cs="Times New Roman"/>
          <w:sz w:val="24"/>
          <w:szCs w:val="24"/>
        </w:rPr>
      </w:pPr>
      <w:r w:rsidRPr="005E5DE4">
        <w:rPr>
          <w:rStyle w:val="AucuneA"/>
          <w:rFonts w:ascii="Fian text" w:hAnsi="Fian text" w:cs="Times New Roman"/>
          <w:sz w:val="24"/>
          <w:szCs w:val="24"/>
        </w:rPr>
        <w:t>Thank you Mr.</w:t>
      </w:r>
      <w:r w:rsidR="007A3428" w:rsidRPr="005E5DE4">
        <w:rPr>
          <w:rStyle w:val="AucuneA"/>
          <w:rFonts w:ascii="Fian text" w:hAnsi="Fian text" w:cs="Times New Roman"/>
          <w:sz w:val="24"/>
          <w:szCs w:val="24"/>
        </w:rPr>
        <w:t xml:space="preserve"> </w:t>
      </w:r>
      <w:r w:rsidR="002440AE" w:rsidRPr="005E5DE4">
        <w:rPr>
          <w:rStyle w:val="AucuneA"/>
          <w:rFonts w:ascii="Fian text" w:hAnsi="Fian text" w:cs="Times New Roman"/>
          <w:sz w:val="24"/>
          <w:szCs w:val="24"/>
        </w:rPr>
        <w:t>Chair</w:t>
      </w:r>
      <w:r w:rsidR="005E5DE4">
        <w:rPr>
          <w:rStyle w:val="AucuneA"/>
          <w:rFonts w:ascii="Fian text" w:hAnsi="Fian text" w:cs="Times New Roman"/>
          <w:sz w:val="24"/>
          <w:szCs w:val="24"/>
        </w:rPr>
        <w:t>person</w:t>
      </w:r>
      <w:r w:rsidR="002440AE" w:rsidRPr="005E5DE4">
        <w:rPr>
          <w:rStyle w:val="AucuneA"/>
          <w:rFonts w:ascii="Fian text" w:hAnsi="Fian text" w:cs="Times New Roman"/>
          <w:sz w:val="24"/>
          <w:szCs w:val="24"/>
        </w:rPr>
        <w:t>-</w:t>
      </w:r>
      <w:r w:rsidR="007A3428" w:rsidRPr="005E5DE4">
        <w:rPr>
          <w:rStyle w:val="AucuneA"/>
          <w:rFonts w:ascii="Fian text" w:hAnsi="Fian text" w:cs="Times New Roman"/>
          <w:sz w:val="24"/>
          <w:szCs w:val="24"/>
        </w:rPr>
        <w:t>President</w:t>
      </w:r>
      <w:r w:rsidRPr="005E5DE4">
        <w:rPr>
          <w:rStyle w:val="AucuneA"/>
          <w:rFonts w:ascii="Fian text" w:hAnsi="Fian text" w:cs="Times New Roman"/>
          <w:sz w:val="24"/>
          <w:szCs w:val="24"/>
        </w:rPr>
        <w:t>,</w:t>
      </w:r>
    </w:p>
    <w:p w14:paraId="214E97A8" w14:textId="3C282829" w:rsidR="00393933" w:rsidRPr="00F421FE" w:rsidRDefault="00393933" w:rsidP="00393933">
      <w:pPr>
        <w:pStyle w:val="CorpsA"/>
        <w:jc w:val="both"/>
        <w:rPr>
          <w:rStyle w:val="AucuneA"/>
          <w:rFonts w:ascii="Fian text" w:hAnsi="Fian text" w:cs="Times New Roman"/>
          <w:sz w:val="24"/>
          <w:szCs w:val="24"/>
        </w:rPr>
      </w:pPr>
    </w:p>
    <w:p w14:paraId="6B999438" w14:textId="1D56F6A0" w:rsidR="00F540CF" w:rsidRPr="00F421FE" w:rsidRDefault="00F540CF" w:rsidP="00817769">
      <w:pPr>
        <w:pStyle w:val="CorpsA"/>
        <w:jc w:val="both"/>
        <w:rPr>
          <w:rStyle w:val="AucuneA"/>
          <w:rFonts w:ascii="Fian text" w:hAnsi="Fian text" w:cs="Times New Roman"/>
          <w:sz w:val="24"/>
          <w:szCs w:val="24"/>
        </w:rPr>
      </w:pPr>
      <w:r w:rsidRPr="00F421FE">
        <w:rPr>
          <w:rStyle w:val="AucuneA"/>
          <w:rFonts w:ascii="Fian text" w:hAnsi="Fian text" w:cs="Times New Roman"/>
          <w:sz w:val="24"/>
          <w:szCs w:val="24"/>
        </w:rPr>
        <w:tab/>
      </w:r>
      <w:r w:rsidR="00F421FE" w:rsidRPr="00F421FE">
        <w:rPr>
          <w:rStyle w:val="AucuneA"/>
          <w:rFonts w:ascii="Fian text" w:hAnsi="Fian text" w:cs="Times New Roman"/>
          <w:sz w:val="24"/>
          <w:szCs w:val="24"/>
        </w:rPr>
        <w:t xml:space="preserve">Regarding article 5, </w:t>
      </w:r>
      <w:r w:rsidR="00817769">
        <w:rPr>
          <w:rStyle w:val="AucuneA"/>
          <w:rFonts w:ascii="Fian text" w:hAnsi="Fian text" w:cs="Times New Roman"/>
          <w:sz w:val="24"/>
          <w:szCs w:val="24"/>
        </w:rPr>
        <w:t xml:space="preserve">we suggest </w:t>
      </w:r>
      <w:r w:rsidR="00F421FE">
        <w:rPr>
          <w:rFonts w:ascii="Fian text" w:hAnsi="Fian text"/>
          <w:sz w:val="24"/>
          <w:szCs w:val="24"/>
          <w:lang w:val="en-US"/>
        </w:rPr>
        <w:t>adding the following to article 5.2: “</w:t>
      </w:r>
      <w:r w:rsidR="00F421FE" w:rsidRPr="00F421FE">
        <w:rPr>
          <w:rFonts w:ascii="Fian text" w:hAnsi="Fian text"/>
          <w:bCs/>
          <w:i/>
          <w:iCs/>
          <w:sz w:val="24"/>
          <w:szCs w:val="24"/>
          <w:lang w:val="en-GB"/>
        </w:rPr>
        <w:t>This obligation requires taking into account States Parties’ international obligations in the field of human rights, their constitutional principles and the basic concepts of their legal systems.</w:t>
      </w:r>
      <w:r w:rsidR="00817769">
        <w:rPr>
          <w:rFonts w:ascii="Fian text" w:hAnsi="Fian text"/>
          <w:bCs/>
          <w:i/>
          <w:iCs/>
          <w:sz w:val="24"/>
          <w:szCs w:val="24"/>
          <w:lang w:val="en-GB"/>
        </w:rPr>
        <w:t>”</w:t>
      </w:r>
    </w:p>
    <w:p w14:paraId="75D3E4D7" w14:textId="4262524C" w:rsidR="007D1411" w:rsidRDefault="005E5DE4" w:rsidP="00F540CF">
      <w:pPr>
        <w:jc w:val="both"/>
        <w:rPr>
          <w:rStyle w:val="AucuneA"/>
          <w:rFonts w:ascii="Fian text" w:hAnsi="Fian text"/>
        </w:rPr>
      </w:pPr>
      <w:r w:rsidRPr="005E5DE4">
        <w:rPr>
          <w:rStyle w:val="AucuneA"/>
          <w:rFonts w:ascii="Fian text" w:hAnsi="Fian text"/>
        </w:rPr>
        <w:tab/>
      </w:r>
    </w:p>
    <w:p w14:paraId="3DF7B64F" w14:textId="3386E9C7" w:rsidR="00F421FE" w:rsidRPr="00F421FE" w:rsidRDefault="00357F45" w:rsidP="00F421FE">
      <w:pPr>
        <w:ind w:firstLine="720"/>
        <w:jc w:val="both"/>
        <w:rPr>
          <w:rFonts w:ascii="Fian text" w:hAnsi="Fian text"/>
          <w:b/>
          <w:bCs/>
          <w:lang w:val="en-GB"/>
        </w:rPr>
      </w:pPr>
      <w:r>
        <w:rPr>
          <w:rFonts w:ascii="Fian text" w:hAnsi="Fian text"/>
          <w:lang w:val="en-GB"/>
        </w:rPr>
        <w:t xml:space="preserve">Regarding article 6: </w:t>
      </w:r>
      <w:r w:rsidRPr="00357F45">
        <w:rPr>
          <w:rFonts w:ascii="Fian text" w:hAnsi="Fian text"/>
          <w:lang w:val="en-GB"/>
        </w:rPr>
        <w:t xml:space="preserve">Prevention and not mitigation should be at the core of human rights due diligence. </w:t>
      </w:r>
      <w:r w:rsidR="00F421FE" w:rsidRPr="00F421FE">
        <w:rPr>
          <w:rFonts w:ascii="Fian text" w:hAnsi="Fian text"/>
          <w:lang w:val="en-GB"/>
        </w:rPr>
        <w:t>As mitigation can result more cost-effective than prevention for certain</w:t>
      </w:r>
      <w:r>
        <w:rPr>
          <w:rFonts w:ascii="Fian text" w:hAnsi="Fian text"/>
          <w:lang w:val="en-GB"/>
        </w:rPr>
        <w:t xml:space="preserve"> transnational corporations, </w:t>
      </w:r>
      <w:r w:rsidR="00F421FE" w:rsidRPr="00F421FE">
        <w:rPr>
          <w:rFonts w:ascii="Fian text" w:hAnsi="Fian text"/>
          <w:lang w:val="en-GB"/>
        </w:rPr>
        <w:t>these might prefer to mitigate instead of effectively invest in prevention. Including mitigation</w:t>
      </w:r>
      <w:r w:rsidR="00817769">
        <w:rPr>
          <w:rFonts w:ascii="Fian text" w:hAnsi="Fian text"/>
          <w:lang w:val="en-GB"/>
        </w:rPr>
        <w:t xml:space="preserve"> in article 6</w:t>
      </w:r>
      <w:r w:rsidR="00F421FE" w:rsidRPr="00F421FE">
        <w:rPr>
          <w:rFonts w:ascii="Fian text" w:hAnsi="Fian text"/>
          <w:lang w:val="en-GB"/>
        </w:rPr>
        <w:t xml:space="preserve"> as a component of human rights due diligence standards </w:t>
      </w:r>
      <w:r w:rsidR="00F421FE" w:rsidRPr="00357F45">
        <w:rPr>
          <w:rFonts w:ascii="Fian text" w:hAnsi="Fian text"/>
          <w:b/>
          <w:lang w:val="en-GB"/>
        </w:rPr>
        <w:t xml:space="preserve">sends </w:t>
      </w:r>
      <w:r w:rsidR="00A4026D" w:rsidRPr="00357F45">
        <w:rPr>
          <w:rFonts w:ascii="Fian text" w:hAnsi="Fian text"/>
          <w:b/>
          <w:lang w:val="en-GB"/>
        </w:rPr>
        <w:t xml:space="preserve">the </w:t>
      </w:r>
      <w:r w:rsidR="00F421FE" w:rsidRPr="00357F45">
        <w:rPr>
          <w:rFonts w:ascii="Fian text" w:hAnsi="Fian text"/>
          <w:b/>
          <w:lang w:val="en-GB"/>
        </w:rPr>
        <w:t>wrong message</w:t>
      </w:r>
      <w:r w:rsidR="00F421FE" w:rsidRPr="00F421FE">
        <w:rPr>
          <w:rFonts w:ascii="Fian text" w:hAnsi="Fian text"/>
          <w:lang w:val="en-GB"/>
        </w:rPr>
        <w:t>. We therefore propose</w:t>
      </w:r>
      <w:r w:rsidR="00F421FE" w:rsidRPr="00F421FE">
        <w:rPr>
          <w:rFonts w:ascii="Fian text" w:hAnsi="Fian text"/>
          <w:b/>
          <w:bCs/>
          <w:lang w:val="en-GB"/>
        </w:rPr>
        <w:t xml:space="preserve"> the deletion of references to “mitigation” in articles 6.1, 6.2b and 6.2c. </w:t>
      </w:r>
    </w:p>
    <w:p w14:paraId="0E846741" w14:textId="571DCF5B" w:rsidR="00F421FE" w:rsidRDefault="00F421FE" w:rsidP="00F421FE">
      <w:pPr>
        <w:ind w:firstLine="720"/>
        <w:jc w:val="both"/>
        <w:rPr>
          <w:rStyle w:val="AucuneA"/>
          <w:rFonts w:ascii="Fian text" w:hAnsi="Fian text"/>
          <w:lang w:val="en-GB"/>
        </w:rPr>
      </w:pPr>
    </w:p>
    <w:p w14:paraId="2DA8AE2D" w14:textId="4AFC3531" w:rsidR="00A4026D" w:rsidRPr="00F421FE" w:rsidRDefault="00A4026D" w:rsidP="00F421FE">
      <w:pPr>
        <w:ind w:firstLine="720"/>
        <w:jc w:val="both"/>
        <w:rPr>
          <w:rStyle w:val="AucuneA"/>
          <w:rFonts w:ascii="Fian text" w:hAnsi="Fian text"/>
          <w:lang w:val="en-GB"/>
        </w:rPr>
      </w:pPr>
      <w:r w:rsidRPr="001D095E">
        <w:rPr>
          <w:rFonts w:ascii="Fian text" w:hAnsi="Fian text"/>
          <w:lang w:val="en-GB"/>
        </w:rPr>
        <w:t xml:space="preserve">On article 6.3c. regarding </w:t>
      </w:r>
      <w:r w:rsidRPr="00A4026D">
        <w:rPr>
          <w:rFonts w:ascii="Fian text" w:hAnsi="Fian text"/>
          <w:b/>
          <w:lang w:val="en-GB"/>
        </w:rPr>
        <w:t>meaningful consultations</w:t>
      </w:r>
      <w:r w:rsidRPr="001D095E">
        <w:rPr>
          <w:rFonts w:ascii="Fian text" w:hAnsi="Fian text"/>
          <w:lang w:val="en-GB"/>
        </w:rPr>
        <w:t>, these should be conducted in a continuous manner, both prior as well as during the business activities.</w:t>
      </w:r>
      <w:r>
        <w:rPr>
          <w:rFonts w:ascii="Fian text" w:hAnsi="Fian text"/>
          <w:lang w:val="en-GB"/>
        </w:rPr>
        <w:t xml:space="preserve"> They</w:t>
      </w:r>
      <w:r w:rsidRPr="001D095E">
        <w:rPr>
          <w:rFonts w:ascii="Fian text" w:hAnsi="Fian text"/>
          <w:lang w:val="en-GB"/>
        </w:rPr>
        <w:t xml:space="preserve"> shall respect the principles of transparency, independency and participation, meaning that these shall be undertaken by an independent State body and protected from any undue influence from the business enterprises.</w:t>
      </w:r>
      <w:r w:rsidR="001B6C35" w:rsidRPr="001D095E">
        <w:rPr>
          <w:rFonts w:ascii="Fian text" w:hAnsi="Fian text"/>
          <w:lang w:val="en-GB"/>
        </w:rPr>
        <w:t xml:space="preserve"> We also propose </w:t>
      </w:r>
      <w:r w:rsidR="001B6C35" w:rsidRPr="00A4026D">
        <w:rPr>
          <w:rFonts w:ascii="Fian text" w:hAnsi="Fian text"/>
          <w:b/>
          <w:lang w:val="en-GB"/>
        </w:rPr>
        <w:t>the inclusion of peasants as a group requiring special attention</w:t>
      </w:r>
      <w:r w:rsidR="001B6C35" w:rsidRPr="001D095E">
        <w:rPr>
          <w:rFonts w:ascii="Fian text" w:hAnsi="Fian text"/>
          <w:lang w:val="en-GB"/>
        </w:rPr>
        <w:t>.</w:t>
      </w:r>
      <w:r w:rsidR="001B6C35">
        <w:rPr>
          <w:rFonts w:ascii="Fian text" w:hAnsi="Fian text"/>
          <w:lang w:val="en-GB"/>
        </w:rPr>
        <w:t xml:space="preserve"> </w:t>
      </w:r>
      <w:r w:rsidR="00D51426">
        <w:rPr>
          <w:rFonts w:ascii="Fian text" w:hAnsi="Fian text"/>
          <w:lang w:val="en-GB"/>
        </w:rPr>
        <w:t xml:space="preserve">Besides, we welcome article 6.3d’s replacement of “consultation” by the term “consent”, following </w:t>
      </w:r>
      <w:r w:rsidR="001B6C35">
        <w:rPr>
          <w:rFonts w:ascii="Fian text" w:hAnsi="Fian text"/>
          <w:lang w:val="en-GB"/>
        </w:rPr>
        <w:t xml:space="preserve">internationally agreed standards, such as UNDRIP, which must be defended here. </w:t>
      </w:r>
      <w:bookmarkStart w:id="0" w:name="_GoBack"/>
      <w:bookmarkEnd w:id="0"/>
    </w:p>
    <w:p w14:paraId="7CCB1410" w14:textId="77777777" w:rsidR="00F421FE" w:rsidRDefault="00F421FE" w:rsidP="00F421FE">
      <w:pPr>
        <w:ind w:firstLine="720"/>
        <w:jc w:val="both"/>
        <w:rPr>
          <w:rStyle w:val="AucuneA"/>
          <w:rFonts w:ascii="Fian text" w:hAnsi="Fian text"/>
        </w:rPr>
      </w:pPr>
    </w:p>
    <w:p w14:paraId="50FC09D8" w14:textId="4851FD57" w:rsidR="00F421FE" w:rsidRDefault="00F421FE" w:rsidP="00F421FE">
      <w:pPr>
        <w:ind w:firstLine="720"/>
        <w:jc w:val="both"/>
        <w:rPr>
          <w:rFonts w:ascii="Fian text" w:hAnsi="Fian text"/>
          <w:lang w:val="en-GB"/>
        </w:rPr>
      </w:pPr>
      <w:r>
        <w:rPr>
          <w:rStyle w:val="AucuneA"/>
          <w:rFonts w:ascii="Fian text" w:hAnsi="Fian text"/>
        </w:rPr>
        <w:t xml:space="preserve"> </w:t>
      </w:r>
      <w:r w:rsidR="00A4026D" w:rsidRPr="001D095E">
        <w:rPr>
          <w:rFonts w:ascii="Fian text" w:hAnsi="Fian text"/>
          <w:lang w:val="en-GB"/>
        </w:rPr>
        <w:t>The inclusion of article 6.6 is very welcomed and we strongly support its remainder in the legally binding instrument.</w:t>
      </w:r>
      <w:r w:rsidR="00A4026D" w:rsidRPr="00A4026D">
        <w:rPr>
          <w:rFonts w:ascii="Fian text" w:hAnsi="Fian text"/>
          <w:lang w:val="en-GB"/>
        </w:rPr>
        <w:t xml:space="preserve"> </w:t>
      </w:r>
      <w:r w:rsidR="00357F45">
        <w:rPr>
          <w:rFonts w:ascii="Fian text" w:hAnsi="Fian text"/>
          <w:lang w:val="en-GB"/>
        </w:rPr>
        <w:t>It</w:t>
      </w:r>
      <w:r w:rsidR="00A4026D" w:rsidRPr="001D095E">
        <w:rPr>
          <w:rFonts w:ascii="Fian text" w:hAnsi="Fian text"/>
          <w:lang w:val="en-GB"/>
        </w:rPr>
        <w:t xml:space="preserve"> should however stipulate even stronger the principle established in article 8.8.</w:t>
      </w:r>
      <w:r w:rsidR="00A4026D">
        <w:rPr>
          <w:rFonts w:ascii="Fian text" w:hAnsi="Fian text"/>
          <w:lang w:val="en-GB"/>
        </w:rPr>
        <w:t>,</w:t>
      </w:r>
      <w:r w:rsidR="00A4026D" w:rsidRPr="001D095E">
        <w:rPr>
          <w:rFonts w:ascii="Fian text" w:hAnsi="Fian text"/>
          <w:lang w:val="en-GB"/>
        </w:rPr>
        <w:t xml:space="preserve"> whereby </w:t>
      </w:r>
      <w:r w:rsidR="00A4026D" w:rsidRPr="00A4026D">
        <w:rPr>
          <w:rFonts w:ascii="Fian text" w:hAnsi="Fian text"/>
          <w:b/>
          <w:lang w:val="en-GB"/>
        </w:rPr>
        <w:t>the compliance with due diligence standards cannot absolve legal or natural persons from legal liability</w:t>
      </w:r>
      <w:r w:rsidR="00A4026D" w:rsidRPr="001D095E">
        <w:rPr>
          <w:rFonts w:ascii="Fian text" w:hAnsi="Fian text"/>
          <w:lang w:val="en-GB"/>
        </w:rPr>
        <w:t xml:space="preserve"> when they cause, contribute or fail to prevent human rights abuses. </w:t>
      </w:r>
      <w:r w:rsidR="00A4026D" w:rsidRPr="00A4026D">
        <w:rPr>
          <w:rFonts w:ascii="Fian text" w:hAnsi="Fian text"/>
          <w:b/>
          <w:lang w:val="en-GB"/>
        </w:rPr>
        <w:t>Due diligence cannot simply be a ‘check-list’ procedure</w:t>
      </w:r>
      <w:r w:rsidR="00A4026D" w:rsidRPr="001D095E">
        <w:rPr>
          <w:rFonts w:ascii="Fian text" w:hAnsi="Fian text"/>
          <w:lang w:val="en-GB"/>
        </w:rPr>
        <w:t xml:space="preserve"> with the potential safeguarding legal and natural persons from legal liability. In addition to being an ‘obligation of conduct’, </w:t>
      </w:r>
      <w:r w:rsidR="00A4026D" w:rsidRPr="00A4026D">
        <w:rPr>
          <w:rFonts w:ascii="Fian text" w:hAnsi="Fian text"/>
          <w:b/>
          <w:lang w:val="en-GB"/>
        </w:rPr>
        <w:t>due diligence should also be an ‘obligation of result’</w:t>
      </w:r>
      <w:r w:rsidR="00A4026D" w:rsidRPr="001D095E">
        <w:rPr>
          <w:rFonts w:ascii="Fian text" w:hAnsi="Fian text"/>
          <w:lang w:val="en-GB"/>
        </w:rPr>
        <w:t>.</w:t>
      </w:r>
      <w:r w:rsidR="00D51426">
        <w:rPr>
          <w:rFonts w:ascii="Fian text" w:hAnsi="Fian text"/>
          <w:lang w:val="en-GB"/>
        </w:rPr>
        <w:t xml:space="preserve"> </w:t>
      </w:r>
    </w:p>
    <w:p w14:paraId="3DFEFE03" w14:textId="6654CF07" w:rsidR="00A4026D" w:rsidRDefault="00A4026D" w:rsidP="00F421FE">
      <w:pPr>
        <w:ind w:firstLine="720"/>
        <w:jc w:val="both"/>
        <w:rPr>
          <w:rStyle w:val="AucuneA"/>
          <w:rFonts w:ascii="Fian text" w:hAnsi="Fian text"/>
          <w:lang w:val="en-GB"/>
        </w:rPr>
      </w:pPr>
    </w:p>
    <w:p w14:paraId="7A411AC8" w14:textId="69E84162" w:rsidR="00817769" w:rsidRPr="001D095E" w:rsidRDefault="00817769" w:rsidP="00817769">
      <w:pPr>
        <w:ind w:firstLine="720"/>
        <w:jc w:val="both"/>
        <w:rPr>
          <w:rFonts w:ascii="Fian text" w:hAnsi="Fian text"/>
          <w:lang w:val="en-GB"/>
        </w:rPr>
      </w:pPr>
      <w:r>
        <w:rPr>
          <w:rFonts w:ascii="Fian text" w:hAnsi="Fian text"/>
          <w:lang w:val="en-GB"/>
        </w:rPr>
        <w:lastRenderedPageBreak/>
        <w:t>Regarding article 7, w</w:t>
      </w:r>
      <w:r w:rsidRPr="001D095E">
        <w:rPr>
          <w:rFonts w:ascii="Fian text" w:hAnsi="Fian text"/>
          <w:lang w:val="en-GB"/>
        </w:rPr>
        <w:t xml:space="preserve">e welcome the inclusion of article </w:t>
      </w:r>
      <w:r w:rsidRPr="001D095E">
        <w:rPr>
          <w:rFonts w:ascii="Fian text" w:hAnsi="Fian text"/>
          <w:b/>
          <w:bCs/>
          <w:lang w:val="en-GB"/>
        </w:rPr>
        <w:t xml:space="preserve">7.5 preventing the use of the doctrine of </w:t>
      </w:r>
      <w:r w:rsidRPr="001D095E">
        <w:rPr>
          <w:rFonts w:ascii="Fian text" w:hAnsi="Fian text"/>
          <w:b/>
          <w:bCs/>
          <w:i/>
          <w:iCs/>
          <w:lang w:val="en-GB"/>
        </w:rPr>
        <w:t>forum non conveniens</w:t>
      </w:r>
      <w:r w:rsidRPr="001D095E">
        <w:rPr>
          <w:rFonts w:ascii="Fian text" w:hAnsi="Fian text"/>
          <w:b/>
          <w:bCs/>
          <w:lang w:val="en-GB"/>
        </w:rPr>
        <w:t>. We however recommend to refrain from using the term “legitimate”,</w:t>
      </w:r>
      <w:r w:rsidRPr="001D095E">
        <w:rPr>
          <w:rFonts w:ascii="Fian text" w:hAnsi="Fian text"/>
          <w:lang w:val="en-GB"/>
        </w:rPr>
        <w:t xml:space="preserve"> which is vague and open for interpretation, and instead make reference to the grounds for jurisdiction laid down in article 9, in particular art. 9.3, which defines under which conditions </w:t>
      </w:r>
      <w:r w:rsidRPr="001D095E">
        <w:rPr>
          <w:rFonts w:ascii="Fian text" w:hAnsi="Fian text"/>
          <w:i/>
          <w:iCs/>
          <w:lang w:val="en-GB"/>
        </w:rPr>
        <w:t>forum non conveniens</w:t>
      </w:r>
      <w:r w:rsidRPr="001D095E">
        <w:rPr>
          <w:rFonts w:ascii="Fian text" w:hAnsi="Fian text"/>
          <w:lang w:val="en-GB"/>
        </w:rPr>
        <w:t xml:space="preserve"> shall not be used. </w:t>
      </w:r>
    </w:p>
    <w:p w14:paraId="071010DD" w14:textId="77777777" w:rsidR="001B6C35" w:rsidRDefault="001B6C35" w:rsidP="007D1411">
      <w:pPr>
        <w:pStyle w:val="CorpsA"/>
        <w:jc w:val="both"/>
        <w:rPr>
          <w:rStyle w:val="AucuneA"/>
          <w:rFonts w:ascii="Fian text" w:hAnsi="Fian text" w:cs="Times New Roman"/>
          <w:sz w:val="24"/>
          <w:szCs w:val="24"/>
        </w:rPr>
      </w:pPr>
    </w:p>
    <w:p w14:paraId="11AF412E" w14:textId="2E29723B" w:rsidR="00190AE6" w:rsidRPr="00F421FE" w:rsidRDefault="00BD2B0B" w:rsidP="007D1411">
      <w:pPr>
        <w:pStyle w:val="CorpsA"/>
        <w:jc w:val="both"/>
        <w:rPr>
          <w:rFonts w:ascii="Fian text" w:hAnsi="Fian text"/>
          <w:lang w:val="en-US"/>
        </w:rPr>
      </w:pPr>
      <w:r w:rsidRPr="00C21F4D">
        <w:rPr>
          <w:rStyle w:val="AucuneA"/>
          <w:rFonts w:ascii="Fian text" w:hAnsi="Fian text" w:cs="Times New Roman"/>
          <w:sz w:val="24"/>
          <w:szCs w:val="24"/>
        </w:rPr>
        <w:t>I thank you</w:t>
      </w:r>
      <w:r w:rsidR="007D1411">
        <w:rPr>
          <w:rStyle w:val="AucuneA"/>
          <w:rFonts w:ascii="Fian text" w:hAnsi="Fian text" w:cs="Times New Roman"/>
          <w:sz w:val="24"/>
          <w:szCs w:val="24"/>
        </w:rPr>
        <w:t>.</w:t>
      </w:r>
    </w:p>
    <w:sectPr w:rsidR="00190AE6" w:rsidRPr="00F421FE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4CAD" w14:textId="77777777" w:rsidR="00495DF7" w:rsidRDefault="00495DF7">
      <w:r>
        <w:separator/>
      </w:r>
    </w:p>
  </w:endnote>
  <w:endnote w:type="continuationSeparator" w:id="0">
    <w:p w14:paraId="2CC68611" w14:textId="77777777" w:rsidR="00495DF7" w:rsidRDefault="0049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an text">
    <w:panose1 w:val="020B0503030403020204"/>
    <w:charset w:val="00"/>
    <w:family w:val="swiss"/>
    <w:notTrueType/>
    <w:pitch w:val="variable"/>
    <w:sig w:usb0="600002D7" w:usb1="02000001" w:usb2="00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78B2" w14:textId="77777777" w:rsidR="00495DF7" w:rsidRDefault="00495DF7">
      <w:r>
        <w:separator/>
      </w:r>
    </w:p>
  </w:footnote>
  <w:footnote w:type="continuationSeparator" w:id="0">
    <w:p w14:paraId="141B6ACD" w14:textId="77777777" w:rsidR="00495DF7" w:rsidRDefault="0049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F4A"/>
    <w:multiLevelType w:val="hybridMultilevel"/>
    <w:tmpl w:val="073844EE"/>
    <w:lvl w:ilvl="0" w:tplc="36AE035C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7395"/>
    <w:multiLevelType w:val="hybridMultilevel"/>
    <w:tmpl w:val="B4AA68B0"/>
    <w:lvl w:ilvl="0" w:tplc="14C29676">
      <w:start w:val="8"/>
      <w:numFmt w:val="bullet"/>
      <w:lvlText w:val="-"/>
      <w:lvlJc w:val="left"/>
      <w:pPr>
        <w:ind w:left="1080" w:hanging="360"/>
      </w:pPr>
      <w:rPr>
        <w:rFonts w:ascii="Fian text" w:eastAsia="Arial Unicode MS" w:hAnsi="Fian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412539"/>
    <w:multiLevelType w:val="hybridMultilevel"/>
    <w:tmpl w:val="42807F3C"/>
    <w:lvl w:ilvl="0" w:tplc="36AE035C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E6"/>
    <w:rsid w:val="00072A86"/>
    <w:rsid w:val="000D46D2"/>
    <w:rsid w:val="0013779B"/>
    <w:rsid w:val="00145BC2"/>
    <w:rsid w:val="00190AE6"/>
    <w:rsid w:val="001B6C35"/>
    <w:rsid w:val="00216142"/>
    <w:rsid w:val="002422A4"/>
    <w:rsid w:val="002440AE"/>
    <w:rsid w:val="002D23DC"/>
    <w:rsid w:val="0035183B"/>
    <w:rsid w:val="00357F45"/>
    <w:rsid w:val="00393933"/>
    <w:rsid w:val="003A5191"/>
    <w:rsid w:val="003B37DE"/>
    <w:rsid w:val="00405EB1"/>
    <w:rsid w:val="00477704"/>
    <w:rsid w:val="00495DF7"/>
    <w:rsid w:val="0051442D"/>
    <w:rsid w:val="005215CC"/>
    <w:rsid w:val="005E5DE4"/>
    <w:rsid w:val="00623FF1"/>
    <w:rsid w:val="00665542"/>
    <w:rsid w:val="006861EC"/>
    <w:rsid w:val="006E028C"/>
    <w:rsid w:val="00755074"/>
    <w:rsid w:val="007A3428"/>
    <w:rsid w:val="007D0179"/>
    <w:rsid w:val="007D1411"/>
    <w:rsid w:val="00817769"/>
    <w:rsid w:val="00834AB5"/>
    <w:rsid w:val="0087123D"/>
    <w:rsid w:val="008829B9"/>
    <w:rsid w:val="008F0EA3"/>
    <w:rsid w:val="00981BCA"/>
    <w:rsid w:val="00987B76"/>
    <w:rsid w:val="00A4026D"/>
    <w:rsid w:val="00B8765E"/>
    <w:rsid w:val="00BA4283"/>
    <w:rsid w:val="00BD2B0B"/>
    <w:rsid w:val="00C21F4D"/>
    <w:rsid w:val="00CA3B23"/>
    <w:rsid w:val="00CE0FE2"/>
    <w:rsid w:val="00D12537"/>
    <w:rsid w:val="00D51426"/>
    <w:rsid w:val="00DF02CE"/>
    <w:rsid w:val="00E95258"/>
    <w:rsid w:val="00EA3168"/>
    <w:rsid w:val="00EB1AF0"/>
    <w:rsid w:val="00EC0F2D"/>
    <w:rsid w:val="00F421FE"/>
    <w:rsid w:val="00F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CC95"/>
  <w15:docId w15:val="{03F2A338-EDB2-4675-8DF6-46D9D887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:lang w:val="fr-FR"/>
    </w:rPr>
  </w:style>
  <w:style w:type="character" w:customStyle="1" w:styleId="Aucune">
    <w:name w:val="Aucune"/>
    <w:rPr>
      <w:lang w:val="en-US"/>
    </w:rPr>
  </w:style>
  <w:style w:type="character" w:customStyle="1" w:styleId="AucuneA">
    <w:name w:val="Aucune A"/>
    <w:basedOn w:val="Aucune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2CE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61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61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6142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142"/>
    <w:rPr>
      <w:b/>
      <w:bCs/>
      <w:lang w:val="en-US" w:eastAsia="en-US"/>
    </w:rPr>
  </w:style>
  <w:style w:type="table" w:styleId="Tabellenraster">
    <w:name w:val="Table Grid"/>
    <w:basedOn w:val="NormaleTabelle"/>
    <w:uiPriority w:val="39"/>
    <w:rsid w:val="00B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2">
    <w:name w:val="t12"/>
    <w:basedOn w:val="Absatz-Standardschriftart"/>
    <w:rsid w:val="00C2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F99362-3A9E-4372-8D9E-98F70FDDA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ED301-42AE-4BA6-BA99-0AC70B8B767C}"/>
</file>

<file path=customXml/itemProps3.xml><?xml version="1.0" encoding="utf-8"?>
<ds:datastoreItem xmlns:ds="http://schemas.openxmlformats.org/officeDocument/2006/customXml" ds:itemID="{6FAAEB93-9CE4-48BC-A22D-5385032FE7AB}"/>
</file>

<file path=customXml/itemProps4.xml><?xml version="1.0" encoding="utf-8"?>
<ds:datastoreItem xmlns:ds="http://schemas.openxmlformats.org/officeDocument/2006/customXml" ds:itemID="{CEB944B5-9590-4D08-A882-FAC09D730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Bley Folly</dc:creator>
  <cp:lastModifiedBy>Felipe Bley Folly</cp:lastModifiedBy>
  <cp:revision>2</cp:revision>
  <cp:lastPrinted>2020-10-27T15:13:00Z</cp:lastPrinted>
  <dcterms:created xsi:type="dcterms:W3CDTF">2020-10-27T15:21:00Z</dcterms:created>
  <dcterms:modified xsi:type="dcterms:W3CDTF">2020-10-27T15:21:00Z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