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336" w:lineRule="auto"/>
        <w:ind w:left="0" w:right="0"/>
        <w:jc w:val="center"/>
        <w:textAlignment w:val="bottom"/>
        <w:rPr>
          <w:rFonts w:hint="eastAsia" w:ascii="外交小标宋" w:hAnsi="外交小标宋" w:eastAsia="外交小标宋" w:cs="外交小标宋"/>
          <w:b/>
          <w:sz w:val="32"/>
          <w:szCs w:val="32"/>
        </w:rPr>
      </w:pPr>
      <w:bookmarkStart w:id="0" w:name="_GoBack"/>
      <w:r>
        <w:rPr>
          <w:rFonts w:hint="eastAsia" w:ascii="外交小标宋" w:hAnsi="外交小标宋" w:eastAsia="外交小标宋" w:cs="外交小标宋"/>
          <w:b/>
          <w:snapToGrid/>
          <w:kern w:val="0"/>
          <w:sz w:val="32"/>
          <w:szCs w:val="32"/>
          <w:lang w:val="en-US" w:eastAsia="zh-CN" w:bidi="ar-SA"/>
        </w:rPr>
        <w:t>对第3条、第4条的评论</w:t>
      </w:r>
    </w:p>
    <w:bookmarkEnd w:id="0"/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336" w:lineRule="auto"/>
        <w:ind w:left="0" w:right="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336" w:lineRule="auto"/>
        <w:ind w:left="0" w:leftChars="0" w:right="0" w:firstLine="643" w:firstLineChars="200"/>
        <w:jc w:val="both"/>
        <w:textAlignment w:val="bottom"/>
        <w:rPr>
          <w:rFonts w:hint="eastAsia" w:ascii="外交粗仿宋" w:hAnsi="外交粗仿宋" w:eastAsia="外交粗仿宋" w:cs="外交粗仿宋"/>
          <w:b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snapToGrid/>
          <w:kern w:val="0"/>
          <w:sz w:val="32"/>
          <w:szCs w:val="32"/>
          <w:lang w:val="en-US" w:eastAsia="zh-CN" w:bidi="ar-SA"/>
        </w:rPr>
        <w:t>一、关于第三条“范围”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Times New Roman" w:hAnsi="Times New Roman" w:eastAsia="外交粗仿宋" w:cs="外交粗仿宋"/>
          <w:b w:val="0"/>
          <w:sz w:val="32"/>
          <w:szCs w:val="32"/>
        </w:rPr>
      </w:pPr>
      <w:r>
        <w:rPr>
          <w:rFonts w:hint="eastAsia" w:ascii="Times New Roman" w:hAnsi="Times New 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</w:t>
      </w:r>
      <w:r>
        <w:rPr>
          <w:rFonts w:hint="default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款</w:t>
      </w:r>
      <w:r>
        <w:rPr>
          <w:rFonts w:hint="eastAsia" w:ascii="Times_New_Roman" w:hAnsi="Times_New_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规定本</w:t>
      </w:r>
      <w:r>
        <w:rPr>
          <w:rFonts w:hint="eastAsia" w:ascii="Times New Roman" w:hAnsi="Times New 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法律文书“适用于所有商业活动”，这明显超出了人权理事会第</w:t>
      </w:r>
      <w:r>
        <w:rPr>
          <w:rFonts w:hint="default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26/9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号决议</w:t>
      </w:r>
      <w:r>
        <w:rPr>
          <w:rFonts w:hint="eastAsia" w:ascii="Times New Roman" w:hAnsi="Times New 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的授权，中方希望工作组能够严格授权界定法律文书的适用范围。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Times_New_Roman" w:hAnsi="Times_New_Roman" w:eastAsia="外交粗仿宋" w:cs="外交粗仿宋"/>
          <w:b w:val="0"/>
          <w:sz w:val="32"/>
          <w:szCs w:val="32"/>
        </w:rPr>
      </w:pPr>
      <w:r>
        <w:rPr>
          <w:rFonts w:hint="eastAsia" w:ascii="Times_New_Roman" w:hAnsi="Times_New_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</w:t>
      </w:r>
      <w:r>
        <w:rPr>
          <w:rFonts w:hint="default" w:ascii="Times_New_Roman" w:hAnsi="Times_New_Roman" w:eastAsia="Times_New_Roman" w:cs="Times_New_Roman"/>
          <w:b w:val="0"/>
          <w:snapToGrid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款</w:t>
      </w:r>
      <w:r>
        <w:rPr>
          <w:rFonts w:hint="eastAsia" w:ascii="Times_New_Roman" w:hAnsi="Times_New_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就法律文书涵盖的人权范围作出了规定，中方对案文有两点关切：一是“国际公认的人权和基本自由”、“习惯国际法所产生的人权”的内涵，不同国家的认识并不一致，这会导致适用范围不清楚，没有可操作性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Times New Roman" w:hAnsi="Times New Roman" w:eastAsia="外交粗仿宋" w:cs="外交粗仿宋"/>
          <w:b w:val="0"/>
          <w:sz w:val="32"/>
          <w:szCs w:val="32"/>
        </w:rPr>
      </w:pPr>
      <w:r>
        <w:rPr>
          <w:rFonts w:hint="eastAsia" w:ascii="Times_New_Roman" w:hAnsi="Times_New_Roman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二是，正如中方在一般性发言中指出的，很多基本的人权，比如生命权、健康权、财产权、受教育权等，都已经在各国法律中得到了普遍性保护。这个法律文书没有必要重复各国已经做过的事，要本着补充性原则，重点规定跨国公司在商业活动中最突出、最常见、危害最大、保障还不到位的侵犯人权活动。这样可以增强文书的针对性和可操作性，避免与国内法形成重复和冲突，并有助于集中资源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overflowPunct w:val="0"/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bottom"/>
        <w:rPr>
          <w:rFonts w:hint="eastAsia" w:ascii="外交粗仿宋" w:hAnsi="外交粗仿宋" w:eastAsia="外交粗仿宋" w:cs="外交粗仿宋"/>
          <w:b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snapToGrid/>
          <w:color w:val="000000"/>
          <w:kern w:val="0"/>
          <w:sz w:val="32"/>
          <w:szCs w:val="32"/>
          <w:lang w:val="en-US" w:eastAsia="zh-CN" w:bidi="ar-SA"/>
        </w:rPr>
        <w:t>关于第四条“受害者的权利”</w:t>
      </w:r>
    </w:p>
    <w:p>
      <w:pPr>
        <w:pStyle w:val="2"/>
        <w:keepNext w:val="0"/>
        <w:keepLines w:val="0"/>
        <w:widowControl/>
        <w:suppressLineNumbers w:val="0"/>
        <w:overflowPunct w:val="0"/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textAlignment w:val="bottom"/>
        <w:rPr>
          <w:rFonts w:hint="eastAsia" w:ascii="外交粗仿宋" w:hAnsi="外交粗仿宋" w:eastAsia="外交粗仿宋" w:cs="外交粗仿宋"/>
          <w:b w:val="0"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color w:val="000000"/>
          <w:kern w:val="0"/>
          <w:sz w:val="32"/>
          <w:szCs w:val="32"/>
          <w:lang w:val="en-US" w:eastAsia="zh-CN" w:bidi="ar-SA"/>
        </w:rPr>
        <w:t xml:space="preserve">    法律文书对受害者权利的规定应坚持补充性和公平性原则。首先是要尊重各国已经建立的对受害人的保护制度，避免给各国造成过重负担；其次，在保护“受害者的权利”方面要有合理和必要的限度，避免走极端，无限加重企业的责任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关于第1款，“所有国际认可的人权和基本自由”，中方重申关于适用范围的意见，对该表述持有保留。</w:t>
      </w:r>
    </w:p>
    <w:p>
      <w:pPr>
        <w:pStyle w:val="2"/>
        <w:keepNext w:val="0"/>
        <w:keepLines w:val="0"/>
        <w:widowControl/>
        <w:suppressLineNumbers w:val="0"/>
        <w:overflowPunct w:val="0"/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default" w:ascii="Times_New_Roman" w:hAnsi="Times_New_Roman" w:eastAsia="外交粗仿宋" w:cs="Times_New_Roman"/>
          <w:sz w:val="24"/>
          <w:szCs w:val="24"/>
        </w:rPr>
      </w:pPr>
      <w:r>
        <w:rPr>
          <w:rFonts w:hint="eastAsia" w:ascii="外交粗仿宋" w:hAnsi="外交粗仿宋" w:eastAsia="外交粗仿宋" w:cs="外交粗仿宋"/>
          <w:b w:val="0"/>
          <w:snapToGrid/>
          <w:color w:val="000000"/>
          <w:kern w:val="0"/>
          <w:sz w:val="32"/>
          <w:szCs w:val="32"/>
          <w:lang w:val="en-US" w:eastAsia="zh-CN" w:bidi="ar-SA"/>
        </w:rPr>
        <w:t>第2款“受害者的权利”已在相关国际人权条约中作出规定，也被多数国家落实为国内法的规定，法律文书不必重复规定。建议将整个第2款删除。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336" w:lineRule="auto"/>
        <w:ind w:left="0" w:right="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_New_Roman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外交粗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enturionOld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1EB2"/>
    <w:multiLevelType w:val="multilevel"/>
    <w:tmpl w:val="5FA11EB2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66AED"/>
    <w:rsid w:val="4A466A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napToGrid w:val="0"/>
      <w:spacing w:line="336" w:lineRule="auto"/>
      <w:jc w:val="both"/>
      <w:textAlignment w:val="bottom"/>
    </w:pPr>
    <w:rPr>
      <w:rFonts w:ascii="Times_New_Roman" w:hAnsi="Times_New_Roman" w:eastAsia="外交粗仿宋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rFonts w:ascii="Times_New_Roman" w:hAnsi="Times_New_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BEF3F-F500-4F6D-98D0-58FA64AF7EBD}"/>
</file>

<file path=customXml/itemProps3.xml><?xml version="1.0" encoding="utf-8"?>
<ds:datastoreItem xmlns:ds="http://schemas.openxmlformats.org/officeDocument/2006/customXml" ds:itemID="{400741FA-E2B2-421F-8BAE-2F6D718A4FF7}"/>
</file>

<file path=customXml/itemProps4.xml><?xml version="1.0" encoding="utf-8"?>
<ds:datastoreItem xmlns:ds="http://schemas.openxmlformats.org/officeDocument/2006/customXml" ds:itemID="{C2B40146-8B4C-4B64-9012-F1B91E415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对第3条、第4条的评论</dc:title>
  <dc:creator>wjb</dc:creator>
  <cp:lastModifiedBy>wjb</cp:lastModifiedBy>
  <cp:revision>1</cp:revision>
  <dcterms:created xsi:type="dcterms:W3CDTF">2020-11-03T08:21:00Z</dcterms:created>
  <dcterms:modified xsi:type="dcterms:W3CDTF">2020-11-03T08:22:09Z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0x0101008822B9E06671B54FA89F14538B9B0FEA</vt:lpwstr>
  </property>
</Properties>
</file>