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75AD" w14:textId="77777777" w:rsidR="00C21241" w:rsidRDefault="00C21241" w:rsidP="00C21241">
      <w:pPr>
        <w:jc w:val="center"/>
        <w:rPr>
          <w:lang w:val="en-US"/>
        </w:rPr>
      </w:pPr>
      <w:r>
        <w:rPr>
          <w:rFonts w:ascii="Verdana" w:hAnsi="Verdana"/>
          <w:noProof/>
          <w:sz w:val="20"/>
          <w:szCs w:val="20"/>
          <w:lang w:val="en-GB"/>
        </w:rPr>
        <w:drawing>
          <wp:inline distT="0" distB="0" distL="0" distR="0" wp14:anchorId="38AA3E7B" wp14:editId="762BCE25">
            <wp:extent cx="2094865" cy="863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4865" cy="863600"/>
                    </a:xfrm>
                    <a:prstGeom prst="rect">
                      <a:avLst/>
                    </a:prstGeom>
                    <a:noFill/>
                  </pic:spPr>
                </pic:pic>
              </a:graphicData>
            </a:graphic>
          </wp:inline>
        </w:drawing>
      </w:r>
    </w:p>
    <w:p w14:paraId="1D1B4A76" w14:textId="77777777" w:rsidR="00C21241" w:rsidRDefault="00C21241" w:rsidP="00C21241">
      <w:pPr>
        <w:rPr>
          <w:lang w:val="en-US"/>
        </w:rPr>
      </w:pPr>
    </w:p>
    <w:p w14:paraId="3B0457D3" w14:textId="77777777" w:rsidR="00C21241" w:rsidRPr="00645ED6" w:rsidRDefault="00C21241" w:rsidP="00C21241">
      <w:pPr>
        <w:jc w:val="center"/>
        <w:rPr>
          <w:b/>
          <w:bCs/>
          <w:lang w:val="en-US"/>
        </w:rPr>
      </w:pPr>
      <w:r w:rsidRPr="00645ED6">
        <w:rPr>
          <w:b/>
          <w:bCs/>
          <w:lang w:val="en-US"/>
        </w:rPr>
        <w:t>OEWG ON A LEGALLY BINDING INSTRUMENT ON TNCs AND OBE AND HUMAN RIGHTS</w:t>
      </w:r>
    </w:p>
    <w:p w14:paraId="30AA1404" w14:textId="77777777" w:rsidR="00C21241" w:rsidRDefault="00C21241" w:rsidP="00C21241">
      <w:pPr>
        <w:jc w:val="center"/>
        <w:rPr>
          <w:lang w:val="en-US"/>
        </w:rPr>
      </w:pPr>
      <w:r w:rsidRPr="00645ED6">
        <w:rPr>
          <w:b/>
          <w:bCs/>
          <w:lang w:val="en-US"/>
        </w:rPr>
        <w:t>6</w:t>
      </w:r>
      <w:r w:rsidRPr="00645ED6">
        <w:rPr>
          <w:b/>
          <w:bCs/>
          <w:vertAlign w:val="superscript"/>
          <w:lang w:val="en-US"/>
        </w:rPr>
        <w:t>TH</w:t>
      </w:r>
      <w:r w:rsidRPr="00645ED6">
        <w:rPr>
          <w:b/>
          <w:bCs/>
          <w:lang w:val="en-US"/>
        </w:rPr>
        <w:t xml:space="preserve"> SESSION, 2020</w:t>
      </w:r>
    </w:p>
    <w:p w14:paraId="07CEB98B" w14:textId="536A442C" w:rsidR="00C21241" w:rsidRPr="00645ED6" w:rsidRDefault="00C21241" w:rsidP="00C21241">
      <w:pPr>
        <w:jc w:val="center"/>
        <w:rPr>
          <w:b/>
          <w:bCs/>
          <w:lang w:val="en-US"/>
        </w:rPr>
      </w:pPr>
      <w:r w:rsidRPr="00645ED6">
        <w:rPr>
          <w:b/>
          <w:bCs/>
          <w:lang w:val="en-US"/>
        </w:rPr>
        <w:t>ICJ Oral intervention on Article</w:t>
      </w:r>
      <w:r>
        <w:rPr>
          <w:b/>
          <w:bCs/>
          <w:lang w:val="en-US"/>
        </w:rPr>
        <w:t>s 3 and 4</w:t>
      </w:r>
    </w:p>
    <w:p w14:paraId="20B0C60A" w14:textId="024C90B6" w:rsidR="00C21241" w:rsidRDefault="00C21241" w:rsidP="00C21241">
      <w:pPr>
        <w:jc w:val="center"/>
        <w:rPr>
          <w:lang w:val="en-US"/>
        </w:rPr>
      </w:pPr>
      <w:r>
        <w:rPr>
          <w:lang w:val="en-US"/>
        </w:rPr>
        <w:t>2</w:t>
      </w:r>
      <w:r>
        <w:rPr>
          <w:lang w:val="en-US"/>
        </w:rPr>
        <w:t>7</w:t>
      </w:r>
      <w:r>
        <w:rPr>
          <w:lang w:val="en-US"/>
        </w:rPr>
        <w:t xml:space="preserve"> </w:t>
      </w:r>
      <w:proofErr w:type="gramStart"/>
      <w:r>
        <w:rPr>
          <w:lang w:val="en-US"/>
        </w:rPr>
        <w:t>October,</w:t>
      </w:r>
      <w:proofErr w:type="gramEnd"/>
      <w:r>
        <w:rPr>
          <w:lang w:val="en-US"/>
        </w:rPr>
        <w:t xml:space="preserve"> 2020</w:t>
      </w:r>
    </w:p>
    <w:p w14:paraId="2865F433" w14:textId="77777777" w:rsidR="00C21241" w:rsidRDefault="00C21241">
      <w:pPr>
        <w:rPr>
          <w:lang w:val="en-US"/>
        </w:rPr>
      </w:pPr>
    </w:p>
    <w:p w14:paraId="6A73C3DE" w14:textId="696EF82D" w:rsidR="00572A29" w:rsidRDefault="00572A29" w:rsidP="00572A29">
      <w:pPr>
        <w:autoSpaceDE w:val="0"/>
        <w:autoSpaceDN w:val="0"/>
        <w:adjustRightInd w:val="0"/>
        <w:spacing w:after="0" w:line="240" w:lineRule="auto"/>
        <w:rPr>
          <w:rFonts w:cstheme="minorHAnsi"/>
          <w:lang w:val="en-GB"/>
        </w:rPr>
      </w:pPr>
      <w:r>
        <w:rPr>
          <w:rFonts w:cstheme="minorHAnsi"/>
          <w:lang w:val="en-GB"/>
        </w:rPr>
        <w:t>Mr Chairperson-Rapporteur,</w:t>
      </w:r>
    </w:p>
    <w:p w14:paraId="6133C790" w14:textId="77777777" w:rsidR="00572A29" w:rsidRDefault="00572A29" w:rsidP="00572A29">
      <w:pPr>
        <w:autoSpaceDE w:val="0"/>
        <w:autoSpaceDN w:val="0"/>
        <w:adjustRightInd w:val="0"/>
        <w:spacing w:after="0" w:line="240" w:lineRule="auto"/>
        <w:rPr>
          <w:rFonts w:cstheme="minorHAnsi"/>
          <w:lang w:val="en-GB"/>
        </w:rPr>
      </w:pPr>
    </w:p>
    <w:p w14:paraId="212A0634" w14:textId="17B6086B" w:rsidR="00572A29" w:rsidRDefault="00572A29" w:rsidP="00572A29">
      <w:pPr>
        <w:autoSpaceDE w:val="0"/>
        <w:autoSpaceDN w:val="0"/>
        <w:adjustRightInd w:val="0"/>
        <w:spacing w:after="0" w:line="240" w:lineRule="auto"/>
        <w:rPr>
          <w:rFonts w:cstheme="minorHAnsi"/>
          <w:lang w:val="en-GB"/>
        </w:rPr>
      </w:pPr>
      <w:r w:rsidRPr="00B90104">
        <w:rPr>
          <w:rFonts w:cstheme="minorHAnsi"/>
          <w:lang w:val="en-GB"/>
        </w:rPr>
        <w:t xml:space="preserve">The ICJ supports the statement of scope laid out in article 3 </w:t>
      </w:r>
      <w:r w:rsidR="00AC63CA">
        <w:rPr>
          <w:rFonts w:cstheme="minorHAnsi"/>
          <w:lang w:val="en-GB"/>
        </w:rPr>
        <w:t>that satisfactorily addresses both</w:t>
      </w:r>
      <w:r w:rsidRPr="00B90104">
        <w:rPr>
          <w:rFonts w:cstheme="minorHAnsi"/>
          <w:lang w:val="en-GB"/>
        </w:rPr>
        <w:t xml:space="preserve"> businesses with activities of transnational nature </w:t>
      </w:r>
      <w:r w:rsidR="00667DF9">
        <w:rPr>
          <w:rFonts w:cstheme="minorHAnsi"/>
          <w:lang w:val="en-GB"/>
        </w:rPr>
        <w:t xml:space="preserve">as well purely national </w:t>
      </w:r>
      <w:r w:rsidRPr="00B90104">
        <w:rPr>
          <w:rFonts w:cstheme="minorHAnsi"/>
          <w:lang w:val="en-GB"/>
        </w:rPr>
        <w:t>business enterprises.</w:t>
      </w:r>
      <w:r w:rsidR="00E73C3C">
        <w:rPr>
          <w:rFonts w:cstheme="minorHAnsi"/>
          <w:lang w:val="en-GB"/>
        </w:rPr>
        <w:t xml:space="preserve"> But</w:t>
      </w:r>
      <w:r w:rsidRPr="00B90104">
        <w:rPr>
          <w:rFonts w:cstheme="minorHAnsi"/>
          <w:lang w:val="en-GB"/>
        </w:rPr>
        <w:t xml:space="preserve">, the scope in relation to the </w:t>
      </w:r>
      <w:r>
        <w:rPr>
          <w:rFonts w:cstheme="minorHAnsi"/>
          <w:lang w:val="en-GB"/>
        </w:rPr>
        <w:t xml:space="preserve">covered </w:t>
      </w:r>
      <w:r w:rsidRPr="00B90104">
        <w:rPr>
          <w:rFonts w:cstheme="minorHAnsi"/>
          <w:lang w:val="en-GB"/>
        </w:rPr>
        <w:t xml:space="preserve">human rights </w:t>
      </w:r>
      <w:r w:rsidR="00667DF9">
        <w:rPr>
          <w:rFonts w:cstheme="minorHAnsi"/>
          <w:lang w:val="en-GB"/>
        </w:rPr>
        <w:t>should be adjusted to</w:t>
      </w:r>
      <w:r w:rsidRPr="00B90104">
        <w:rPr>
          <w:rFonts w:cstheme="minorHAnsi"/>
          <w:lang w:val="en-GB"/>
        </w:rPr>
        <w:t xml:space="preserve"> </w:t>
      </w:r>
      <w:r w:rsidR="00E73C3C">
        <w:rPr>
          <w:rFonts w:cstheme="minorHAnsi"/>
          <w:lang w:val="en-GB"/>
        </w:rPr>
        <w:t xml:space="preserve">include </w:t>
      </w:r>
      <w:r>
        <w:rPr>
          <w:rFonts w:cstheme="minorHAnsi"/>
          <w:lang w:val="en-GB"/>
        </w:rPr>
        <w:t xml:space="preserve">the </w:t>
      </w:r>
      <w:r w:rsidRPr="00B90104">
        <w:rPr>
          <w:rFonts w:cstheme="minorHAnsi"/>
          <w:lang w:val="en-GB"/>
        </w:rPr>
        <w:t xml:space="preserve">ILO 1999 Declaration on Fundamental Principles and Rights at Work which all States Members of the ILO should respect by virtue of their membership in the organization, </w:t>
      </w:r>
      <w:r>
        <w:rPr>
          <w:rFonts w:cstheme="minorHAnsi"/>
          <w:lang w:val="en-GB"/>
        </w:rPr>
        <w:t>although</w:t>
      </w:r>
      <w:r w:rsidRPr="00B90104">
        <w:rPr>
          <w:rFonts w:cstheme="minorHAnsi"/>
          <w:lang w:val="en-GB"/>
        </w:rPr>
        <w:t xml:space="preserve"> it is not a treaty subject </w:t>
      </w:r>
      <w:r>
        <w:rPr>
          <w:rFonts w:cstheme="minorHAnsi"/>
          <w:lang w:val="en-GB"/>
        </w:rPr>
        <w:t xml:space="preserve">to </w:t>
      </w:r>
      <w:r w:rsidRPr="00B90104">
        <w:rPr>
          <w:rFonts w:cstheme="minorHAnsi"/>
          <w:lang w:val="en-GB"/>
        </w:rPr>
        <w:t>ratification. In this regard, the expression “shall cover all internationally recognized human rights law</w:t>
      </w:r>
      <w:r>
        <w:rPr>
          <w:rFonts w:cstheme="minorHAnsi"/>
          <w:lang w:val="en-GB"/>
        </w:rPr>
        <w:t xml:space="preserve"> </w:t>
      </w:r>
      <w:r w:rsidRPr="00B90104">
        <w:rPr>
          <w:rFonts w:cstheme="minorHAnsi"/>
          <w:lang w:val="en-GB"/>
        </w:rPr>
        <w:t xml:space="preserve">and fundamental freedoms </w:t>
      </w:r>
      <w:r w:rsidRPr="00B90104">
        <w:rPr>
          <w:rFonts w:cstheme="minorHAnsi"/>
          <w:b/>
          <w:bCs/>
          <w:lang w:val="en-GB"/>
        </w:rPr>
        <w:t xml:space="preserve">binding on the State Party…” </w:t>
      </w:r>
      <w:r w:rsidRPr="00B90104">
        <w:rPr>
          <w:rFonts w:cstheme="minorHAnsi"/>
          <w:lang w:val="en-GB"/>
        </w:rPr>
        <w:t xml:space="preserve"> </w:t>
      </w:r>
      <w:r>
        <w:rPr>
          <w:rFonts w:cstheme="minorHAnsi"/>
          <w:lang w:val="en-GB"/>
        </w:rPr>
        <w:t xml:space="preserve">may better serve the purpose of inclusiveness in relation to </w:t>
      </w:r>
      <w:r w:rsidR="00E73C3C">
        <w:rPr>
          <w:rFonts w:cstheme="minorHAnsi"/>
          <w:lang w:val="en-GB"/>
        </w:rPr>
        <w:t xml:space="preserve">covered </w:t>
      </w:r>
      <w:r>
        <w:rPr>
          <w:rFonts w:cstheme="minorHAnsi"/>
          <w:lang w:val="en-GB"/>
        </w:rPr>
        <w:t>rights</w:t>
      </w:r>
      <w:r w:rsidRPr="00B90104">
        <w:rPr>
          <w:rFonts w:cstheme="minorHAnsi"/>
          <w:lang w:val="en-GB"/>
        </w:rPr>
        <w:t>.</w:t>
      </w:r>
    </w:p>
    <w:p w14:paraId="643CCDC8" w14:textId="77777777" w:rsidR="00572A29" w:rsidRPr="00B90104" w:rsidRDefault="00572A29" w:rsidP="00572A29">
      <w:pPr>
        <w:autoSpaceDE w:val="0"/>
        <w:autoSpaceDN w:val="0"/>
        <w:adjustRightInd w:val="0"/>
        <w:spacing w:after="0" w:line="240" w:lineRule="auto"/>
        <w:rPr>
          <w:rFonts w:cstheme="minorHAnsi"/>
          <w:lang w:val="en-GB"/>
        </w:rPr>
      </w:pPr>
      <w:r w:rsidRPr="00B90104">
        <w:rPr>
          <w:rFonts w:cstheme="minorHAnsi"/>
          <w:lang w:val="en-GB"/>
        </w:rPr>
        <w:t xml:space="preserve">   </w:t>
      </w:r>
    </w:p>
    <w:p w14:paraId="0F277C20" w14:textId="6DC2C6BA" w:rsidR="00E73C3C" w:rsidRDefault="00572A29" w:rsidP="00572A29">
      <w:pPr>
        <w:rPr>
          <w:rFonts w:cstheme="minorHAnsi"/>
          <w:lang w:val="en-GB"/>
        </w:rPr>
      </w:pPr>
      <w:r w:rsidRPr="00B90104">
        <w:rPr>
          <w:rFonts w:cstheme="minorHAnsi"/>
          <w:lang w:val="en-GB"/>
        </w:rPr>
        <w:t xml:space="preserve">Article </w:t>
      </w:r>
      <w:r w:rsidR="00E73C3C">
        <w:rPr>
          <w:rFonts w:cstheme="minorHAnsi"/>
          <w:lang w:val="en-GB"/>
        </w:rPr>
        <w:t xml:space="preserve">4 </w:t>
      </w:r>
      <w:r w:rsidRPr="00B90104">
        <w:rPr>
          <w:rFonts w:cstheme="minorHAnsi"/>
          <w:lang w:val="en-GB"/>
        </w:rPr>
        <w:t>on the right of victims is generally welcome. To improve and strengthen the purview of this article, the ICJ proposes to add “individual or collective reparation” after “access to justice” and reference to the “right to truth” as a form of reparation</w:t>
      </w:r>
      <w:r w:rsidR="00E73C3C">
        <w:rPr>
          <w:rFonts w:cstheme="minorHAnsi"/>
          <w:lang w:val="en-GB"/>
        </w:rPr>
        <w:t xml:space="preserve">, in article </w:t>
      </w:r>
      <w:r w:rsidR="00E73C3C" w:rsidRPr="00B90104">
        <w:rPr>
          <w:rFonts w:cstheme="minorHAnsi"/>
          <w:lang w:val="en-GB"/>
        </w:rPr>
        <w:t>4</w:t>
      </w:r>
      <w:r w:rsidR="00E73C3C">
        <w:rPr>
          <w:rFonts w:cstheme="minorHAnsi"/>
          <w:lang w:val="en-GB"/>
        </w:rPr>
        <w:t xml:space="preserve"> (2) (c)</w:t>
      </w:r>
      <w:r w:rsidRPr="00B90104">
        <w:rPr>
          <w:rFonts w:cstheme="minorHAnsi"/>
          <w:lang w:val="en-GB"/>
        </w:rPr>
        <w:t xml:space="preserve">. </w:t>
      </w:r>
    </w:p>
    <w:p w14:paraId="0BAF6A25" w14:textId="35632784" w:rsidR="00572A29" w:rsidRPr="00B90104" w:rsidRDefault="00572A29" w:rsidP="00572A29">
      <w:pPr>
        <w:rPr>
          <w:rFonts w:cstheme="minorHAnsi"/>
          <w:lang w:val="en-GB"/>
        </w:rPr>
      </w:pPr>
      <w:r w:rsidRPr="00B90104">
        <w:rPr>
          <w:rFonts w:cstheme="minorHAnsi"/>
          <w:lang w:val="en-GB"/>
        </w:rPr>
        <w:t>T</w:t>
      </w:r>
      <w:r>
        <w:rPr>
          <w:rFonts w:cstheme="minorHAnsi"/>
          <w:lang w:val="en-GB"/>
        </w:rPr>
        <w:t>h</w:t>
      </w:r>
      <w:r w:rsidR="00667DF9">
        <w:rPr>
          <w:rFonts w:cstheme="minorHAnsi"/>
          <w:lang w:val="en-GB"/>
        </w:rPr>
        <w:t>ese</w:t>
      </w:r>
      <w:r>
        <w:rPr>
          <w:rFonts w:cstheme="minorHAnsi"/>
          <w:lang w:val="en-GB"/>
        </w:rPr>
        <w:t xml:space="preserve"> and other provisions </w:t>
      </w:r>
      <w:r w:rsidR="00667DF9">
        <w:rPr>
          <w:rFonts w:cstheme="minorHAnsi"/>
          <w:lang w:val="en-GB"/>
        </w:rPr>
        <w:t xml:space="preserve">should also explicitly capture some child-specific elements to ensure that critical child protections will not go unaddressed. </w:t>
      </w:r>
      <w:r>
        <w:rPr>
          <w:rFonts w:cstheme="minorHAnsi"/>
          <w:lang w:val="en-GB"/>
        </w:rPr>
        <w:t>For instance, in article 4 (2) (e) the words “</w:t>
      </w:r>
      <w:r w:rsidRPr="00B90104">
        <w:rPr>
          <w:rFonts w:cstheme="minorHAnsi"/>
          <w:b/>
          <w:bCs/>
          <w:lang w:val="en-GB"/>
        </w:rPr>
        <w:t>and child sensitive</w:t>
      </w:r>
      <w:r>
        <w:rPr>
          <w:rFonts w:cstheme="minorHAnsi"/>
          <w:b/>
          <w:bCs/>
          <w:lang w:val="en-GB"/>
        </w:rPr>
        <w:t xml:space="preserve">” </w:t>
      </w:r>
      <w:r>
        <w:rPr>
          <w:rFonts w:cstheme="minorHAnsi"/>
          <w:lang w:val="en-GB"/>
        </w:rPr>
        <w:t xml:space="preserve">could be added together with further reference to the </w:t>
      </w:r>
      <w:r w:rsidR="00667DF9">
        <w:rPr>
          <w:rFonts w:cstheme="minorHAnsi"/>
          <w:lang w:val="en-GB"/>
        </w:rPr>
        <w:t>requirement</w:t>
      </w:r>
      <w:r>
        <w:rPr>
          <w:rFonts w:cstheme="minorHAnsi"/>
          <w:lang w:val="en-GB"/>
        </w:rPr>
        <w:t xml:space="preserve"> that </w:t>
      </w:r>
      <w:r w:rsidR="00667DF9">
        <w:rPr>
          <w:rFonts w:cstheme="minorHAnsi"/>
          <w:lang w:val="en-GB"/>
        </w:rPr>
        <w:t>a</w:t>
      </w:r>
      <w:r w:rsidRPr="00B90104">
        <w:rPr>
          <w:rFonts w:cstheme="minorHAnsi"/>
          <w:b/>
          <w:bCs/>
          <w:lang w:val="en-GB"/>
        </w:rPr>
        <w:t xml:space="preserve"> </w:t>
      </w:r>
      <w:r w:rsidRPr="002107E2">
        <w:rPr>
          <w:rFonts w:cstheme="minorHAnsi"/>
          <w:lang w:val="en-GB"/>
        </w:rPr>
        <w:t>child victims’ identity not be revealed publicly without their express consent or, where this is not possible, without the consent of their legal representatives who shall be guided by the principle of the best interests of the child concerned.</w:t>
      </w:r>
    </w:p>
    <w:p w14:paraId="72D64535" w14:textId="77777777" w:rsidR="00572A29" w:rsidRPr="00572A29" w:rsidRDefault="00572A29">
      <w:pPr>
        <w:rPr>
          <w:lang w:val="en-GB"/>
        </w:rPr>
      </w:pPr>
    </w:p>
    <w:sectPr w:rsidR="00572A29" w:rsidRPr="0057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29"/>
    <w:rsid w:val="0000378F"/>
    <w:rsid w:val="00572A29"/>
    <w:rsid w:val="00667DF9"/>
    <w:rsid w:val="008354CD"/>
    <w:rsid w:val="00AC63CA"/>
    <w:rsid w:val="00C21241"/>
    <w:rsid w:val="00D543BE"/>
    <w:rsid w:val="00E73C3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D50A"/>
  <w15:chartTrackingRefBased/>
  <w15:docId w15:val="{18A1634D-0826-4125-BECA-71B36337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7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1E4A5-7F4B-4734-BE66-5E178C861327}"/>
</file>

<file path=customXml/itemProps2.xml><?xml version="1.0" encoding="utf-8"?>
<ds:datastoreItem xmlns:ds="http://schemas.openxmlformats.org/officeDocument/2006/customXml" ds:itemID="{2E182AD5-7DE2-4542-B97F-27144C87C722}"/>
</file>

<file path=customXml/itemProps3.xml><?xml version="1.0" encoding="utf-8"?>
<ds:datastoreItem xmlns:ds="http://schemas.openxmlformats.org/officeDocument/2006/customXml" ds:itemID="{DB4C29C6-A24F-4B1B-B4E7-999E2FEB0DA4}"/>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2</cp:revision>
  <dcterms:created xsi:type="dcterms:W3CDTF">2020-10-23T14:46:00Z</dcterms:created>
  <dcterms:modified xsi:type="dcterms:W3CDTF">2020-10-23T14:46:00Z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