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897B" w14:textId="1377EACA" w:rsidR="00BE224B" w:rsidRDefault="00BE224B" w:rsidP="00146048">
      <w:pPr>
        <w:jc w:val="both"/>
        <w:rPr>
          <w:rFonts w:asciiTheme="majorHAnsi" w:hAnsiTheme="majorHAnsi" w:cstheme="majorHAnsi"/>
          <w:b/>
          <w:bCs/>
        </w:rPr>
      </w:pPr>
      <w:r w:rsidRPr="00BE224B">
        <w:rPr>
          <w:rFonts w:asciiTheme="majorHAnsi" w:hAnsiTheme="majorHAnsi" w:cstheme="majorHAnsi"/>
          <w:b/>
          <w:bCs/>
        </w:rPr>
        <w:t>NGO Statement for the Sixth Session of the Open-ended intergovernmental working group for the elaboration of an International Legally Binding Instrument on Transnational Corporations and other Business Enterprises with respect to human rights, Resolution A/HRC/26/9 - 26 to 30 October 2020</w:t>
      </w:r>
    </w:p>
    <w:p w14:paraId="0C490285" w14:textId="7F245244" w:rsidR="00034E7B" w:rsidRDefault="00493F44" w:rsidP="00646D1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Under Item 4, </w:t>
      </w:r>
      <w:r w:rsidR="00646D1A">
        <w:rPr>
          <w:rFonts w:asciiTheme="majorHAnsi" w:hAnsiTheme="majorHAnsi" w:cstheme="majorHAnsi"/>
          <w:b/>
          <w:bCs/>
        </w:rPr>
        <w:t xml:space="preserve">Article 14 </w:t>
      </w:r>
    </w:p>
    <w:p w14:paraId="7A77044C" w14:textId="19E1D4DF" w:rsidR="00646D1A" w:rsidRDefault="00493F44" w:rsidP="00646D1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Joint </w:t>
      </w:r>
      <w:r w:rsidR="00646D1A">
        <w:rPr>
          <w:rFonts w:asciiTheme="majorHAnsi" w:hAnsiTheme="majorHAnsi" w:cstheme="majorHAnsi"/>
          <w:b/>
          <w:bCs/>
        </w:rPr>
        <w:t>Oral Intervention</w:t>
      </w:r>
    </w:p>
    <w:p w14:paraId="07B03D77" w14:textId="5A723236" w:rsidR="00493F44" w:rsidRPr="00BE224B" w:rsidRDefault="00493F44" w:rsidP="00646D1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(To be delivered via Video Message)</w:t>
      </w:r>
    </w:p>
    <w:p w14:paraId="3FBD9D3A" w14:textId="77777777" w:rsidR="00BE224B" w:rsidRDefault="00BE224B" w:rsidP="00146048">
      <w:pPr>
        <w:jc w:val="both"/>
        <w:rPr>
          <w:rFonts w:asciiTheme="majorHAnsi" w:hAnsiTheme="majorHAnsi" w:cstheme="majorHAnsi"/>
        </w:rPr>
      </w:pPr>
    </w:p>
    <w:p w14:paraId="092F514A" w14:textId="77777777" w:rsidR="00514C13" w:rsidRDefault="00514C13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Mr. Chairman,</w:t>
      </w:r>
    </w:p>
    <w:p w14:paraId="2E42B2CC" w14:textId="4AC9DA28" w:rsidR="00514C13" w:rsidRDefault="00514C13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would like to take this opportunity to remind all member stat</w:t>
      </w:r>
      <w:r w:rsidR="003E70F1">
        <w:rPr>
          <w:rFonts w:asciiTheme="majorHAnsi" w:hAnsiTheme="majorHAnsi" w:cstheme="majorHAnsi"/>
        </w:rPr>
        <w:t xml:space="preserve">es of their </w:t>
      </w:r>
      <w:r>
        <w:rPr>
          <w:rFonts w:asciiTheme="majorHAnsi" w:hAnsiTheme="majorHAnsi" w:cstheme="majorHAnsi"/>
        </w:rPr>
        <w:t>obligation</w:t>
      </w:r>
      <w:r w:rsidR="00FD4DE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to respect and promote the </w:t>
      </w:r>
      <w:r w:rsidR="003E70F1">
        <w:rPr>
          <w:rFonts w:asciiTheme="majorHAnsi" w:hAnsiTheme="majorHAnsi" w:cstheme="majorHAnsi"/>
        </w:rPr>
        <w:t xml:space="preserve">realization of the </w:t>
      </w:r>
      <w:r>
        <w:rPr>
          <w:rFonts w:asciiTheme="majorHAnsi" w:hAnsiTheme="majorHAnsi" w:cstheme="majorHAnsi"/>
        </w:rPr>
        <w:t>right to self-determination</w:t>
      </w:r>
      <w:r w:rsidR="0040455C">
        <w:rPr>
          <w:rFonts w:asciiTheme="majorHAnsi" w:hAnsiTheme="majorHAnsi" w:cstheme="majorHAnsi"/>
        </w:rPr>
        <w:t>, including permanent sovereignty over natural resources</w:t>
      </w:r>
      <w:r w:rsidR="008777C8">
        <w:rPr>
          <w:rFonts w:asciiTheme="majorHAnsi" w:hAnsiTheme="majorHAnsi" w:cstheme="majorHAnsi"/>
        </w:rPr>
        <w:t>,</w:t>
      </w:r>
      <w:r w:rsidR="00034E7B">
        <w:rPr>
          <w:rFonts w:asciiTheme="majorHAnsi" w:hAnsiTheme="majorHAnsi" w:cstheme="majorHAnsi"/>
        </w:rPr>
        <w:t xml:space="preserve"> as well as their obligations under international humanitarian law</w:t>
      </w:r>
      <w:r w:rsidR="0040455C">
        <w:rPr>
          <w:rFonts w:asciiTheme="majorHAnsi" w:hAnsiTheme="majorHAnsi" w:cstheme="majorHAnsi"/>
        </w:rPr>
        <w:t>,</w:t>
      </w:r>
      <w:r w:rsidR="008777C8">
        <w:rPr>
          <w:rFonts w:asciiTheme="majorHAnsi" w:hAnsiTheme="majorHAnsi" w:cstheme="majorHAnsi"/>
        </w:rPr>
        <w:t xml:space="preserve"> in order to ensure the</w:t>
      </w:r>
      <w:r w:rsidR="00034E7B">
        <w:rPr>
          <w:rFonts w:asciiTheme="majorHAnsi" w:hAnsiTheme="majorHAnsi" w:cstheme="majorHAnsi"/>
        </w:rPr>
        <w:t xml:space="preserve"> consistency </w:t>
      </w:r>
      <w:r w:rsidR="008777C8">
        <w:rPr>
          <w:rFonts w:asciiTheme="majorHAnsi" w:hAnsiTheme="majorHAnsi" w:cstheme="majorHAnsi"/>
        </w:rPr>
        <w:t xml:space="preserve">of the mechanism </w:t>
      </w:r>
      <w:r w:rsidR="00034E7B">
        <w:rPr>
          <w:rFonts w:asciiTheme="majorHAnsi" w:hAnsiTheme="majorHAnsi" w:cstheme="majorHAnsi"/>
        </w:rPr>
        <w:t>with International Law Principles and Instruments</w:t>
      </w:r>
      <w:r w:rsidR="008777C8">
        <w:rPr>
          <w:rFonts w:asciiTheme="majorHAnsi" w:hAnsiTheme="majorHAnsi" w:cstheme="majorHAnsi"/>
        </w:rPr>
        <w:t xml:space="preserve"> under Article 14</w:t>
      </w:r>
      <w:r w:rsidR="00034E7B">
        <w:rPr>
          <w:rFonts w:asciiTheme="majorHAnsi" w:hAnsiTheme="majorHAnsi" w:cstheme="majorHAnsi"/>
        </w:rPr>
        <w:t xml:space="preserve">. </w:t>
      </w:r>
    </w:p>
    <w:p w14:paraId="1CC9066B" w14:textId="3102C48C" w:rsidR="003E70F1" w:rsidRDefault="003E70F1" w:rsidP="00774FC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 2020 will most likely be remembered for the collective challenges humanity has faced in the course of the Covid-19 pandemic, it is also important to highlight that 2020 represents the final year in the Third-International Decade for the Eradication of Colonialism.</w:t>
      </w:r>
    </w:p>
    <w:p w14:paraId="681D1531" w14:textId="1FFA6315" w:rsidR="00FD4DEF" w:rsidRDefault="00FD4DEF" w:rsidP="00146048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And</w:t>
      </w:r>
      <w:proofErr w:type="gramEnd"/>
      <w:r>
        <w:rPr>
          <w:rFonts w:asciiTheme="majorHAnsi" w:hAnsiTheme="majorHAnsi" w:cstheme="majorHAnsi"/>
        </w:rPr>
        <w:t xml:space="preserve">,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while the connection between </w:t>
      </w:r>
      <w:r w:rsidR="003E70F1">
        <w:rPr>
          <w:rFonts w:asciiTheme="majorHAnsi" w:hAnsiTheme="majorHAnsi" w:cstheme="majorHAnsi"/>
        </w:rPr>
        <w:t xml:space="preserve">the eradication </w:t>
      </w:r>
      <w:r w:rsidR="00774FC2">
        <w:rPr>
          <w:rFonts w:asciiTheme="majorHAnsi" w:hAnsiTheme="majorHAnsi" w:cstheme="majorHAnsi"/>
        </w:rPr>
        <w:t xml:space="preserve">of </w:t>
      </w:r>
      <w:r w:rsidR="003E70F1">
        <w:rPr>
          <w:rFonts w:asciiTheme="majorHAnsi" w:hAnsiTheme="majorHAnsi" w:cstheme="majorHAnsi"/>
        </w:rPr>
        <w:t xml:space="preserve">colonialism and the </w:t>
      </w:r>
      <w:r>
        <w:rPr>
          <w:rFonts w:asciiTheme="majorHAnsi" w:hAnsiTheme="majorHAnsi" w:cstheme="majorHAnsi"/>
        </w:rPr>
        <w:t xml:space="preserve">realization of the </w:t>
      </w:r>
      <w:r w:rsidR="003E70F1">
        <w:rPr>
          <w:rFonts w:asciiTheme="majorHAnsi" w:hAnsiTheme="majorHAnsi" w:cstheme="majorHAnsi"/>
        </w:rPr>
        <w:t xml:space="preserve">right </w:t>
      </w:r>
      <w:r>
        <w:rPr>
          <w:rFonts w:asciiTheme="majorHAnsi" w:hAnsiTheme="majorHAnsi" w:cstheme="majorHAnsi"/>
        </w:rPr>
        <w:t>to self-determination</w:t>
      </w:r>
      <w:r w:rsidR="003E70F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is generally understood, it is the common thread of transnational corporate activity which continues to undermine our ability to comprehensively achieve either.</w:t>
      </w:r>
    </w:p>
    <w:p w14:paraId="08F76343" w14:textId="28863DDB" w:rsidR="00D60EB4" w:rsidRDefault="00D60EB4" w:rsidP="00774FC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is perhaps most evident</w:t>
      </w:r>
      <w:r w:rsidR="00D74A9D">
        <w:rPr>
          <w:rFonts w:asciiTheme="majorHAnsi" w:hAnsiTheme="majorHAnsi" w:cstheme="majorHAnsi"/>
        </w:rPr>
        <w:t xml:space="preserve"> with</w:t>
      </w:r>
      <w:r>
        <w:rPr>
          <w:rFonts w:asciiTheme="majorHAnsi" w:hAnsiTheme="majorHAnsi" w:cstheme="majorHAnsi"/>
        </w:rPr>
        <w:t>in the context of the ongoing occupation of</w:t>
      </w:r>
      <w:r w:rsidR="00FD4DEF">
        <w:rPr>
          <w:rFonts w:asciiTheme="majorHAnsi" w:hAnsiTheme="majorHAnsi" w:cstheme="majorHAnsi"/>
        </w:rPr>
        <w:t xml:space="preserve"> </w:t>
      </w:r>
      <w:r w:rsidR="00774FC2">
        <w:rPr>
          <w:rFonts w:asciiTheme="majorHAnsi" w:hAnsiTheme="majorHAnsi" w:cstheme="majorHAnsi"/>
        </w:rPr>
        <w:t>Palestine</w:t>
      </w:r>
      <w:r>
        <w:rPr>
          <w:rFonts w:asciiTheme="majorHAnsi" w:hAnsiTheme="majorHAnsi" w:cstheme="majorHAnsi"/>
        </w:rPr>
        <w:t>, which reflects a convergence of classic colonialism, neoliberal imperialism and parasitic capitalism.</w:t>
      </w:r>
    </w:p>
    <w:p w14:paraId="24184EAC" w14:textId="3E4B8BE3" w:rsidR="00D74A9D" w:rsidRDefault="00C35CD7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1968, less than one year into Israel’s occupation </w:t>
      </w:r>
      <w:r w:rsidR="00774FC2">
        <w:rPr>
          <w:rFonts w:asciiTheme="majorHAnsi" w:hAnsiTheme="majorHAnsi" w:cstheme="majorHAnsi"/>
        </w:rPr>
        <w:t xml:space="preserve">of </w:t>
      </w:r>
      <w:r>
        <w:rPr>
          <w:rFonts w:asciiTheme="majorHAnsi" w:hAnsiTheme="majorHAnsi" w:cstheme="majorHAnsi"/>
        </w:rPr>
        <w:t>Palestinian territory, the Israeli government facilitated the creation of The Israel Corporation in furtherance of the continued colonization of Palestine along business lines.  A modern-day manifestation of the Crown Chartered Companies of the past.</w:t>
      </w:r>
    </w:p>
    <w:p w14:paraId="11C42F82" w14:textId="523B01E1" w:rsidR="00C35CD7" w:rsidRDefault="008E4294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60EB4">
        <w:rPr>
          <w:rFonts w:asciiTheme="majorHAnsi" w:hAnsiTheme="majorHAnsi" w:cstheme="majorHAnsi"/>
        </w:rPr>
        <w:t xml:space="preserve"> legally binding instrument on transnational corporate activity can address</w:t>
      </w:r>
      <w:r w:rsidR="00146048">
        <w:rPr>
          <w:rFonts w:asciiTheme="majorHAnsi" w:hAnsiTheme="majorHAnsi" w:cstheme="majorHAnsi"/>
        </w:rPr>
        <w:t xml:space="preserve"> many of</w:t>
      </w:r>
      <w:r>
        <w:rPr>
          <w:rFonts w:asciiTheme="majorHAnsi" w:hAnsiTheme="majorHAnsi" w:cstheme="majorHAnsi"/>
        </w:rPr>
        <w:t xml:space="preserve"> these issues</w:t>
      </w:r>
      <w:r w:rsidR="00D60EB4">
        <w:rPr>
          <w:rFonts w:asciiTheme="majorHAnsi" w:hAnsiTheme="majorHAnsi" w:cstheme="majorHAnsi"/>
        </w:rPr>
        <w:t xml:space="preserve">, if there is the political will </w:t>
      </w:r>
      <w:r w:rsidR="00D74A9D">
        <w:rPr>
          <w:rFonts w:asciiTheme="majorHAnsi" w:hAnsiTheme="majorHAnsi" w:cstheme="majorHAnsi"/>
        </w:rPr>
        <w:t xml:space="preserve">to </w:t>
      </w:r>
      <w:r w:rsidR="00D60EB4">
        <w:rPr>
          <w:rFonts w:asciiTheme="majorHAnsi" w:hAnsiTheme="majorHAnsi" w:cstheme="majorHAnsi"/>
        </w:rPr>
        <w:t>ensure t</w:t>
      </w:r>
      <w:r w:rsidR="00C35CD7">
        <w:rPr>
          <w:rFonts w:asciiTheme="majorHAnsi" w:hAnsiTheme="majorHAnsi" w:cstheme="majorHAnsi"/>
        </w:rPr>
        <w:t xml:space="preserve">he primacy of human rights in relation to </w:t>
      </w:r>
      <w:r w:rsidR="00D60EB4">
        <w:rPr>
          <w:rFonts w:asciiTheme="majorHAnsi" w:hAnsiTheme="majorHAnsi" w:cstheme="majorHAnsi"/>
        </w:rPr>
        <w:t xml:space="preserve">economic </w:t>
      </w:r>
      <w:r>
        <w:rPr>
          <w:rFonts w:asciiTheme="majorHAnsi" w:hAnsiTheme="majorHAnsi" w:cstheme="majorHAnsi"/>
        </w:rPr>
        <w:t>interests.</w:t>
      </w:r>
      <w:r w:rsidR="00C35CD7">
        <w:rPr>
          <w:rFonts w:asciiTheme="majorHAnsi" w:hAnsiTheme="majorHAnsi" w:cstheme="majorHAnsi"/>
        </w:rPr>
        <w:t xml:space="preserve"> A balance that we have thus far clearly been unable to strike, as exposed by the current pandemic. </w:t>
      </w:r>
    </w:p>
    <w:p w14:paraId="6FA90BEC" w14:textId="48553848" w:rsidR="00146048" w:rsidRDefault="00146048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Although the principled pragmatists in the human rights community refer to these challenges as gaps in global governance that </w:t>
      </w:r>
      <w:proofErr w:type="gramStart"/>
      <w:r>
        <w:rPr>
          <w:rFonts w:asciiTheme="majorHAnsi" w:hAnsiTheme="majorHAnsi" w:cstheme="majorHAnsi"/>
        </w:rPr>
        <w:t xml:space="preserve">must be </w:t>
      </w:r>
      <w:r w:rsidR="004E1A17">
        <w:rPr>
          <w:rFonts w:asciiTheme="majorHAnsi" w:hAnsiTheme="majorHAnsi" w:cstheme="majorHAnsi"/>
        </w:rPr>
        <w:t>bridged</w:t>
      </w:r>
      <w:proofErr w:type="gramEnd"/>
      <w:r w:rsidR="004E1A17">
        <w:rPr>
          <w:rFonts w:asciiTheme="majorHAnsi" w:hAnsiTheme="majorHAnsi" w:cstheme="majorHAnsi"/>
        </w:rPr>
        <w:t xml:space="preserve">, if not </w:t>
      </w:r>
      <w:r>
        <w:rPr>
          <w:rFonts w:asciiTheme="majorHAnsi" w:hAnsiTheme="majorHAnsi" w:cstheme="majorHAnsi"/>
        </w:rPr>
        <w:t>closed</w:t>
      </w:r>
      <w:r w:rsidR="004E1A17">
        <w:rPr>
          <w:rFonts w:asciiTheme="majorHAnsi" w:hAnsiTheme="majorHAnsi" w:cstheme="majorHAnsi"/>
        </w:rPr>
        <w:t xml:space="preserve"> altogether</w:t>
      </w:r>
      <w:r>
        <w:rPr>
          <w:rFonts w:asciiTheme="majorHAnsi" w:hAnsiTheme="majorHAnsi" w:cstheme="majorHAnsi"/>
        </w:rPr>
        <w:t>; many corporate lawyers, unfortunately, see them</w:t>
      </w:r>
      <w:r w:rsidR="00C35CD7">
        <w:rPr>
          <w:rFonts w:asciiTheme="majorHAnsi" w:hAnsiTheme="majorHAnsi" w:cstheme="majorHAnsi"/>
        </w:rPr>
        <w:t xml:space="preserve"> </w:t>
      </w:r>
      <w:r w:rsidR="004E1A17">
        <w:rPr>
          <w:rFonts w:asciiTheme="majorHAnsi" w:hAnsiTheme="majorHAnsi" w:cstheme="majorHAnsi"/>
        </w:rPr>
        <w:t xml:space="preserve">as </w:t>
      </w:r>
      <w:r>
        <w:rPr>
          <w:rFonts w:asciiTheme="majorHAnsi" w:hAnsiTheme="majorHAnsi" w:cstheme="majorHAnsi"/>
        </w:rPr>
        <w:t>loopholes that must remain open.</w:t>
      </w:r>
    </w:p>
    <w:p w14:paraId="4934E4B1" w14:textId="3CC3F878" w:rsidR="00146048" w:rsidRDefault="00146048" w:rsidP="00774FC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is within the context of conflict and occupation that there should be no ambiguity. </w:t>
      </w:r>
      <w:r w:rsidR="00D156F2">
        <w:rPr>
          <w:rFonts w:asciiTheme="majorHAnsi" w:hAnsiTheme="majorHAnsi" w:cstheme="majorHAnsi"/>
        </w:rPr>
        <w:t xml:space="preserve">Situations of occupation </w:t>
      </w:r>
      <w:r w:rsidR="00774FC2" w:rsidRPr="00034E7B">
        <w:rPr>
          <w:rFonts w:asciiTheme="majorHAnsi" w:hAnsiTheme="majorHAnsi" w:cstheme="majorHAnsi"/>
        </w:rPr>
        <w:t>and</w:t>
      </w:r>
      <w:r w:rsidR="00D156F2" w:rsidRPr="00034E7B">
        <w:rPr>
          <w:rFonts w:asciiTheme="majorHAnsi" w:hAnsiTheme="majorHAnsi" w:cstheme="majorHAnsi"/>
        </w:rPr>
        <w:t xml:space="preserve"> conflict</w:t>
      </w:r>
      <w:r w:rsidR="00D156F2">
        <w:rPr>
          <w:rFonts w:asciiTheme="majorHAnsi" w:hAnsiTheme="majorHAnsi" w:cstheme="majorHAnsi"/>
        </w:rPr>
        <w:t xml:space="preserve"> </w:t>
      </w:r>
      <w:proofErr w:type="gramStart"/>
      <w:r w:rsidR="00D156F2">
        <w:rPr>
          <w:rFonts w:asciiTheme="majorHAnsi" w:hAnsiTheme="majorHAnsi" w:cstheme="majorHAnsi"/>
        </w:rPr>
        <w:t>should not be allowed</w:t>
      </w:r>
      <w:proofErr w:type="gramEnd"/>
      <w:r w:rsidR="00D156F2">
        <w:rPr>
          <w:rFonts w:asciiTheme="majorHAnsi" w:hAnsiTheme="majorHAnsi" w:cstheme="majorHAnsi"/>
        </w:rPr>
        <w:t xml:space="preserve"> to mutate into </w:t>
      </w:r>
      <w:r w:rsidR="00774FC2">
        <w:rPr>
          <w:rFonts w:asciiTheme="majorHAnsi" w:hAnsiTheme="majorHAnsi" w:cstheme="majorHAnsi"/>
        </w:rPr>
        <w:t xml:space="preserve">long-lasting </w:t>
      </w:r>
      <w:r w:rsidR="00D156F2">
        <w:rPr>
          <w:rFonts w:asciiTheme="majorHAnsi" w:hAnsiTheme="majorHAnsi" w:cstheme="majorHAnsi"/>
        </w:rPr>
        <w:t>colonial ventures.</w:t>
      </w:r>
    </w:p>
    <w:p w14:paraId="211D7E40" w14:textId="1544A911" w:rsidR="00D156F2" w:rsidRDefault="00D156F2" w:rsidP="001460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for this reason that we stress the importance of the incorporation of international humanitarian law</w:t>
      </w:r>
      <w:r w:rsidR="004E1A17">
        <w:rPr>
          <w:rFonts w:asciiTheme="majorHAnsi" w:hAnsiTheme="majorHAnsi" w:cstheme="majorHAnsi"/>
        </w:rPr>
        <w:t xml:space="preserve"> and the right to self-determination</w:t>
      </w:r>
      <w:r>
        <w:rPr>
          <w:rFonts w:asciiTheme="majorHAnsi" w:hAnsiTheme="majorHAnsi" w:cstheme="majorHAnsi"/>
        </w:rPr>
        <w:t xml:space="preserve"> throughout </w:t>
      </w:r>
      <w:r w:rsidR="004E1A17">
        <w:rPr>
          <w:rFonts w:asciiTheme="majorHAnsi" w:hAnsiTheme="majorHAnsi" w:cstheme="majorHAnsi"/>
        </w:rPr>
        <w:t xml:space="preserve">this process and </w:t>
      </w:r>
      <w:r>
        <w:rPr>
          <w:rFonts w:asciiTheme="majorHAnsi" w:hAnsiTheme="majorHAnsi" w:cstheme="majorHAnsi"/>
        </w:rPr>
        <w:t>within the legally binding instrument</w:t>
      </w:r>
      <w:r w:rsidR="004E1A17">
        <w:rPr>
          <w:rFonts w:asciiTheme="majorHAnsi" w:hAnsiTheme="majorHAnsi" w:cstheme="majorHAnsi"/>
        </w:rPr>
        <w:t xml:space="preserve"> as it evolves</w:t>
      </w:r>
      <w:r>
        <w:rPr>
          <w:rFonts w:asciiTheme="majorHAnsi" w:hAnsiTheme="majorHAnsi" w:cstheme="majorHAnsi"/>
        </w:rPr>
        <w:t xml:space="preserve">.  </w:t>
      </w:r>
    </w:p>
    <w:p w14:paraId="4851C340" w14:textId="30F30812" w:rsidR="004E1A17" w:rsidRDefault="00D156F2" w:rsidP="00493F4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Although we will not be able to ensure that conflicts are </w:t>
      </w:r>
      <w:proofErr w:type="gramStart"/>
      <w:r>
        <w:rPr>
          <w:rFonts w:asciiTheme="majorHAnsi" w:hAnsiTheme="majorHAnsi" w:cstheme="majorHAnsi"/>
        </w:rPr>
        <w:t>a thing of the past</w:t>
      </w:r>
      <w:proofErr w:type="gramEnd"/>
      <w:r>
        <w:rPr>
          <w:rFonts w:asciiTheme="majorHAnsi" w:hAnsiTheme="majorHAnsi" w:cstheme="majorHAnsi"/>
        </w:rPr>
        <w:t>; through this mechanism, we can go a long way towards challenging the economic incentive structure that perpetuates them.</w:t>
      </w:r>
    </w:p>
    <w:p w14:paraId="01BFAD08" w14:textId="576B760C" w:rsidR="00563C54" w:rsidRPr="00034E7B" w:rsidRDefault="00646D1A" w:rsidP="00034E7B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>Thank you.</w:t>
      </w:r>
    </w:p>
    <w:sectPr w:rsidR="00563C54" w:rsidRPr="0003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158"/>
    <w:multiLevelType w:val="hybridMultilevel"/>
    <w:tmpl w:val="3DDECEFC"/>
    <w:lvl w:ilvl="0" w:tplc="53545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D29"/>
    <w:multiLevelType w:val="hybridMultilevel"/>
    <w:tmpl w:val="A4BE8DE6"/>
    <w:lvl w:ilvl="0" w:tplc="A6B4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D"/>
    <w:rsid w:val="00013FA6"/>
    <w:rsid w:val="00034E7B"/>
    <w:rsid w:val="00127C54"/>
    <w:rsid w:val="00146048"/>
    <w:rsid w:val="001624ED"/>
    <w:rsid w:val="001A505F"/>
    <w:rsid w:val="00205184"/>
    <w:rsid w:val="00247584"/>
    <w:rsid w:val="002F2CBE"/>
    <w:rsid w:val="00357D6A"/>
    <w:rsid w:val="00373629"/>
    <w:rsid w:val="003736F8"/>
    <w:rsid w:val="00394F45"/>
    <w:rsid w:val="003A2E72"/>
    <w:rsid w:val="003E70F1"/>
    <w:rsid w:val="003F0792"/>
    <w:rsid w:val="0040455C"/>
    <w:rsid w:val="0047071D"/>
    <w:rsid w:val="00493F44"/>
    <w:rsid w:val="004C5C61"/>
    <w:rsid w:val="004E1A17"/>
    <w:rsid w:val="00506F49"/>
    <w:rsid w:val="00514C13"/>
    <w:rsid w:val="00525B86"/>
    <w:rsid w:val="00563C54"/>
    <w:rsid w:val="005D6F88"/>
    <w:rsid w:val="00605AD6"/>
    <w:rsid w:val="00636F4D"/>
    <w:rsid w:val="00646D1A"/>
    <w:rsid w:val="006B7422"/>
    <w:rsid w:val="006D3C7E"/>
    <w:rsid w:val="00702F38"/>
    <w:rsid w:val="00725B7F"/>
    <w:rsid w:val="00774FC2"/>
    <w:rsid w:val="007843EF"/>
    <w:rsid w:val="00820325"/>
    <w:rsid w:val="0085730E"/>
    <w:rsid w:val="008720AB"/>
    <w:rsid w:val="00876F61"/>
    <w:rsid w:val="008777C8"/>
    <w:rsid w:val="008D2201"/>
    <w:rsid w:val="008E4294"/>
    <w:rsid w:val="008F4D82"/>
    <w:rsid w:val="0093256F"/>
    <w:rsid w:val="00960BCD"/>
    <w:rsid w:val="009870DB"/>
    <w:rsid w:val="009F2FB1"/>
    <w:rsid w:val="00A243A6"/>
    <w:rsid w:val="00A83F38"/>
    <w:rsid w:val="00AE7779"/>
    <w:rsid w:val="00B3489E"/>
    <w:rsid w:val="00B46EAF"/>
    <w:rsid w:val="00B55FBE"/>
    <w:rsid w:val="00BA5538"/>
    <w:rsid w:val="00BE224B"/>
    <w:rsid w:val="00C3270D"/>
    <w:rsid w:val="00C35CD7"/>
    <w:rsid w:val="00CB713B"/>
    <w:rsid w:val="00D04F2D"/>
    <w:rsid w:val="00D156F2"/>
    <w:rsid w:val="00D538AD"/>
    <w:rsid w:val="00D55002"/>
    <w:rsid w:val="00D60EB4"/>
    <w:rsid w:val="00D67F33"/>
    <w:rsid w:val="00D74A9D"/>
    <w:rsid w:val="00D7747E"/>
    <w:rsid w:val="00DE7B27"/>
    <w:rsid w:val="00E27330"/>
    <w:rsid w:val="00E31740"/>
    <w:rsid w:val="00E54FD5"/>
    <w:rsid w:val="00ED234D"/>
    <w:rsid w:val="00F64FDD"/>
    <w:rsid w:val="00F66594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1554"/>
  <w15:chartTrackingRefBased/>
  <w15:docId w15:val="{DE79B0CF-0C6B-4BD4-A455-C0ABDE4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3C5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3C54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563C54"/>
    <w:rPr>
      <w:b/>
      <w:bCs/>
    </w:rPr>
  </w:style>
  <w:style w:type="character" w:styleId="Emphasis">
    <w:name w:val="Emphasis"/>
    <w:basedOn w:val="DefaultParagraphFont"/>
    <w:uiPriority w:val="20"/>
    <w:qFormat/>
    <w:rsid w:val="00563C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CDACF-4196-467B-A09A-821B374D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F7D0E-645D-42AE-9D05-7A23A9C9B32B}"/>
</file>

<file path=customXml/itemProps3.xml><?xml version="1.0" encoding="utf-8"?>
<ds:datastoreItem xmlns:ds="http://schemas.openxmlformats.org/officeDocument/2006/customXml" ds:itemID="{F8676C5B-646B-41DC-983A-F1F4977B4D50}"/>
</file>

<file path=customXml/itemProps4.xml><?xml version="1.0" encoding="utf-8"?>
<ds:datastoreItem xmlns:ds="http://schemas.openxmlformats.org/officeDocument/2006/customXml" ds:itemID="{2684EEBD-33D0-4067-8DDF-89BAAC73C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Biggs</dc:creator>
  <cp:keywords/>
  <dc:description/>
  <cp:lastModifiedBy>Wisam Ahmad</cp:lastModifiedBy>
  <cp:revision>2</cp:revision>
  <dcterms:created xsi:type="dcterms:W3CDTF">2020-10-28T10:29:00Z</dcterms:created>
  <dcterms:modified xsi:type="dcterms:W3CDTF">2020-10-28T10:29:00Z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