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8E00" w14:textId="0E6E4DD7" w:rsidR="00316080" w:rsidRDefault="00316080" w:rsidP="00316080">
      <w:pPr>
        <w:autoSpaceDE w:val="0"/>
        <w:autoSpaceDN w:val="0"/>
        <w:adjustRightInd w:val="0"/>
        <w:spacing w:after="0" w:line="240" w:lineRule="auto"/>
        <w:jc w:val="center"/>
        <w:rPr>
          <w:rFonts w:ascii="Calibri-Bold" w:hAnsi="Calibri-Bold" w:cs="Calibri-Bold"/>
          <w:b/>
          <w:bCs/>
          <w:sz w:val="21"/>
          <w:szCs w:val="21"/>
        </w:rPr>
      </w:pPr>
      <w:r>
        <w:rPr>
          <w:rFonts w:ascii="Calibri-Bold" w:hAnsi="Calibri-Bold" w:cs="Calibri-Bold"/>
          <w:b/>
          <w:bCs/>
          <w:sz w:val="21"/>
          <w:szCs w:val="21"/>
        </w:rPr>
        <w:t>IOE Intervention</w:t>
      </w:r>
    </w:p>
    <w:p w14:paraId="15B0BC22" w14:textId="77777777" w:rsidR="00316080" w:rsidRDefault="00316080" w:rsidP="00316080">
      <w:pPr>
        <w:autoSpaceDE w:val="0"/>
        <w:autoSpaceDN w:val="0"/>
        <w:adjustRightInd w:val="0"/>
        <w:spacing w:after="0" w:line="240" w:lineRule="auto"/>
        <w:jc w:val="center"/>
        <w:rPr>
          <w:rFonts w:ascii="Calibri-Bold" w:hAnsi="Calibri-Bold" w:cs="Calibri-Bold"/>
          <w:b/>
          <w:bCs/>
          <w:sz w:val="21"/>
          <w:szCs w:val="21"/>
        </w:rPr>
      </w:pPr>
    </w:p>
    <w:p w14:paraId="1E8D3DB9" w14:textId="6DEF7036" w:rsidR="002E3D92" w:rsidRPr="00316080" w:rsidRDefault="002E3D92" w:rsidP="00316080">
      <w:pPr>
        <w:autoSpaceDE w:val="0"/>
        <w:autoSpaceDN w:val="0"/>
        <w:adjustRightInd w:val="0"/>
        <w:spacing w:after="0" w:line="240" w:lineRule="auto"/>
        <w:jc w:val="center"/>
        <w:rPr>
          <w:rFonts w:ascii="Calibri-Bold" w:hAnsi="Calibri-Bold" w:cs="Calibri-Bold"/>
          <w:b/>
          <w:bCs/>
          <w:sz w:val="21"/>
          <w:szCs w:val="21"/>
        </w:rPr>
      </w:pPr>
      <w:r>
        <w:rPr>
          <w:rFonts w:ascii="Calibri-Bold" w:hAnsi="Calibri-Bold" w:cs="Calibri-Bold"/>
          <w:b/>
          <w:bCs/>
          <w:sz w:val="21"/>
          <w:szCs w:val="21"/>
        </w:rPr>
        <w:t>Article 12. Mutual legal assistance and international judicial</w:t>
      </w:r>
      <w:r w:rsidR="00316080">
        <w:rPr>
          <w:rFonts w:ascii="Calibri-Bold" w:hAnsi="Calibri-Bold" w:cs="Calibri-Bold"/>
          <w:b/>
          <w:bCs/>
          <w:sz w:val="21"/>
          <w:szCs w:val="21"/>
        </w:rPr>
        <w:t xml:space="preserve"> </w:t>
      </w:r>
      <w:r>
        <w:rPr>
          <w:rFonts w:ascii="Calibri-Bold" w:hAnsi="Calibri-Bold" w:cs="Calibri-Bold"/>
          <w:b/>
          <w:bCs/>
          <w:sz w:val="21"/>
          <w:szCs w:val="21"/>
        </w:rPr>
        <w:t>cooperation, Article 13. International cooperation, Article 14. Consistency with international law</w:t>
      </w:r>
      <w:r w:rsidR="00316080">
        <w:rPr>
          <w:rFonts w:ascii="Calibri-Bold" w:hAnsi="Calibri-Bold" w:cs="Calibri-Bold"/>
          <w:b/>
          <w:bCs/>
          <w:sz w:val="21"/>
          <w:szCs w:val="21"/>
        </w:rPr>
        <w:t xml:space="preserve"> </w:t>
      </w:r>
      <w:r>
        <w:rPr>
          <w:rFonts w:ascii="Calibri-Bold" w:hAnsi="Calibri-Bold" w:cs="Calibri-Bold"/>
          <w:b/>
          <w:bCs/>
          <w:sz w:val="21"/>
          <w:szCs w:val="21"/>
        </w:rPr>
        <w:t>principles and instruments</w:t>
      </w:r>
      <w:r>
        <w:rPr>
          <w:rFonts w:ascii="Calibri-Light" w:hAnsi="Calibri-Light" w:cs="Calibri-Light"/>
          <w:sz w:val="21"/>
          <w:szCs w:val="21"/>
        </w:rPr>
        <w:t>”</w:t>
      </w:r>
    </w:p>
    <w:p w14:paraId="3C6D7206" w14:textId="77777777" w:rsidR="00316080" w:rsidRDefault="00316080" w:rsidP="002E3D92">
      <w:pPr>
        <w:rPr>
          <w:rFonts w:ascii="Calibri-Light" w:hAnsi="Calibri-Light" w:cs="Calibri-Light"/>
          <w:sz w:val="21"/>
          <w:szCs w:val="21"/>
        </w:rPr>
      </w:pPr>
    </w:p>
    <w:p w14:paraId="4A23A478" w14:textId="2366DE5E" w:rsidR="003B27BA" w:rsidRDefault="002E3D92" w:rsidP="00316080">
      <w:pPr>
        <w:jc w:val="center"/>
        <w:rPr>
          <w:rFonts w:ascii="Calibri-Light" w:hAnsi="Calibri-Light" w:cs="Calibri-Light"/>
          <w:sz w:val="21"/>
          <w:szCs w:val="21"/>
        </w:rPr>
      </w:pPr>
      <w:r>
        <w:rPr>
          <w:rFonts w:ascii="Calibri-Light" w:hAnsi="Calibri-Light" w:cs="Calibri-Light"/>
          <w:sz w:val="21"/>
          <w:szCs w:val="21"/>
        </w:rPr>
        <w:t xml:space="preserve">IOE (ECOSOC Status), </w:t>
      </w:r>
      <w:r w:rsidRPr="002E3D92">
        <w:rPr>
          <w:rFonts w:ascii="Calibri-Light" w:hAnsi="Calibri-Light" w:cs="Calibri-Light"/>
          <w:sz w:val="21"/>
          <w:szCs w:val="21"/>
          <w:highlight w:val="yellow"/>
        </w:rPr>
        <w:t>Speaker is Mr Matthias Thorns in person delivery</w:t>
      </w:r>
    </w:p>
    <w:p w14:paraId="19B00642" w14:textId="10ECD81D" w:rsidR="002E3D92" w:rsidRDefault="002E3D92" w:rsidP="00316080">
      <w:pPr>
        <w:pBdr>
          <w:bottom w:val="single" w:sz="4" w:space="1" w:color="auto"/>
        </w:pBdr>
        <w:rPr>
          <w:rFonts w:ascii="Calibri-Light" w:hAnsi="Calibri-Light" w:cs="Calibri-Light"/>
          <w:sz w:val="21"/>
          <w:szCs w:val="21"/>
        </w:rPr>
      </w:pPr>
    </w:p>
    <w:p w14:paraId="692B849C" w14:textId="38C712E1" w:rsidR="002E3D92" w:rsidRPr="00607AE8" w:rsidRDefault="002E3D92" w:rsidP="002E3D92">
      <w:pPr>
        <w:rPr>
          <w:rFonts w:ascii="Arial" w:hAnsi="Arial" w:cs="Arial"/>
          <w:sz w:val="24"/>
          <w:szCs w:val="24"/>
        </w:rPr>
      </w:pPr>
    </w:p>
    <w:p w14:paraId="53AB0363" w14:textId="3098A017" w:rsidR="00607AE8" w:rsidRPr="00607AE8" w:rsidRDefault="00607AE8" w:rsidP="00607AE8">
      <w:pPr>
        <w:autoSpaceDE w:val="0"/>
        <w:autoSpaceDN w:val="0"/>
        <w:adjustRightInd w:val="0"/>
        <w:spacing w:line="240" w:lineRule="auto"/>
        <w:jc w:val="both"/>
        <w:rPr>
          <w:rFonts w:ascii="Arial" w:hAnsi="Arial" w:cs="Arial"/>
          <w:sz w:val="24"/>
          <w:szCs w:val="24"/>
        </w:rPr>
      </w:pPr>
      <w:r w:rsidRPr="00423622">
        <w:rPr>
          <w:rFonts w:ascii="Arial" w:hAnsi="Arial" w:cs="Arial"/>
          <w:sz w:val="24"/>
          <w:szCs w:val="24"/>
          <w:highlight w:val="yellow"/>
        </w:rPr>
        <w:t>International assistance and cooperation is important to promote human rights and access to remedy</w:t>
      </w:r>
      <w:r w:rsidRPr="00607AE8">
        <w:rPr>
          <w:rFonts w:ascii="Arial" w:hAnsi="Arial" w:cs="Arial"/>
          <w:sz w:val="24"/>
          <w:szCs w:val="24"/>
        </w:rPr>
        <w:t xml:space="preserve">. Countries must undertake </w:t>
      </w:r>
      <w:r w:rsidRPr="00423622">
        <w:rPr>
          <w:rFonts w:ascii="Arial" w:hAnsi="Arial" w:cs="Arial"/>
          <w:sz w:val="24"/>
          <w:szCs w:val="24"/>
          <w:highlight w:val="yellow"/>
        </w:rPr>
        <w:t>more efforts to support each other through technical cooperation</w:t>
      </w:r>
      <w:r w:rsidR="003F51CA">
        <w:rPr>
          <w:rFonts w:ascii="Arial" w:hAnsi="Arial" w:cs="Arial"/>
          <w:sz w:val="24"/>
          <w:szCs w:val="24"/>
          <w:highlight w:val="yellow"/>
        </w:rPr>
        <w:t>, peer learning</w:t>
      </w:r>
      <w:r w:rsidRPr="00423622">
        <w:rPr>
          <w:rFonts w:ascii="Arial" w:hAnsi="Arial" w:cs="Arial"/>
          <w:sz w:val="24"/>
          <w:szCs w:val="24"/>
          <w:highlight w:val="yellow"/>
        </w:rPr>
        <w:t xml:space="preserve"> and the exchange of experience to strengthen judicial system</w:t>
      </w:r>
      <w:r w:rsidRPr="00607AE8">
        <w:rPr>
          <w:rFonts w:ascii="Arial" w:hAnsi="Arial" w:cs="Arial"/>
          <w:sz w:val="24"/>
          <w:szCs w:val="24"/>
        </w:rPr>
        <w:t xml:space="preserve">. </w:t>
      </w:r>
      <w:r w:rsidR="003F51CA">
        <w:rPr>
          <w:rFonts w:ascii="Arial" w:hAnsi="Arial" w:cs="Arial"/>
          <w:sz w:val="24"/>
          <w:szCs w:val="24"/>
        </w:rPr>
        <w:t>We need to address the root causes for insufficient access to justice when we want to</w:t>
      </w:r>
      <w:r w:rsidR="0090512B">
        <w:rPr>
          <w:rFonts w:ascii="Arial" w:hAnsi="Arial" w:cs="Arial"/>
          <w:sz w:val="24"/>
          <w:szCs w:val="24"/>
        </w:rPr>
        <w:t xml:space="preserve"> sustainably</w:t>
      </w:r>
      <w:r w:rsidR="003F51CA">
        <w:rPr>
          <w:rFonts w:ascii="Arial" w:hAnsi="Arial" w:cs="Arial"/>
          <w:sz w:val="24"/>
          <w:szCs w:val="24"/>
        </w:rPr>
        <w:t xml:space="preserve"> change the situation on the ground and give easy access to remedy for all. </w:t>
      </w:r>
      <w:r w:rsidR="00B11C31">
        <w:rPr>
          <w:rFonts w:ascii="Arial" w:hAnsi="Arial" w:cs="Arial"/>
          <w:sz w:val="24"/>
          <w:szCs w:val="24"/>
        </w:rPr>
        <w:t>Article 13 offers important suggestions in this regard</w:t>
      </w:r>
      <w:bookmarkStart w:id="0" w:name="_GoBack"/>
      <w:bookmarkEnd w:id="0"/>
      <w:r w:rsidR="00B11C31">
        <w:rPr>
          <w:rFonts w:ascii="Arial" w:hAnsi="Arial" w:cs="Arial"/>
          <w:sz w:val="24"/>
          <w:szCs w:val="24"/>
        </w:rPr>
        <w:t>.</w:t>
      </w:r>
    </w:p>
    <w:p w14:paraId="62ADC72D" w14:textId="77777777" w:rsidR="00607AE8" w:rsidRPr="00607AE8" w:rsidRDefault="00607AE8" w:rsidP="00607AE8">
      <w:pPr>
        <w:pStyle w:val="ListParagraph"/>
        <w:autoSpaceDE w:val="0"/>
        <w:autoSpaceDN w:val="0"/>
        <w:adjustRightInd w:val="0"/>
        <w:spacing w:line="240" w:lineRule="auto"/>
        <w:jc w:val="both"/>
        <w:rPr>
          <w:rFonts w:ascii="Arial" w:hAnsi="Arial" w:cs="Arial"/>
          <w:szCs w:val="24"/>
        </w:rPr>
      </w:pPr>
    </w:p>
    <w:p w14:paraId="019AA4FA" w14:textId="72D667BB" w:rsidR="00607AE8" w:rsidRPr="00607AE8" w:rsidRDefault="00B11C31" w:rsidP="002E3D92">
      <w:pPr>
        <w:rPr>
          <w:rFonts w:ascii="Arial" w:hAnsi="Arial" w:cs="Arial"/>
          <w:sz w:val="24"/>
          <w:szCs w:val="24"/>
        </w:rPr>
      </w:pPr>
      <w:r>
        <w:rPr>
          <w:rFonts w:ascii="Arial" w:hAnsi="Arial" w:cs="Arial"/>
          <w:sz w:val="24"/>
          <w:szCs w:val="24"/>
          <w:lang w:val="en-GB"/>
        </w:rPr>
        <w:t>However, we have great concerns with regards to Article 12</w:t>
      </w:r>
      <w:r w:rsidR="00607AE8" w:rsidRPr="00607AE8">
        <w:rPr>
          <w:rFonts w:ascii="Arial" w:hAnsi="Arial" w:cs="Arial"/>
          <w:sz w:val="24"/>
          <w:szCs w:val="24"/>
        </w:rPr>
        <w:t xml:space="preserve">, notably </w:t>
      </w:r>
      <w:r w:rsidR="00607AE8" w:rsidRPr="00423622">
        <w:rPr>
          <w:rFonts w:ascii="Arial" w:hAnsi="Arial" w:cs="Arial"/>
          <w:sz w:val="24"/>
          <w:szCs w:val="24"/>
          <w:highlight w:val="yellow"/>
        </w:rPr>
        <w:t>the list of proposed actions under article 1</w:t>
      </w:r>
      <w:r w:rsidR="003F51CA">
        <w:rPr>
          <w:rFonts w:ascii="Arial" w:hAnsi="Arial" w:cs="Arial"/>
          <w:sz w:val="24"/>
          <w:szCs w:val="24"/>
          <w:highlight w:val="yellow"/>
        </w:rPr>
        <w:t>2</w:t>
      </w:r>
      <w:r w:rsidR="00607AE8" w:rsidRPr="00423622">
        <w:rPr>
          <w:rFonts w:ascii="Arial" w:hAnsi="Arial" w:cs="Arial"/>
          <w:sz w:val="24"/>
          <w:szCs w:val="24"/>
          <w:highlight w:val="yellow"/>
        </w:rPr>
        <w:t xml:space="preserve"> paragraph 3 to promote cooperation between States such as: "executing searches and seizures"; "examining objects and sites"; ""; and "facilitating the freezing and recovery of assets</w:t>
      </w:r>
      <w:r w:rsidR="00607AE8" w:rsidRPr="00607AE8">
        <w:rPr>
          <w:rFonts w:ascii="Arial" w:hAnsi="Arial" w:cs="Arial"/>
          <w:sz w:val="24"/>
          <w:szCs w:val="24"/>
        </w:rPr>
        <w:t>." These wide-ranging examples could potentially enable politically motivated actions and prosecutions against business, as well as compound problems in relation to bad-faith actions against companies.</w:t>
      </w:r>
    </w:p>
    <w:p w14:paraId="78870596" w14:textId="77777777" w:rsidR="00607AE8" w:rsidRPr="00607AE8" w:rsidRDefault="00607AE8" w:rsidP="002E3D92">
      <w:pPr>
        <w:rPr>
          <w:rFonts w:ascii="Arial" w:hAnsi="Arial" w:cs="Arial"/>
          <w:sz w:val="24"/>
          <w:szCs w:val="24"/>
        </w:rPr>
      </w:pPr>
    </w:p>
    <w:p w14:paraId="5895E991" w14:textId="6B341BDE" w:rsidR="007E573E" w:rsidRDefault="00607AE8" w:rsidP="007E573E">
      <w:pPr>
        <w:pStyle w:val="Default"/>
        <w:rPr>
          <w:rFonts w:ascii="Arial" w:hAnsi="Arial" w:cs="Arial"/>
        </w:rPr>
      </w:pPr>
      <w:r w:rsidRPr="00607AE8">
        <w:rPr>
          <w:rFonts w:ascii="Arial" w:hAnsi="Arial" w:cs="Arial"/>
        </w:rPr>
        <w:t>Moreover,</w:t>
      </w:r>
      <w:r w:rsidR="007E573E" w:rsidRPr="00607AE8">
        <w:rPr>
          <w:rFonts w:ascii="Arial" w:hAnsi="Arial" w:cs="Arial"/>
        </w:rPr>
        <w:t xml:space="preserve"> IOE would like to stress, that under international law, an important check on a foreign </w:t>
      </w:r>
      <w:r w:rsidR="007E573E" w:rsidRPr="00423622">
        <w:rPr>
          <w:rFonts w:ascii="Arial" w:hAnsi="Arial" w:cs="Arial"/>
          <w:highlight w:val="yellow"/>
        </w:rPr>
        <w:t>court’s adjudicative jurisdictio</w:t>
      </w:r>
      <w:r w:rsidR="007E573E" w:rsidRPr="00607AE8">
        <w:rPr>
          <w:rFonts w:ascii="Arial" w:hAnsi="Arial" w:cs="Arial"/>
        </w:rPr>
        <w:t xml:space="preserve">n has always been the power of a national court to refuse to recognise the enforcement of that foreign court’s decision. This is an important safeguard that allows a national court to reject a foreign court’s decision to exercise jurisdiction over a defendant located in the country of the national court. However, this important safeguard has been removed by the revised draft treaty because it mandates that all State Parties recognise and enforce another State Party’s court order – with very limited exceptions. </w:t>
      </w:r>
    </w:p>
    <w:p w14:paraId="42C662A4" w14:textId="4FC30BFD" w:rsidR="00423622" w:rsidRDefault="00423622" w:rsidP="007E573E">
      <w:pPr>
        <w:pStyle w:val="Default"/>
        <w:rPr>
          <w:rFonts w:ascii="Arial" w:hAnsi="Arial" w:cs="Arial"/>
        </w:rPr>
      </w:pPr>
    </w:p>
    <w:p w14:paraId="08AFBDA8" w14:textId="1A3E4824" w:rsidR="00423622" w:rsidRPr="00607AE8" w:rsidRDefault="00423622" w:rsidP="007E573E">
      <w:pPr>
        <w:pStyle w:val="Default"/>
        <w:rPr>
          <w:rFonts w:ascii="Arial" w:hAnsi="Arial" w:cs="Arial"/>
        </w:rPr>
      </w:pPr>
      <w:r>
        <w:rPr>
          <w:rFonts w:ascii="Arial" w:hAnsi="Arial" w:cs="Arial"/>
        </w:rPr>
        <w:t xml:space="preserve">To summarize, we see that the </w:t>
      </w:r>
      <w:r w:rsidRPr="00423622">
        <w:rPr>
          <w:rFonts w:ascii="Arial" w:hAnsi="Arial" w:cs="Arial"/>
        </w:rPr>
        <w:t>sovereignty</w:t>
      </w:r>
      <w:r>
        <w:rPr>
          <w:rFonts w:ascii="Arial" w:hAnsi="Arial" w:cs="Arial"/>
        </w:rPr>
        <w:t xml:space="preserve"> of states is unduly undermined through article 12. Thus, the article needs to by comprehensively revised.</w:t>
      </w:r>
    </w:p>
    <w:p w14:paraId="55F13F6D" w14:textId="231B161C" w:rsidR="00607AE8" w:rsidRPr="00607AE8" w:rsidRDefault="00607AE8" w:rsidP="007E573E">
      <w:pPr>
        <w:pStyle w:val="Default"/>
        <w:rPr>
          <w:rFonts w:ascii="Arial" w:hAnsi="Arial" w:cs="Arial"/>
        </w:rPr>
      </w:pPr>
    </w:p>
    <w:p w14:paraId="612BFE05" w14:textId="602AC3D5" w:rsidR="00607AE8" w:rsidRPr="00607AE8" w:rsidRDefault="00607AE8" w:rsidP="007E573E">
      <w:pPr>
        <w:pStyle w:val="Default"/>
        <w:rPr>
          <w:rFonts w:ascii="Arial" w:hAnsi="Arial" w:cs="Arial"/>
        </w:rPr>
      </w:pPr>
      <w:r>
        <w:rPr>
          <w:rFonts w:ascii="Arial" w:hAnsi="Arial" w:cs="Arial"/>
        </w:rPr>
        <w:t>Thank you.</w:t>
      </w:r>
    </w:p>
    <w:p w14:paraId="74ACAAD7" w14:textId="1F22E482" w:rsidR="007E573E" w:rsidRPr="00607AE8" w:rsidRDefault="007E573E" w:rsidP="007E573E">
      <w:pPr>
        <w:pStyle w:val="Default"/>
        <w:rPr>
          <w:rFonts w:ascii="Arial" w:hAnsi="Arial" w:cs="Arial"/>
        </w:rPr>
      </w:pPr>
    </w:p>
    <w:p w14:paraId="18A50002" w14:textId="77777777" w:rsidR="007E573E" w:rsidRPr="007E573E" w:rsidRDefault="007E573E" w:rsidP="007E573E">
      <w:pPr>
        <w:pStyle w:val="Default"/>
      </w:pPr>
    </w:p>
    <w:p w14:paraId="6439974A" w14:textId="0A2E45A8" w:rsidR="00316080" w:rsidRDefault="00316080" w:rsidP="002E3D92">
      <w:pPr>
        <w:rPr>
          <w:rFonts w:ascii="Calibri-Light" w:hAnsi="Calibri-Light" w:cs="Calibri-Light"/>
          <w:sz w:val="21"/>
          <w:szCs w:val="21"/>
        </w:rPr>
      </w:pPr>
    </w:p>
    <w:p w14:paraId="63EA534D" w14:textId="77777777" w:rsidR="00316080" w:rsidRDefault="00316080" w:rsidP="002E3D92">
      <w:pPr>
        <w:rPr>
          <w:rFonts w:ascii="Calibri-Light" w:hAnsi="Calibri-Light" w:cs="Calibri-Light"/>
          <w:sz w:val="21"/>
          <w:szCs w:val="21"/>
        </w:rPr>
      </w:pPr>
    </w:p>
    <w:p w14:paraId="08E5B95C" w14:textId="77777777" w:rsidR="002E3D92" w:rsidRPr="002E3D92" w:rsidRDefault="002E3D92" w:rsidP="002E3D92">
      <w:pPr>
        <w:rPr>
          <w:b/>
          <w:bCs/>
        </w:rPr>
      </w:pPr>
    </w:p>
    <w:sectPr w:rsidR="002E3D92" w:rsidRPr="002E3D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25pt;height:108.2pt;visibility:visible;mso-wrap-style:square" o:bullet="t">
        <v:imagedata r:id="rId1" o:title=""/>
      </v:shape>
    </w:pict>
  </w:numPicBullet>
  <w:abstractNum w:abstractNumId="0" w15:restartNumberingAfterBreak="0">
    <w:nsid w:val="7C812175"/>
    <w:multiLevelType w:val="hybridMultilevel"/>
    <w:tmpl w:val="82F0C492"/>
    <w:lvl w:ilvl="0" w:tplc="99FE1B0C">
      <w:start w:val="1"/>
      <w:numFmt w:val="bullet"/>
      <w:lvlText w:val=""/>
      <w:lvlPicBulletId w:val="0"/>
      <w:lvlJc w:val="left"/>
      <w:pPr>
        <w:tabs>
          <w:tab w:val="num" w:pos="720"/>
        </w:tabs>
        <w:ind w:left="720" w:hanging="360"/>
      </w:pPr>
      <w:rPr>
        <w:rFonts w:ascii="Symbol" w:hAnsi="Symbol" w:hint="default"/>
      </w:rPr>
    </w:lvl>
    <w:lvl w:ilvl="1" w:tplc="E18C621E" w:tentative="1">
      <w:start w:val="1"/>
      <w:numFmt w:val="bullet"/>
      <w:lvlText w:val=""/>
      <w:lvlJc w:val="left"/>
      <w:pPr>
        <w:tabs>
          <w:tab w:val="num" w:pos="1440"/>
        </w:tabs>
        <w:ind w:left="1440" w:hanging="360"/>
      </w:pPr>
      <w:rPr>
        <w:rFonts w:ascii="Symbol" w:hAnsi="Symbol" w:hint="default"/>
      </w:rPr>
    </w:lvl>
    <w:lvl w:ilvl="2" w:tplc="6FA44EF0" w:tentative="1">
      <w:start w:val="1"/>
      <w:numFmt w:val="bullet"/>
      <w:lvlText w:val=""/>
      <w:lvlJc w:val="left"/>
      <w:pPr>
        <w:tabs>
          <w:tab w:val="num" w:pos="2160"/>
        </w:tabs>
        <w:ind w:left="2160" w:hanging="360"/>
      </w:pPr>
      <w:rPr>
        <w:rFonts w:ascii="Symbol" w:hAnsi="Symbol" w:hint="default"/>
      </w:rPr>
    </w:lvl>
    <w:lvl w:ilvl="3" w:tplc="E500EA6C" w:tentative="1">
      <w:start w:val="1"/>
      <w:numFmt w:val="bullet"/>
      <w:lvlText w:val=""/>
      <w:lvlJc w:val="left"/>
      <w:pPr>
        <w:tabs>
          <w:tab w:val="num" w:pos="2880"/>
        </w:tabs>
        <w:ind w:left="2880" w:hanging="360"/>
      </w:pPr>
      <w:rPr>
        <w:rFonts w:ascii="Symbol" w:hAnsi="Symbol" w:hint="default"/>
      </w:rPr>
    </w:lvl>
    <w:lvl w:ilvl="4" w:tplc="D19A9E00" w:tentative="1">
      <w:start w:val="1"/>
      <w:numFmt w:val="bullet"/>
      <w:lvlText w:val=""/>
      <w:lvlJc w:val="left"/>
      <w:pPr>
        <w:tabs>
          <w:tab w:val="num" w:pos="3600"/>
        </w:tabs>
        <w:ind w:left="3600" w:hanging="360"/>
      </w:pPr>
      <w:rPr>
        <w:rFonts w:ascii="Symbol" w:hAnsi="Symbol" w:hint="default"/>
      </w:rPr>
    </w:lvl>
    <w:lvl w:ilvl="5" w:tplc="DA266A84" w:tentative="1">
      <w:start w:val="1"/>
      <w:numFmt w:val="bullet"/>
      <w:lvlText w:val=""/>
      <w:lvlJc w:val="left"/>
      <w:pPr>
        <w:tabs>
          <w:tab w:val="num" w:pos="4320"/>
        </w:tabs>
        <w:ind w:left="4320" w:hanging="360"/>
      </w:pPr>
      <w:rPr>
        <w:rFonts w:ascii="Symbol" w:hAnsi="Symbol" w:hint="default"/>
      </w:rPr>
    </w:lvl>
    <w:lvl w:ilvl="6" w:tplc="ABC09290" w:tentative="1">
      <w:start w:val="1"/>
      <w:numFmt w:val="bullet"/>
      <w:lvlText w:val=""/>
      <w:lvlJc w:val="left"/>
      <w:pPr>
        <w:tabs>
          <w:tab w:val="num" w:pos="5040"/>
        </w:tabs>
        <w:ind w:left="5040" w:hanging="360"/>
      </w:pPr>
      <w:rPr>
        <w:rFonts w:ascii="Symbol" w:hAnsi="Symbol" w:hint="default"/>
      </w:rPr>
    </w:lvl>
    <w:lvl w:ilvl="7" w:tplc="086EDE72" w:tentative="1">
      <w:start w:val="1"/>
      <w:numFmt w:val="bullet"/>
      <w:lvlText w:val=""/>
      <w:lvlJc w:val="left"/>
      <w:pPr>
        <w:tabs>
          <w:tab w:val="num" w:pos="5760"/>
        </w:tabs>
        <w:ind w:left="5760" w:hanging="360"/>
      </w:pPr>
      <w:rPr>
        <w:rFonts w:ascii="Symbol" w:hAnsi="Symbol" w:hint="default"/>
      </w:rPr>
    </w:lvl>
    <w:lvl w:ilvl="8" w:tplc="5CBC299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92"/>
    <w:rsid w:val="002E3D92"/>
    <w:rsid w:val="00316080"/>
    <w:rsid w:val="003B27BA"/>
    <w:rsid w:val="003F51CA"/>
    <w:rsid w:val="00423622"/>
    <w:rsid w:val="00607AE8"/>
    <w:rsid w:val="007E573E"/>
    <w:rsid w:val="0090512B"/>
    <w:rsid w:val="00B11C31"/>
    <w:rsid w:val="00DA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7D4"/>
  <w15:chartTrackingRefBased/>
  <w15:docId w15:val="{F901FE1E-FAD1-435B-8EC8-5752A63A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7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7AE8"/>
    <w:pPr>
      <w:spacing w:after="0" w:line="276" w:lineRule="auto"/>
      <w:ind w:left="720"/>
      <w:contextualSpacing/>
    </w:pPr>
    <w:rPr>
      <w:rFonts w:ascii="Times New Roman" w:eastAsia="Times New Roman" w:hAnsi="Times New Roman"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C9D950-D926-458C-9119-D915C6881EF2}"/>
</file>

<file path=customXml/itemProps2.xml><?xml version="1.0" encoding="utf-8"?>
<ds:datastoreItem xmlns:ds="http://schemas.openxmlformats.org/officeDocument/2006/customXml" ds:itemID="{2CF9D087-3ECD-4EE4-9FC2-B7123E0BB907}"/>
</file>

<file path=customXml/itemProps3.xml><?xml version="1.0" encoding="utf-8"?>
<ds:datastoreItem xmlns:ds="http://schemas.openxmlformats.org/officeDocument/2006/customXml" ds:itemID="{B31DDB6E-FF1F-461E-86BC-54F22585BDD9}"/>
</file>

<file path=docProps/app.xml><?xml version="1.0" encoding="utf-8"?>
<Properties xmlns="http://schemas.openxmlformats.org/officeDocument/2006/extended-properties" xmlns:vt="http://schemas.openxmlformats.org/officeDocument/2006/docPropsVTypes">
  <Template>Normal.dotm</Template>
  <TotalTime>186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Thorns</dc:creator>
  <cp:keywords/>
  <dc:description/>
  <cp:lastModifiedBy>Matthias Thorns</cp:lastModifiedBy>
  <cp:revision>7</cp:revision>
  <dcterms:created xsi:type="dcterms:W3CDTF">2020-10-28T10:50:00Z</dcterms:created>
  <dcterms:modified xsi:type="dcterms:W3CDTF">2020-10-29T10:02:00Z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