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59A1A" w14:textId="77777777" w:rsidR="006B5BC6" w:rsidRDefault="006B5BC6" w:rsidP="006B5BC6">
      <w:pPr>
        <w:jc w:val="center"/>
        <w:rPr>
          <w:lang w:val="en-US"/>
        </w:rPr>
      </w:pPr>
      <w:r>
        <w:rPr>
          <w:rFonts w:ascii="Verdana" w:hAnsi="Verdana"/>
          <w:noProof/>
          <w:sz w:val="20"/>
          <w:szCs w:val="20"/>
          <w:lang w:val="en-GB"/>
        </w:rPr>
        <w:drawing>
          <wp:inline distT="0" distB="0" distL="0" distR="0" wp14:anchorId="7B24E316" wp14:editId="5128AE37">
            <wp:extent cx="2094865" cy="8636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4865" cy="863600"/>
                    </a:xfrm>
                    <a:prstGeom prst="rect">
                      <a:avLst/>
                    </a:prstGeom>
                    <a:noFill/>
                  </pic:spPr>
                </pic:pic>
              </a:graphicData>
            </a:graphic>
          </wp:inline>
        </w:drawing>
      </w:r>
    </w:p>
    <w:p w14:paraId="1EA5B435" w14:textId="77777777" w:rsidR="006B5BC6" w:rsidRDefault="006B5BC6" w:rsidP="006B5BC6">
      <w:pPr>
        <w:rPr>
          <w:lang w:val="en-US"/>
        </w:rPr>
      </w:pPr>
    </w:p>
    <w:p w14:paraId="55FF2A26" w14:textId="77777777" w:rsidR="006B5BC6" w:rsidRPr="00645ED6" w:rsidRDefault="006B5BC6" w:rsidP="006B5BC6">
      <w:pPr>
        <w:jc w:val="center"/>
        <w:rPr>
          <w:b/>
          <w:bCs/>
          <w:lang w:val="en-US"/>
        </w:rPr>
      </w:pPr>
      <w:r w:rsidRPr="00645ED6">
        <w:rPr>
          <w:b/>
          <w:bCs/>
          <w:lang w:val="en-US"/>
        </w:rPr>
        <w:t>OEWG ON A LEGALLY BINDING INSTRUMENT ON TNCs AND OBE AND HUMAN RIGHTS</w:t>
      </w:r>
    </w:p>
    <w:p w14:paraId="3900C5ED" w14:textId="77777777" w:rsidR="006B5BC6" w:rsidRDefault="006B5BC6" w:rsidP="006B5BC6">
      <w:pPr>
        <w:jc w:val="center"/>
        <w:rPr>
          <w:lang w:val="en-US"/>
        </w:rPr>
      </w:pPr>
      <w:r w:rsidRPr="00645ED6">
        <w:rPr>
          <w:b/>
          <w:bCs/>
          <w:lang w:val="en-US"/>
        </w:rPr>
        <w:t>6</w:t>
      </w:r>
      <w:r w:rsidRPr="00645ED6">
        <w:rPr>
          <w:b/>
          <w:bCs/>
          <w:vertAlign w:val="superscript"/>
          <w:lang w:val="en-US"/>
        </w:rPr>
        <w:t>TH</w:t>
      </w:r>
      <w:r w:rsidRPr="00645ED6">
        <w:rPr>
          <w:b/>
          <w:bCs/>
          <w:lang w:val="en-US"/>
        </w:rPr>
        <w:t xml:space="preserve"> SESSION, 2020</w:t>
      </w:r>
    </w:p>
    <w:p w14:paraId="6DB5F1EE" w14:textId="5D668D5F" w:rsidR="006B5BC6" w:rsidRPr="002272B2" w:rsidRDefault="006B5BC6" w:rsidP="006B5BC6">
      <w:pPr>
        <w:jc w:val="center"/>
        <w:rPr>
          <w:b/>
          <w:bCs/>
          <w:lang w:val="en-US"/>
        </w:rPr>
      </w:pPr>
      <w:r w:rsidRPr="002272B2">
        <w:rPr>
          <w:b/>
          <w:bCs/>
          <w:lang w:val="en-US"/>
        </w:rPr>
        <w:t xml:space="preserve">ICJ Oral intervention on Article </w:t>
      </w:r>
      <w:r w:rsidR="00C60346" w:rsidRPr="002272B2">
        <w:rPr>
          <w:b/>
          <w:bCs/>
          <w:lang w:val="en-US"/>
        </w:rPr>
        <w:t>12, 13 and 14</w:t>
      </w:r>
    </w:p>
    <w:p w14:paraId="780F39AF" w14:textId="3A99016D" w:rsidR="006B5BC6" w:rsidRDefault="006B5BC6" w:rsidP="006B5BC6">
      <w:pPr>
        <w:jc w:val="center"/>
        <w:rPr>
          <w:lang w:val="en-US"/>
        </w:rPr>
      </w:pPr>
      <w:r>
        <w:rPr>
          <w:lang w:val="en-US"/>
        </w:rPr>
        <w:t>2</w:t>
      </w:r>
      <w:r w:rsidR="00C60346">
        <w:rPr>
          <w:lang w:val="en-US"/>
        </w:rPr>
        <w:t>9</w:t>
      </w:r>
      <w:r>
        <w:rPr>
          <w:lang w:val="en-US"/>
        </w:rPr>
        <w:t xml:space="preserve"> </w:t>
      </w:r>
      <w:proofErr w:type="gramStart"/>
      <w:r>
        <w:rPr>
          <w:lang w:val="en-US"/>
        </w:rPr>
        <w:t>October,</w:t>
      </w:r>
      <w:proofErr w:type="gramEnd"/>
      <w:r>
        <w:rPr>
          <w:lang w:val="en-US"/>
        </w:rPr>
        <w:t xml:space="preserve"> 2020</w:t>
      </w:r>
    </w:p>
    <w:p w14:paraId="475C2148" w14:textId="77777777" w:rsidR="006B5BC6" w:rsidRDefault="006B5BC6" w:rsidP="0010055F">
      <w:pPr>
        <w:rPr>
          <w:rStyle w:val="A1"/>
          <w:rFonts w:cstheme="minorHAnsi"/>
          <w:lang w:val="en-GB"/>
        </w:rPr>
      </w:pPr>
    </w:p>
    <w:p w14:paraId="2EAFAD8F" w14:textId="127F44FB" w:rsidR="0010055F" w:rsidRDefault="0010055F" w:rsidP="0010055F">
      <w:pPr>
        <w:rPr>
          <w:rStyle w:val="A1"/>
          <w:rFonts w:cstheme="minorHAnsi"/>
          <w:lang w:val="en-GB"/>
        </w:rPr>
      </w:pPr>
      <w:r>
        <w:rPr>
          <w:rStyle w:val="A1"/>
          <w:rFonts w:cstheme="minorHAnsi"/>
          <w:lang w:val="en-GB"/>
        </w:rPr>
        <w:t>Mr Chairperson-Rapporteur,</w:t>
      </w:r>
    </w:p>
    <w:p w14:paraId="6CBB7750" w14:textId="674FF1A1" w:rsidR="00C60346" w:rsidRPr="00C60346" w:rsidRDefault="00C60346" w:rsidP="00C60346">
      <w:pPr>
        <w:rPr>
          <w:rFonts w:cstheme="minorHAnsi"/>
          <w:color w:val="000000"/>
          <w:lang w:val="en-GB"/>
        </w:rPr>
      </w:pPr>
      <w:r w:rsidRPr="00C60346">
        <w:rPr>
          <w:rFonts w:cstheme="minorHAnsi"/>
          <w:color w:val="000000"/>
          <w:lang w:val="en-GB"/>
        </w:rPr>
        <w:t xml:space="preserve">Article 12 </w:t>
      </w:r>
      <w:r>
        <w:rPr>
          <w:rFonts w:cstheme="minorHAnsi"/>
          <w:color w:val="000000"/>
          <w:lang w:val="en-GB"/>
        </w:rPr>
        <w:t xml:space="preserve">on </w:t>
      </w:r>
      <w:r w:rsidRPr="00C60346">
        <w:rPr>
          <w:rFonts w:cstheme="minorHAnsi"/>
          <w:color w:val="000000"/>
          <w:lang w:val="en-GB"/>
        </w:rPr>
        <w:t xml:space="preserve">mutual legal assistance is still largely focused on criminal investigations and proceedings </w:t>
      </w:r>
      <w:r>
        <w:rPr>
          <w:rFonts w:cstheme="minorHAnsi"/>
          <w:color w:val="000000"/>
          <w:lang w:val="en-GB"/>
        </w:rPr>
        <w:t xml:space="preserve">which </w:t>
      </w:r>
      <w:r w:rsidRPr="00C60346">
        <w:rPr>
          <w:rFonts w:cstheme="minorHAnsi"/>
          <w:color w:val="000000"/>
          <w:lang w:val="en-GB"/>
        </w:rPr>
        <w:t>resembl</w:t>
      </w:r>
      <w:r>
        <w:rPr>
          <w:rFonts w:cstheme="minorHAnsi"/>
          <w:color w:val="000000"/>
          <w:lang w:val="en-GB"/>
        </w:rPr>
        <w:t>e</w:t>
      </w:r>
      <w:r w:rsidRPr="00C60346">
        <w:rPr>
          <w:rFonts w:cstheme="minorHAnsi"/>
          <w:color w:val="000000"/>
          <w:lang w:val="en-GB"/>
        </w:rPr>
        <w:t xml:space="preserve"> those </w:t>
      </w:r>
      <w:r w:rsidR="002C589D">
        <w:rPr>
          <w:rFonts w:cstheme="minorHAnsi"/>
          <w:color w:val="000000"/>
          <w:lang w:val="en-GB"/>
        </w:rPr>
        <w:t xml:space="preserve">adopted in </w:t>
      </w:r>
      <w:r w:rsidRPr="00C60346">
        <w:rPr>
          <w:rFonts w:cstheme="minorHAnsi"/>
          <w:color w:val="000000"/>
          <w:lang w:val="en-GB"/>
        </w:rPr>
        <w:t>such treaties as the convention on transnational organized crime or against corruption. However, the Second Revised draft</w:t>
      </w:r>
      <w:r w:rsidR="00A22033">
        <w:rPr>
          <w:rFonts w:cstheme="minorHAnsi"/>
          <w:color w:val="000000"/>
          <w:lang w:val="en-GB"/>
        </w:rPr>
        <w:t>, like</w:t>
      </w:r>
      <w:r w:rsidRPr="00C60346">
        <w:rPr>
          <w:rFonts w:cstheme="minorHAnsi"/>
          <w:color w:val="000000"/>
          <w:lang w:val="en-GB"/>
        </w:rPr>
        <w:t xml:space="preserve"> the first Revised draft </w:t>
      </w:r>
      <w:r w:rsidR="00A22033">
        <w:rPr>
          <w:rFonts w:cstheme="minorHAnsi"/>
          <w:color w:val="000000"/>
          <w:lang w:val="en-GB"/>
        </w:rPr>
        <w:t>mainta</w:t>
      </w:r>
      <w:r w:rsidR="00AD6830">
        <w:rPr>
          <w:rFonts w:cstheme="minorHAnsi"/>
          <w:color w:val="000000"/>
          <w:lang w:val="en-GB"/>
        </w:rPr>
        <w:t>i</w:t>
      </w:r>
      <w:r w:rsidR="00A22033">
        <w:rPr>
          <w:rFonts w:cstheme="minorHAnsi"/>
          <w:color w:val="000000"/>
          <w:lang w:val="en-GB"/>
        </w:rPr>
        <w:t xml:space="preserve">ns </w:t>
      </w:r>
      <w:r w:rsidRPr="00C60346">
        <w:rPr>
          <w:rFonts w:cstheme="minorHAnsi"/>
          <w:color w:val="000000"/>
          <w:lang w:val="en-GB"/>
        </w:rPr>
        <w:t xml:space="preserve">a strong focus on civil liability, with a too greatly reduced role for criminal liability for business enterprises. To improve the internal consistency of the proposed treaty, it would be </w:t>
      </w:r>
      <w:r w:rsidR="00A22033">
        <w:rPr>
          <w:rFonts w:cstheme="minorHAnsi"/>
          <w:color w:val="000000"/>
          <w:lang w:val="en-GB"/>
        </w:rPr>
        <w:t xml:space="preserve">important </w:t>
      </w:r>
      <w:r w:rsidRPr="00C60346">
        <w:rPr>
          <w:rFonts w:cstheme="minorHAnsi"/>
          <w:color w:val="000000"/>
          <w:lang w:val="en-GB"/>
        </w:rPr>
        <w:t>to amend and adapt the provisions on mutual legal assistance also to civil cases.</w:t>
      </w:r>
    </w:p>
    <w:p w14:paraId="347A206B" w14:textId="5A07E9D7" w:rsidR="00C60346" w:rsidRPr="00C60346" w:rsidRDefault="00C60346" w:rsidP="00C60346">
      <w:pPr>
        <w:rPr>
          <w:rFonts w:cstheme="minorHAnsi"/>
          <w:color w:val="000000"/>
          <w:lang w:val="en-GB"/>
        </w:rPr>
      </w:pPr>
      <w:r w:rsidRPr="00C60346">
        <w:rPr>
          <w:rFonts w:cstheme="minorHAnsi"/>
          <w:color w:val="000000"/>
          <w:lang w:val="en-GB"/>
        </w:rPr>
        <w:t xml:space="preserve">In Article 14(5) (b), it would be better to clarify that the impact assessments to be carried out to ensure the compatibility of other agreements with the </w:t>
      </w:r>
      <w:r w:rsidR="002C589D">
        <w:rPr>
          <w:rFonts w:cstheme="minorHAnsi"/>
          <w:color w:val="000000"/>
          <w:lang w:val="en-GB"/>
        </w:rPr>
        <w:t>present legally binding instrument</w:t>
      </w:r>
      <w:r w:rsidRPr="00C60346">
        <w:rPr>
          <w:rFonts w:cstheme="minorHAnsi"/>
          <w:color w:val="000000"/>
          <w:lang w:val="en-GB"/>
        </w:rPr>
        <w:t xml:space="preserve">, </w:t>
      </w:r>
      <w:r w:rsidRPr="00C60346">
        <w:rPr>
          <w:rFonts w:cstheme="minorHAnsi"/>
          <w:b/>
          <w:bCs/>
          <w:i/>
          <w:iCs/>
          <w:color w:val="000000"/>
          <w:lang w:val="en-GB"/>
        </w:rPr>
        <w:t>“should be conducted prior to concluding such agreements and whenever necessary during the time the agreement is in force. Such assessments should evaluate and address any foreseeable effects of such agreements on the enjoyment of human rights and be undertaken through full and public consultation with all stakeholders.”</w:t>
      </w:r>
    </w:p>
    <w:p w14:paraId="44E1E231" w14:textId="4B5B6F05" w:rsidR="008354CD" w:rsidRDefault="00C60346" w:rsidP="00C60346">
      <w:pPr>
        <w:rPr>
          <w:rFonts w:cstheme="minorHAnsi"/>
          <w:color w:val="000000"/>
          <w:lang w:val="en-GB"/>
        </w:rPr>
      </w:pPr>
      <w:r w:rsidRPr="00C60346">
        <w:rPr>
          <w:rFonts w:cstheme="minorHAnsi"/>
          <w:color w:val="000000"/>
          <w:lang w:val="en-GB"/>
        </w:rPr>
        <w:t>The OEWG should seriously consider the option of including a new sub-paragraph under art. 14 (5) (c) regarding the obligation of States to integrate binding and enforceable human rights, environment and labour clauses in their trade and investment agreements. Moreover, art. 14(5) should require the inclusion of investors’ human rights obligations in trade and investment agreements.</w:t>
      </w:r>
      <w:r w:rsidR="00E00C8D" w:rsidRPr="00E00C8D">
        <w:rPr>
          <w:rFonts w:cstheme="minorHAnsi"/>
          <w:color w:val="000000"/>
          <w:lang w:val="en-GB"/>
        </w:rPr>
        <w:t xml:space="preserve"> </w:t>
      </w:r>
    </w:p>
    <w:p w14:paraId="0A70A6A8" w14:textId="77777777" w:rsidR="002C589D" w:rsidRPr="00E00C8D" w:rsidRDefault="002C589D" w:rsidP="00C60346">
      <w:pPr>
        <w:rPr>
          <w:rFonts w:cstheme="minorHAnsi"/>
          <w:color w:val="000000"/>
          <w:lang w:val="en-GB"/>
        </w:rPr>
      </w:pPr>
    </w:p>
    <w:sectPr w:rsidR="002C589D" w:rsidRPr="00E00C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FB398" w14:textId="77777777" w:rsidR="008C4D70" w:rsidRDefault="008C4D70" w:rsidP="00E00C8D">
      <w:pPr>
        <w:spacing w:after="0" w:line="240" w:lineRule="auto"/>
      </w:pPr>
      <w:r>
        <w:separator/>
      </w:r>
    </w:p>
  </w:endnote>
  <w:endnote w:type="continuationSeparator" w:id="0">
    <w:p w14:paraId="4A60B999" w14:textId="77777777" w:rsidR="008C4D70" w:rsidRDefault="008C4D70" w:rsidP="00E00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DA260" w14:textId="77777777" w:rsidR="008C4D70" w:rsidRDefault="008C4D70" w:rsidP="00E00C8D">
      <w:pPr>
        <w:spacing w:after="0" w:line="240" w:lineRule="auto"/>
      </w:pPr>
      <w:r>
        <w:separator/>
      </w:r>
    </w:p>
  </w:footnote>
  <w:footnote w:type="continuationSeparator" w:id="0">
    <w:p w14:paraId="29E35903" w14:textId="77777777" w:rsidR="008C4D70" w:rsidRDefault="008C4D70" w:rsidP="00E00C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55F"/>
    <w:rsid w:val="0010055F"/>
    <w:rsid w:val="002272B2"/>
    <w:rsid w:val="002C589D"/>
    <w:rsid w:val="004120A3"/>
    <w:rsid w:val="006B5BC6"/>
    <w:rsid w:val="006D134D"/>
    <w:rsid w:val="007267A9"/>
    <w:rsid w:val="007671CD"/>
    <w:rsid w:val="008354CD"/>
    <w:rsid w:val="008C4D70"/>
    <w:rsid w:val="0098479A"/>
    <w:rsid w:val="00A22033"/>
    <w:rsid w:val="00AA63F0"/>
    <w:rsid w:val="00AD6830"/>
    <w:rsid w:val="00C60346"/>
    <w:rsid w:val="00C6553C"/>
    <w:rsid w:val="00E00C8D"/>
    <w:rsid w:val="00E17470"/>
    <w:rsid w:val="00F2599C"/>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82D19"/>
  <w15:chartTrackingRefBased/>
  <w15:docId w15:val="{1D855174-5C98-44A3-ADF1-9B3B3823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uiPriority w:val="99"/>
    <w:rsid w:val="0010055F"/>
    <w:rPr>
      <w:rFonts w:cs="Proxima Nova"/>
      <w:color w:val="000000"/>
      <w:sz w:val="22"/>
      <w:szCs w:val="22"/>
    </w:rPr>
  </w:style>
  <w:style w:type="character" w:styleId="CommentReference">
    <w:name w:val="annotation reference"/>
    <w:basedOn w:val="DefaultParagraphFont"/>
    <w:uiPriority w:val="99"/>
    <w:semiHidden/>
    <w:unhideWhenUsed/>
    <w:rsid w:val="0010055F"/>
    <w:rPr>
      <w:sz w:val="16"/>
      <w:szCs w:val="16"/>
    </w:rPr>
  </w:style>
  <w:style w:type="paragraph" w:styleId="CommentText">
    <w:name w:val="annotation text"/>
    <w:basedOn w:val="Normal"/>
    <w:link w:val="CommentTextChar"/>
    <w:uiPriority w:val="99"/>
    <w:semiHidden/>
    <w:unhideWhenUsed/>
    <w:rsid w:val="0010055F"/>
    <w:pPr>
      <w:spacing w:line="240" w:lineRule="auto"/>
    </w:pPr>
    <w:rPr>
      <w:sz w:val="20"/>
      <w:szCs w:val="20"/>
    </w:rPr>
  </w:style>
  <w:style w:type="character" w:customStyle="1" w:styleId="CommentTextChar">
    <w:name w:val="Comment Text Char"/>
    <w:basedOn w:val="DefaultParagraphFont"/>
    <w:link w:val="CommentText"/>
    <w:uiPriority w:val="99"/>
    <w:semiHidden/>
    <w:rsid w:val="0010055F"/>
    <w:rPr>
      <w:sz w:val="20"/>
      <w:szCs w:val="20"/>
    </w:rPr>
  </w:style>
  <w:style w:type="paragraph" w:styleId="BalloonText">
    <w:name w:val="Balloon Text"/>
    <w:basedOn w:val="Normal"/>
    <w:link w:val="BalloonTextChar"/>
    <w:uiPriority w:val="99"/>
    <w:semiHidden/>
    <w:unhideWhenUsed/>
    <w:rsid w:val="00100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55F"/>
    <w:rPr>
      <w:rFonts w:ascii="Segoe UI" w:hAnsi="Segoe UI" w:cs="Segoe UI"/>
      <w:sz w:val="18"/>
      <w:szCs w:val="18"/>
    </w:rPr>
  </w:style>
  <w:style w:type="paragraph" w:styleId="FootnoteText">
    <w:name w:val="footnote text"/>
    <w:basedOn w:val="Normal"/>
    <w:link w:val="FootnoteTextChar"/>
    <w:uiPriority w:val="99"/>
    <w:semiHidden/>
    <w:unhideWhenUsed/>
    <w:rsid w:val="00E00C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0C8D"/>
    <w:rPr>
      <w:sz w:val="20"/>
      <w:szCs w:val="20"/>
    </w:rPr>
  </w:style>
  <w:style w:type="character" w:styleId="FootnoteReference">
    <w:name w:val="footnote reference"/>
    <w:basedOn w:val="DefaultParagraphFont"/>
    <w:uiPriority w:val="99"/>
    <w:semiHidden/>
    <w:unhideWhenUsed/>
    <w:rsid w:val="00E00C8D"/>
    <w:rPr>
      <w:vertAlign w:val="superscript"/>
    </w:rPr>
  </w:style>
  <w:style w:type="character" w:styleId="Hyperlink">
    <w:name w:val="Hyperlink"/>
    <w:basedOn w:val="DefaultParagraphFont"/>
    <w:uiPriority w:val="99"/>
    <w:unhideWhenUsed/>
    <w:rsid w:val="00E00C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740F2E-9F20-47A3-9042-582D0BED4D51}"/>
</file>

<file path=customXml/itemProps2.xml><?xml version="1.0" encoding="utf-8"?>
<ds:datastoreItem xmlns:ds="http://schemas.openxmlformats.org/officeDocument/2006/customXml" ds:itemID="{39B55599-C1FD-497D-AFC4-F70850667122}"/>
</file>

<file path=customXml/itemProps3.xml><?xml version="1.0" encoding="utf-8"?>
<ds:datastoreItem xmlns:ds="http://schemas.openxmlformats.org/officeDocument/2006/customXml" ds:itemID="{F62898B6-EF69-4F5C-BC9E-5A30F847F7B1}"/>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Lopez</dc:creator>
  <cp:keywords/>
  <dc:description/>
  <cp:lastModifiedBy>Carlos Lopez</cp:lastModifiedBy>
  <cp:revision>2</cp:revision>
  <dcterms:created xsi:type="dcterms:W3CDTF">2020-10-28T08:33:00Z</dcterms:created>
  <dcterms:modified xsi:type="dcterms:W3CDTF">2020-10-28T08:33:00Z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