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9" w:rsidRPr="00727F79" w:rsidRDefault="00727F79" w:rsidP="00727F79">
      <w:pPr>
        <w:jc w:val="center"/>
        <w:rPr>
          <w:rFonts w:ascii="Fian text" w:hAnsi="Fian text"/>
          <w:b/>
          <w:color w:val="00B050"/>
          <w:sz w:val="28"/>
          <w:lang w:val="es-CO"/>
        </w:rPr>
      </w:pPr>
      <w:r w:rsidRPr="00727F79">
        <w:rPr>
          <w:rFonts w:ascii="Fian text" w:hAnsi="Fian text"/>
          <w:b/>
          <w:color w:val="00B050"/>
          <w:sz w:val="28"/>
          <w:lang w:val="es-CO"/>
        </w:rPr>
        <w:t>Declaración oral de FIAN Internacional al Segundo Borrador de Instrumento Jurídicamente Vinculante sobre Empresas Transnacionales y Otras Empresas con Respecto a los Derechos Humanos – Artículo 14, 29 de octubre de 2020.</w:t>
      </w:r>
    </w:p>
    <w:p w:rsidR="00727F79" w:rsidRPr="00727F79" w:rsidRDefault="00727F79">
      <w:pPr>
        <w:rPr>
          <w:sz w:val="28"/>
          <w:lang w:val="es-CO"/>
        </w:rPr>
      </w:pPr>
    </w:p>
    <w:p w:rsidR="001C7AD5" w:rsidRPr="00727F79" w:rsidRDefault="00635CFE" w:rsidP="00727F7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>Gracias Senior Presidente:</w:t>
      </w:r>
    </w:p>
    <w:p w:rsidR="00635CFE" w:rsidRPr="00727F79" w:rsidRDefault="00635CFE" w:rsidP="00727F7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>Quisiera comenta</w:t>
      </w:r>
      <w:r w:rsidR="00727F79">
        <w:rPr>
          <w:rFonts w:ascii="Fian text" w:hAnsi="Fian text"/>
          <w:sz w:val="24"/>
          <w:lang w:val="es-CO"/>
        </w:rPr>
        <w:t>r</w:t>
      </w:r>
      <w:r w:rsidRPr="00727F79">
        <w:rPr>
          <w:rFonts w:ascii="Fian text" w:hAnsi="Fian text"/>
          <w:sz w:val="24"/>
          <w:lang w:val="es-CO"/>
        </w:rPr>
        <w:t xml:space="preserve"> sobre la pregunta de </w:t>
      </w:r>
      <w:r w:rsidR="00727F79">
        <w:rPr>
          <w:rFonts w:ascii="Fian text" w:hAnsi="Fian text"/>
          <w:sz w:val="24"/>
          <w:lang w:val="es-CO"/>
        </w:rPr>
        <w:t>algunos estados en cuanto a la razón</w:t>
      </w:r>
      <w:r w:rsidRPr="00727F79">
        <w:rPr>
          <w:rFonts w:ascii="Fian text" w:hAnsi="Fian text"/>
          <w:sz w:val="24"/>
          <w:lang w:val="es-CO"/>
        </w:rPr>
        <w:t xml:space="preserve"> y al fundamento jurídico de incluir un artículo que establezca la compatibilidad entre los tratados de comercio e inversión y el instrumento jurídicamente vinculante</w:t>
      </w:r>
      <w:r w:rsidR="00727F79">
        <w:rPr>
          <w:rFonts w:ascii="Fian text" w:hAnsi="Fian text"/>
          <w:sz w:val="24"/>
          <w:lang w:val="es-CO"/>
        </w:rPr>
        <w:t>, artículo 14.5</w:t>
      </w:r>
      <w:r w:rsidRPr="00727F79">
        <w:rPr>
          <w:rFonts w:ascii="Fian text" w:hAnsi="Fian text"/>
          <w:sz w:val="24"/>
          <w:lang w:val="es-CO"/>
        </w:rPr>
        <w:t>.</w:t>
      </w:r>
    </w:p>
    <w:p w:rsidR="00635CFE" w:rsidRPr="00727F79" w:rsidRDefault="00635CFE" w:rsidP="00727F7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 xml:space="preserve">En efecto, a lo largo de los </w:t>
      </w:r>
      <w:r w:rsidR="00727F79" w:rsidRPr="00727F79">
        <w:rPr>
          <w:rFonts w:ascii="Fian text" w:hAnsi="Fian text"/>
          <w:sz w:val="24"/>
          <w:lang w:val="es-CO"/>
        </w:rPr>
        <w:t>más</w:t>
      </w:r>
      <w:r w:rsidRPr="00727F79">
        <w:rPr>
          <w:rFonts w:ascii="Fian text" w:hAnsi="Fian text"/>
          <w:sz w:val="24"/>
          <w:lang w:val="es-CO"/>
        </w:rPr>
        <w:t xml:space="preserve"> de 30 años de trabajo de nuestra institución en la defensa del derecho a la alimentación, hemos constatado como los acuerdos de comercio e inversión generan un ambiente que favorece el menoscabo o la anulación del disfrute de los derechos humanos por parte de las empresas transnacionales y otras empresas, incluyendo a lo largo de las cadenas de valor.</w:t>
      </w:r>
      <w:r w:rsidRPr="00727F79">
        <w:rPr>
          <w:rFonts w:ascii="Fian text" w:hAnsi="Fian text"/>
          <w:sz w:val="24"/>
          <w:lang w:val="es-CO"/>
        </w:rPr>
        <w:t xml:space="preserve"> </w:t>
      </w:r>
      <w:r w:rsidR="009018A9">
        <w:rPr>
          <w:rFonts w:ascii="Fian text" w:hAnsi="Fian text"/>
          <w:sz w:val="24"/>
          <w:lang w:val="es-CO"/>
        </w:rPr>
        <w:t>D</w:t>
      </w:r>
      <w:r w:rsidR="00727F79">
        <w:rPr>
          <w:rFonts w:ascii="Fian text" w:hAnsi="Fian text"/>
          <w:sz w:val="24"/>
          <w:lang w:val="es-CO"/>
        </w:rPr>
        <w:t xml:space="preserve">ichos acuerdos </w:t>
      </w:r>
      <w:r w:rsidRPr="00727F79">
        <w:rPr>
          <w:rFonts w:ascii="Fian text" w:hAnsi="Fian text"/>
          <w:sz w:val="24"/>
          <w:lang w:val="es-CO"/>
        </w:rPr>
        <w:t xml:space="preserve">han justificado que los mecanismos </w:t>
      </w:r>
      <w:r w:rsidRPr="00727F79">
        <w:rPr>
          <w:rFonts w:ascii="Fian text" w:hAnsi="Fian text"/>
          <w:sz w:val="24"/>
          <w:lang w:val="es-CO"/>
        </w:rPr>
        <w:t xml:space="preserve">internacionales </w:t>
      </w:r>
      <w:r w:rsidRPr="00727F79">
        <w:rPr>
          <w:rFonts w:ascii="Fian text" w:hAnsi="Fian text"/>
          <w:sz w:val="24"/>
          <w:lang w:val="es-CO"/>
        </w:rPr>
        <w:t xml:space="preserve">de solución de disputas sean </w:t>
      </w:r>
      <w:r w:rsidRPr="00727F79">
        <w:rPr>
          <w:rFonts w:ascii="Fian text" w:hAnsi="Fian text"/>
          <w:sz w:val="24"/>
          <w:lang w:val="es-CO"/>
        </w:rPr>
        <w:t>utilizados</w:t>
      </w:r>
      <w:r w:rsidRPr="00727F79">
        <w:rPr>
          <w:rFonts w:ascii="Fian text" w:hAnsi="Fian text"/>
          <w:sz w:val="24"/>
          <w:lang w:val="es-CO"/>
        </w:rPr>
        <w:t xml:space="preserve"> para</w:t>
      </w:r>
      <w:r w:rsidR="00727F79">
        <w:rPr>
          <w:rFonts w:ascii="Fian text" w:hAnsi="Fian text"/>
          <w:sz w:val="24"/>
          <w:lang w:val="es-CO"/>
        </w:rPr>
        <w:t xml:space="preserve"> atacar las medidas adoptadas por los estados para proteger o garantizar los derechos humanos, en cumplimiento de sus obligaciones internacionales, como por ejemplo</w:t>
      </w:r>
      <w:r w:rsidR="009018A9">
        <w:rPr>
          <w:rFonts w:ascii="Fian text" w:hAnsi="Fian text"/>
          <w:sz w:val="24"/>
          <w:lang w:val="es-CO"/>
        </w:rPr>
        <w:t xml:space="preserve"> cuando establecen</w:t>
      </w:r>
      <w:r w:rsidR="00727F79">
        <w:rPr>
          <w:rFonts w:ascii="Fian text" w:hAnsi="Fian text"/>
          <w:sz w:val="24"/>
          <w:lang w:val="es-CO"/>
        </w:rPr>
        <w:t xml:space="preserve"> mecanismos de control de precios o </w:t>
      </w:r>
      <w:r w:rsidR="009018A9">
        <w:rPr>
          <w:rFonts w:ascii="Fian text" w:hAnsi="Fian text"/>
          <w:sz w:val="24"/>
          <w:lang w:val="es-CO"/>
        </w:rPr>
        <w:t>adoptan medidas para proteger</w:t>
      </w:r>
      <w:r w:rsidR="00727F79">
        <w:rPr>
          <w:rFonts w:ascii="Fian text" w:hAnsi="Fian text"/>
          <w:sz w:val="24"/>
          <w:lang w:val="es-CO"/>
        </w:rPr>
        <w:t xml:space="preserve"> a las comunidades marginadas en casos de privatización de servicios públicos. Tales acuerdos también han servido como base para</w:t>
      </w:r>
      <w:r w:rsidRPr="00727F79">
        <w:rPr>
          <w:rFonts w:ascii="Fian text" w:hAnsi="Fian text"/>
          <w:sz w:val="24"/>
          <w:lang w:val="es-CO"/>
        </w:rPr>
        <w:t xml:space="preserve"> demandar a los estados por sumas de cuantías </w:t>
      </w:r>
      <w:r w:rsidRPr="00727F79">
        <w:rPr>
          <w:rFonts w:ascii="Fian text" w:hAnsi="Fian text"/>
          <w:sz w:val="24"/>
          <w:lang w:val="es-CO"/>
        </w:rPr>
        <w:t>exorbitante</w:t>
      </w:r>
      <w:r w:rsidR="009018A9">
        <w:rPr>
          <w:rFonts w:ascii="Fian text" w:hAnsi="Fian text"/>
          <w:sz w:val="24"/>
          <w:lang w:val="es-CO"/>
        </w:rPr>
        <w:t>s</w:t>
      </w:r>
      <w:r w:rsidRPr="00727F79">
        <w:rPr>
          <w:rFonts w:ascii="Fian text" w:hAnsi="Fian text"/>
          <w:sz w:val="24"/>
          <w:lang w:val="es-CO"/>
        </w:rPr>
        <w:t>,</w:t>
      </w:r>
      <w:r w:rsidRPr="00727F79">
        <w:rPr>
          <w:rFonts w:ascii="Fian text" w:hAnsi="Fian text"/>
          <w:sz w:val="24"/>
          <w:lang w:val="es-CO"/>
        </w:rPr>
        <w:t xml:space="preserve"> que afectan negativamente</w:t>
      </w:r>
      <w:r w:rsidRPr="00727F79">
        <w:rPr>
          <w:rFonts w:ascii="Fian text" w:hAnsi="Fian text"/>
          <w:sz w:val="24"/>
          <w:lang w:val="es-CO"/>
        </w:rPr>
        <w:t xml:space="preserve"> los presupuestos estatales y por tanto su</w:t>
      </w:r>
      <w:r w:rsidRPr="00727F79">
        <w:rPr>
          <w:rFonts w:ascii="Fian text" w:hAnsi="Fian text"/>
          <w:sz w:val="24"/>
          <w:lang w:val="es-CO"/>
        </w:rPr>
        <w:t xml:space="preserve"> capacidad de los estados para cumplir con sus obligaciones de derechos humanos</w:t>
      </w:r>
      <w:r w:rsidRPr="00727F79">
        <w:rPr>
          <w:rFonts w:ascii="Fian text" w:hAnsi="Fian text"/>
          <w:sz w:val="24"/>
          <w:lang w:val="es-CO"/>
        </w:rPr>
        <w:t>.</w:t>
      </w:r>
    </w:p>
    <w:p w:rsidR="00635CFE" w:rsidRPr="00727F79" w:rsidRDefault="00635CFE" w:rsidP="00727F7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 xml:space="preserve">Consideramos hay suficientes bases jurídicas para que el artículo 14.5 vaya </w:t>
      </w:r>
      <w:proofErr w:type="spellStart"/>
      <w:r w:rsidRPr="00727F79">
        <w:rPr>
          <w:rFonts w:ascii="Fian text" w:hAnsi="Fian text"/>
          <w:sz w:val="24"/>
          <w:lang w:val="es-CO"/>
        </w:rPr>
        <w:t>mas</w:t>
      </w:r>
      <w:proofErr w:type="spellEnd"/>
      <w:r w:rsidRPr="00727F79">
        <w:rPr>
          <w:rFonts w:ascii="Fian text" w:hAnsi="Fian text"/>
          <w:sz w:val="24"/>
          <w:lang w:val="es-CO"/>
        </w:rPr>
        <w:t xml:space="preserve"> allá de la compatibilidad de los acuerdos comerciales y de inversión, e incluya la prevalencia de los derechos humanos sobre los acuerdos comerciales y de inversión. </w:t>
      </w:r>
    </w:p>
    <w:p w:rsidR="009018A9" w:rsidRPr="009018A9" w:rsidRDefault="00635CFE" w:rsidP="009018A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 xml:space="preserve">La primacía de los derechos humanos encuentra su fundamentación en los artículos 103, 55 y 56 de la carta </w:t>
      </w:r>
      <w:r w:rsidR="00727F79" w:rsidRPr="00727F79">
        <w:rPr>
          <w:rFonts w:ascii="Fian text" w:hAnsi="Fian text"/>
          <w:sz w:val="24"/>
          <w:lang w:val="es-CO"/>
        </w:rPr>
        <w:t xml:space="preserve">de las Naciones Unidas. </w:t>
      </w:r>
      <w:r w:rsidR="009018A9">
        <w:rPr>
          <w:rFonts w:ascii="Fian text" w:hAnsi="Fian text"/>
          <w:sz w:val="24"/>
          <w:lang w:val="es-CO"/>
        </w:rPr>
        <w:t>El Artículo 103 establece “</w:t>
      </w:r>
      <w:r w:rsidR="009018A9" w:rsidRPr="009018A9">
        <w:rPr>
          <w:rFonts w:ascii="Fian text" w:hAnsi="Fian text"/>
          <w:i/>
          <w:sz w:val="24"/>
          <w:lang w:val="es-CO"/>
        </w:rPr>
        <w:t>En caso de conflicto entre las obligaciones contraídas por los Miembros de las Naciones Unidas en virtud de la presente Carta y sus obligaciones contraídas en virtud de cualquier otro convenio internacional, prevalecerán las obligaciones impuestas por la presente Carta</w:t>
      </w:r>
      <w:r w:rsidR="009018A9" w:rsidRPr="009018A9">
        <w:rPr>
          <w:rFonts w:ascii="Fian text" w:hAnsi="Fian text"/>
          <w:sz w:val="24"/>
          <w:lang w:val="es-CO"/>
        </w:rPr>
        <w:t>.</w:t>
      </w:r>
      <w:r w:rsidR="009018A9">
        <w:rPr>
          <w:rFonts w:ascii="Fian text" w:hAnsi="Fian text"/>
          <w:sz w:val="24"/>
          <w:lang w:val="es-CO"/>
        </w:rPr>
        <w:t>”</w:t>
      </w:r>
    </w:p>
    <w:p w:rsidR="00635CFE" w:rsidRPr="00727F79" w:rsidRDefault="00727F79" w:rsidP="00727F79">
      <w:pPr>
        <w:jc w:val="both"/>
        <w:rPr>
          <w:rFonts w:ascii="Fian text" w:hAnsi="Fian text"/>
          <w:sz w:val="24"/>
          <w:lang w:val="es-CO"/>
        </w:rPr>
      </w:pPr>
      <w:r w:rsidRPr="00727F79">
        <w:rPr>
          <w:rFonts w:ascii="Fian text" w:hAnsi="Fian text"/>
          <w:sz w:val="24"/>
          <w:lang w:val="es-CO"/>
        </w:rPr>
        <w:t xml:space="preserve">Por lo demás, </w:t>
      </w:r>
      <w:r w:rsidR="00635CFE" w:rsidRPr="00727F79">
        <w:rPr>
          <w:rFonts w:ascii="Fian text" w:hAnsi="Fian text"/>
          <w:sz w:val="24"/>
          <w:lang w:val="es-CO"/>
        </w:rPr>
        <w:t>las constituciones nacionales de un sinnúmero de estados ha</w:t>
      </w:r>
      <w:r w:rsidRPr="00727F79">
        <w:rPr>
          <w:rFonts w:ascii="Fian text" w:hAnsi="Fian text"/>
          <w:sz w:val="24"/>
          <w:lang w:val="es-CO"/>
        </w:rPr>
        <w:t>n</w:t>
      </w:r>
      <w:r w:rsidR="00635CFE" w:rsidRPr="00727F79">
        <w:rPr>
          <w:rFonts w:ascii="Fian text" w:hAnsi="Fian text"/>
          <w:sz w:val="24"/>
          <w:lang w:val="es-CO"/>
        </w:rPr>
        <w:t xml:space="preserve"> reconocido la primacía de los derechos humanos sobre otro tipo de regulaciones. </w:t>
      </w:r>
    </w:p>
    <w:sectPr w:rsidR="00635CFE" w:rsidRPr="00727F7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9E" w:rsidRDefault="00E87E9E" w:rsidP="00727F79">
      <w:pPr>
        <w:spacing w:after="0" w:line="240" w:lineRule="auto"/>
      </w:pPr>
      <w:r>
        <w:separator/>
      </w:r>
    </w:p>
  </w:endnote>
  <w:endnote w:type="continuationSeparator" w:id="0">
    <w:p w:rsidR="00E87E9E" w:rsidRDefault="00E87E9E" w:rsidP="007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an text">
    <w:panose1 w:val="020B0503030403020204"/>
    <w:charset w:val="00"/>
    <w:family w:val="swiss"/>
    <w:notTrueType/>
    <w:pitch w:val="variable"/>
    <w:sig w:usb0="600002D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9E" w:rsidRDefault="00E87E9E" w:rsidP="00727F79">
      <w:pPr>
        <w:spacing w:after="0" w:line="240" w:lineRule="auto"/>
      </w:pPr>
      <w:r>
        <w:separator/>
      </w:r>
    </w:p>
  </w:footnote>
  <w:footnote w:type="continuationSeparator" w:id="0">
    <w:p w:rsidR="00E87E9E" w:rsidRDefault="00E87E9E" w:rsidP="0072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9" w:rsidRDefault="00727F79" w:rsidP="00727F79">
    <w:pPr>
      <w:pStyle w:val="Kopfzeile"/>
      <w:jc w:val="right"/>
    </w:pPr>
    <w:r>
      <w:rPr>
        <w:noProof/>
        <w:lang w:eastAsia="en-GB"/>
      </w:rPr>
      <w:drawing>
        <wp:inline distT="0" distB="0" distL="0" distR="0" wp14:anchorId="0BBDD570">
          <wp:extent cx="2627630" cy="810895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7F79" w:rsidRDefault="00727F79" w:rsidP="00727F79">
    <w:pPr>
      <w:pStyle w:val="Kopfzeile"/>
      <w:jc w:val="right"/>
    </w:pPr>
  </w:p>
  <w:p w:rsidR="00727F79" w:rsidRDefault="00727F79" w:rsidP="00727F7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E"/>
    <w:rsid w:val="00635CFE"/>
    <w:rsid w:val="00727F79"/>
    <w:rsid w:val="007622B2"/>
    <w:rsid w:val="009018A9"/>
    <w:rsid w:val="00C873F1"/>
    <w:rsid w:val="00E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FC7B"/>
  <w15:chartTrackingRefBased/>
  <w15:docId w15:val="{618F7732-F034-4943-9422-DEA547D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8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F79"/>
  </w:style>
  <w:style w:type="paragraph" w:styleId="Fuzeile">
    <w:name w:val="footer"/>
    <w:basedOn w:val="Standard"/>
    <w:link w:val="FuzeileZchn"/>
    <w:uiPriority w:val="99"/>
    <w:unhideWhenUsed/>
    <w:rsid w:val="007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F7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8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F60AE-C5EC-4A37-83DA-6C44343942CB}"/>
</file>

<file path=customXml/itemProps2.xml><?xml version="1.0" encoding="utf-8"?>
<ds:datastoreItem xmlns:ds="http://schemas.openxmlformats.org/officeDocument/2006/customXml" ds:itemID="{7667A714-4BC6-47BB-92B9-74D0D58D79F2}"/>
</file>

<file path=customXml/itemProps3.xml><?xml version="1.0" encoding="utf-8"?>
<ds:datastoreItem xmlns:ds="http://schemas.openxmlformats.org/officeDocument/2006/customXml" ds:itemID="{DD49ED10-A1AD-4E76-BCE8-D083CFB71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Suarez-Franco</dc:creator>
  <cp:keywords/>
  <dc:description/>
  <cp:lastModifiedBy/>
  <cp:revision>1</cp:revision>
  <dcterms:created xsi:type="dcterms:W3CDTF">2020-10-29T09:52:00Z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