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44A4" w14:textId="77777777" w:rsidR="00F71937" w:rsidRPr="0040238D" w:rsidRDefault="00A7616A" w:rsidP="00F71937">
      <w:pPr>
        <w:rPr>
          <w:b/>
          <w:sz w:val="28"/>
          <w:szCs w:val="28"/>
          <w:lang w:val="en-US"/>
        </w:rPr>
      </w:pPr>
      <w:r w:rsidRPr="0040238D">
        <w:rPr>
          <w:b/>
          <w:sz w:val="28"/>
          <w:szCs w:val="28"/>
          <w:lang w:val="en-US"/>
        </w:rPr>
        <w:t xml:space="preserve">CIDSE </w:t>
      </w:r>
      <w:r w:rsidR="0040238D" w:rsidRPr="0040238D">
        <w:rPr>
          <w:b/>
          <w:sz w:val="28"/>
          <w:szCs w:val="28"/>
          <w:lang w:val="en-US"/>
        </w:rPr>
        <w:t>Statement</w:t>
      </w:r>
      <w:r w:rsidRPr="0040238D">
        <w:rPr>
          <w:b/>
          <w:sz w:val="28"/>
          <w:szCs w:val="28"/>
          <w:lang w:val="en-US"/>
        </w:rPr>
        <w:t xml:space="preserve"> </w:t>
      </w:r>
      <w:r w:rsidR="00C5770F">
        <w:rPr>
          <w:b/>
          <w:sz w:val="28"/>
          <w:szCs w:val="28"/>
          <w:lang w:val="en-US"/>
        </w:rPr>
        <w:t xml:space="preserve">on Article 14 of </w:t>
      </w:r>
      <w:r w:rsidRPr="0040238D">
        <w:rPr>
          <w:b/>
          <w:sz w:val="28"/>
          <w:szCs w:val="28"/>
          <w:lang w:val="en-US"/>
        </w:rPr>
        <w:t>the second revised draft of the Legally Binding Instrument to regulate, in international human rights law, the activities of transnational corporations and other enterprises</w:t>
      </w:r>
    </w:p>
    <w:p w14:paraId="4A3D0DDC" w14:textId="77777777" w:rsidR="00C5770F" w:rsidRPr="0040238D" w:rsidRDefault="00C5770F" w:rsidP="007B30FD">
      <w:pPr>
        <w:rPr>
          <w:sz w:val="28"/>
          <w:szCs w:val="28"/>
          <w:lang w:val="en-US"/>
        </w:rPr>
      </w:pPr>
    </w:p>
    <w:p w14:paraId="2349994D" w14:textId="77777777" w:rsidR="00C5770F" w:rsidRDefault="00C5770F" w:rsidP="007B30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Dear chairperson</w:t>
      </w:r>
    </w:p>
    <w:p w14:paraId="598AD36C" w14:textId="4D7AEE6D" w:rsidR="00C5770F" w:rsidRDefault="00C5770F" w:rsidP="007B30FD">
      <w:pPr>
        <w:rPr>
          <w:sz w:val="28"/>
          <w:szCs w:val="28"/>
          <w:lang w:val="en-US"/>
        </w:rPr>
      </w:pPr>
    </w:p>
    <w:p w14:paraId="00199F99" w14:textId="5E30F350" w:rsidR="002E0FBC" w:rsidRDefault="002E0FBC" w:rsidP="007B30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am speaking on behalf of CIDSE, MISEREOR, CCFD, DKA, </w:t>
      </w:r>
      <w:proofErr w:type="spellStart"/>
      <w:r w:rsidR="00D36203">
        <w:rPr>
          <w:sz w:val="28"/>
          <w:szCs w:val="28"/>
          <w:lang w:val="en-US"/>
        </w:rPr>
        <w:t>Trocaire</w:t>
      </w:r>
      <w:proofErr w:type="spellEnd"/>
      <w:r w:rsidR="00DF5D25">
        <w:rPr>
          <w:sz w:val="28"/>
          <w:szCs w:val="28"/>
          <w:lang w:val="en-US"/>
        </w:rPr>
        <w:t>,</w:t>
      </w:r>
      <w:r w:rsidR="00D36203">
        <w:rPr>
          <w:sz w:val="28"/>
          <w:szCs w:val="28"/>
          <w:lang w:val="en-US"/>
        </w:rPr>
        <w:t xml:space="preserve"> Maryknoll Office of Global Concerns</w:t>
      </w:r>
      <w:r w:rsidR="00DF5D25">
        <w:rPr>
          <w:sz w:val="28"/>
          <w:szCs w:val="28"/>
          <w:lang w:val="en-US"/>
        </w:rPr>
        <w:t>,</w:t>
      </w:r>
      <w:r w:rsidR="00D362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Global Policy Forum,</w:t>
      </w:r>
      <w:r w:rsidR="00DF5D25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>Franciscans International</w:t>
      </w:r>
      <w:bookmarkStart w:id="0" w:name="_GoBack"/>
      <w:bookmarkEnd w:id="0"/>
      <w:r>
        <w:rPr>
          <w:sz w:val="28"/>
          <w:szCs w:val="28"/>
          <w:lang w:val="en-US"/>
        </w:rPr>
        <w:t>.</w:t>
      </w:r>
    </w:p>
    <w:p w14:paraId="5344E181" w14:textId="77777777" w:rsidR="002E0FBC" w:rsidRDefault="002E0FBC" w:rsidP="007B30FD">
      <w:pPr>
        <w:rPr>
          <w:sz w:val="28"/>
          <w:szCs w:val="28"/>
          <w:lang w:val="en-US"/>
        </w:rPr>
      </w:pPr>
    </w:p>
    <w:p w14:paraId="3DDDB5C5" w14:textId="77777777" w:rsidR="00C5770F" w:rsidRPr="00C5770F" w:rsidRDefault="00C5770F" w:rsidP="007B30FD">
      <w:pPr>
        <w:rPr>
          <w:sz w:val="28"/>
          <w:szCs w:val="28"/>
          <w:lang w:val="en-US"/>
        </w:rPr>
      </w:pPr>
      <w:r w:rsidRPr="00C5770F">
        <w:rPr>
          <w:sz w:val="28"/>
          <w:szCs w:val="28"/>
          <w:lang w:val="en-US"/>
        </w:rPr>
        <w:t>In the past, provisions of trade and investment agreements have often threatened the rights to food, housing, health and other human rights of agricultural producers, workers, indigenous people, and especially women.</w:t>
      </w:r>
    </w:p>
    <w:p w14:paraId="7D9310BE" w14:textId="77777777" w:rsidR="00C5770F" w:rsidRPr="00C5770F" w:rsidRDefault="00C5770F" w:rsidP="007B30FD">
      <w:pPr>
        <w:rPr>
          <w:sz w:val="28"/>
          <w:szCs w:val="28"/>
          <w:lang w:val="en-US"/>
        </w:rPr>
      </w:pPr>
    </w:p>
    <w:p w14:paraId="0DF6427C" w14:textId="77777777" w:rsidR="0040238D" w:rsidRDefault="00C5770F" w:rsidP="007B30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Therefore, w</w:t>
      </w:r>
      <w:r w:rsidR="007B30FD" w:rsidRPr="0040238D">
        <w:rPr>
          <w:sz w:val="28"/>
          <w:szCs w:val="28"/>
          <w:lang w:val="en-US"/>
        </w:rPr>
        <w:t xml:space="preserve">e welcome the </w:t>
      </w:r>
      <w:r w:rsidR="001E3DF2" w:rsidRPr="0040238D">
        <w:rPr>
          <w:sz w:val="28"/>
          <w:szCs w:val="28"/>
          <w:lang w:val="en-US"/>
        </w:rPr>
        <w:t>clarification</w:t>
      </w:r>
      <w:r w:rsidR="0081409C" w:rsidRPr="0040238D">
        <w:rPr>
          <w:sz w:val="28"/>
          <w:szCs w:val="28"/>
          <w:lang w:val="en-US"/>
        </w:rPr>
        <w:t>s</w:t>
      </w:r>
      <w:r w:rsidR="007B30FD" w:rsidRPr="0040238D">
        <w:rPr>
          <w:sz w:val="28"/>
          <w:szCs w:val="28"/>
          <w:lang w:val="en-US"/>
        </w:rPr>
        <w:t xml:space="preserve"> in Article 14.5. ac</w:t>
      </w:r>
      <w:r w:rsidR="001E3DF2" w:rsidRPr="0040238D">
        <w:rPr>
          <w:sz w:val="28"/>
          <w:szCs w:val="28"/>
          <w:lang w:val="en-US"/>
        </w:rPr>
        <w:t xml:space="preserve">cording to which </w:t>
      </w:r>
    </w:p>
    <w:p w14:paraId="3B615375" w14:textId="77777777" w:rsidR="0040238D" w:rsidRDefault="0040238D" w:rsidP="007B30FD">
      <w:pPr>
        <w:rPr>
          <w:sz w:val="28"/>
          <w:szCs w:val="28"/>
          <w:lang w:val="en-US"/>
        </w:rPr>
      </w:pPr>
    </w:p>
    <w:p w14:paraId="1FCB8320" w14:textId="77777777" w:rsidR="0040238D" w:rsidRPr="0040238D" w:rsidRDefault="001E3DF2" w:rsidP="0040238D">
      <w:pPr>
        <w:pStyle w:val="Listenabsatz"/>
        <w:numPr>
          <w:ilvl w:val="0"/>
          <w:numId w:val="4"/>
        </w:numPr>
        <w:rPr>
          <w:sz w:val="28"/>
          <w:szCs w:val="28"/>
          <w:lang w:val="en-US"/>
        </w:rPr>
      </w:pPr>
      <w:r w:rsidRPr="0040238D">
        <w:rPr>
          <w:sz w:val="28"/>
          <w:szCs w:val="28"/>
          <w:lang w:val="en-US"/>
        </w:rPr>
        <w:t xml:space="preserve">existing trade and investment agreements shall be interpreted and implemented in a manner that will not undermine or limit States capacity to fulfill their human rights obligations, </w:t>
      </w:r>
      <w:r w:rsidR="00F03445">
        <w:rPr>
          <w:sz w:val="28"/>
          <w:szCs w:val="28"/>
          <w:lang w:val="en-US"/>
        </w:rPr>
        <w:t>and</w:t>
      </w:r>
    </w:p>
    <w:p w14:paraId="5D723160" w14:textId="77777777" w:rsidR="007B30FD" w:rsidRPr="0040238D" w:rsidRDefault="001E3DF2" w:rsidP="0040238D">
      <w:pPr>
        <w:pStyle w:val="Listenabsatz"/>
        <w:numPr>
          <w:ilvl w:val="0"/>
          <w:numId w:val="4"/>
        </w:numPr>
        <w:rPr>
          <w:sz w:val="28"/>
          <w:szCs w:val="28"/>
          <w:lang w:val="en-US"/>
        </w:rPr>
      </w:pPr>
      <w:r w:rsidRPr="0040238D">
        <w:rPr>
          <w:sz w:val="28"/>
          <w:szCs w:val="28"/>
          <w:lang w:val="en-US"/>
        </w:rPr>
        <w:t xml:space="preserve">new trade agreements shall be compatible with State Parties human rights obligations. </w:t>
      </w:r>
    </w:p>
    <w:p w14:paraId="00DD060C" w14:textId="77777777" w:rsidR="007B30FD" w:rsidRPr="0040238D" w:rsidRDefault="007B30FD" w:rsidP="007B30FD">
      <w:pPr>
        <w:rPr>
          <w:sz w:val="28"/>
          <w:szCs w:val="28"/>
          <w:lang w:val="en-US"/>
        </w:rPr>
      </w:pPr>
    </w:p>
    <w:p w14:paraId="3A3DA97D" w14:textId="77777777" w:rsidR="008149C2" w:rsidRPr="0040238D" w:rsidRDefault="0081409C" w:rsidP="007B30FD">
      <w:pPr>
        <w:rPr>
          <w:sz w:val="28"/>
          <w:szCs w:val="28"/>
          <w:lang w:val="en-US"/>
        </w:rPr>
      </w:pPr>
      <w:r w:rsidRPr="0040238D">
        <w:rPr>
          <w:sz w:val="28"/>
          <w:szCs w:val="28"/>
          <w:lang w:val="en-US"/>
        </w:rPr>
        <w:t xml:space="preserve">However, the Article lacks concrete measures on how to ensure such human rights compatibility of trade and investment agreements. </w:t>
      </w:r>
      <w:r w:rsidR="008149C2" w:rsidRPr="0040238D">
        <w:rPr>
          <w:sz w:val="28"/>
          <w:szCs w:val="28"/>
          <w:lang w:val="en-US"/>
        </w:rPr>
        <w:t>Experience shows that human rights obligations are not well reflected during negotiations and the implementation of trade and investment agreements.</w:t>
      </w:r>
    </w:p>
    <w:p w14:paraId="6A9C03EA" w14:textId="77777777" w:rsidR="00C5770F" w:rsidRPr="00C5770F" w:rsidRDefault="00C5770F" w:rsidP="007B30FD">
      <w:pPr>
        <w:rPr>
          <w:sz w:val="28"/>
          <w:szCs w:val="28"/>
          <w:lang w:val="en-US"/>
        </w:rPr>
      </w:pPr>
    </w:p>
    <w:p w14:paraId="7E4F15B3" w14:textId="77777777" w:rsidR="0040238D" w:rsidRDefault="008149C2" w:rsidP="007B30FD">
      <w:pPr>
        <w:rPr>
          <w:sz w:val="28"/>
          <w:szCs w:val="28"/>
          <w:lang w:val="en-US"/>
        </w:rPr>
      </w:pPr>
      <w:r w:rsidRPr="0040238D">
        <w:rPr>
          <w:sz w:val="28"/>
          <w:szCs w:val="28"/>
          <w:lang w:val="en-US"/>
        </w:rPr>
        <w:t>Therefore</w:t>
      </w:r>
      <w:r w:rsidR="0081409C" w:rsidRPr="0040238D">
        <w:rPr>
          <w:sz w:val="28"/>
          <w:szCs w:val="28"/>
          <w:lang w:val="en-US"/>
        </w:rPr>
        <w:t>, we recommend</w:t>
      </w:r>
      <w:r w:rsidRPr="0040238D">
        <w:rPr>
          <w:sz w:val="28"/>
          <w:szCs w:val="28"/>
          <w:lang w:val="en-US"/>
        </w:rPr>
        <w:t xml:space="preserve">, </w:t>
      </w:r>
      <w:r w:rsidR="0040238D">
        <w:rPr>
          <w:sz w:val="28"/>
          <w:szCs w:val="28"/>
          <w:lang w:val="en-US"/>
        </w:rPr>
        <w:t>the following amendments in Art. 14.5:</w:t>
      </w:r>
    </w:p>
    <w:p w14:paraId="3B00713C" w14:textId="77777777" w:rsidR="0040238D" w:rsidRDefault="0040238D" w:rsidP="007B30FD">
      <w:pPr>
        <w:rPr>
          <w:sz w:val="28"/>
          <w:szCs w:val="28"/>
          <w:lang w:val="en-US"/>
        </w:rPr>
      </w:pPr>
    </w:p>
    <w:p w14:paraId="1B04D25B" w14:textId="77777777" w:rsidR="0040238D" w:rsidRPr="0040238D" w:rsidRDefault="0040238D" w:rsidP="0040238D">
      <w:pPr>
        <w:pStyle w:val="Listenabsatz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="0081409C" w:rsidRPr="0040238D">
        <w:rPr>
          <w:sz w:val="28"/>
          <w:szCs w:val="28"/>
          <w:lang w:val="en-US"/>
        </w:rPr>
        <w:t xml:space="preserve"> obligation </w:t>
      </w:r>
      <w:r w:rsidRPr="0040238D">
        <w:rPr>
          <w:sz w:val="28"/>
          <w:szCs w:val="28"/>
          <w:lang w:val="en-US"/>
        </w:rPr>
        <w:t>“</w:t>
      </w:r>
      <w:r w:rsidR="0081409C" w:rsidRPr="0040238D">
        <w:rPr>
          <w:sz w:val="28"/>
          <w:szCs w:val="28"/>
          <w:lang w:val="en-US"/>
        </w:rPr>
        <w:t>to conduct comprehensive and participatory human rights and environmental impact assessments before, during and after trade negotiations and after some period of implementation.</w:t>
      </w:r>
      <w:r w:rsidRPr="0040238D">
        <w:rPr>
          <w:sz w:val="28"/>
          <w:szCs w:val="28"/>
          <w:lang w:val="en-US"/>
        </w:rPr>
        <w:t>”</w:t>
      </w:r>
    </w:p>
    <w:p w14:paraId="2306B272" w14:textId="77777777" w:rsidR="0040238D" w:rsidRDefault="0040238D" w:rsidP="0040238D">
      <w:pPr>
        <w:pStyle w:val="Listenabsatz"/>
        <w:rPr>
          <w:sz w:val="28"/>
          <w:szCs w:val="28"/>
          <w:lang w:val="en-US"/>
        </w:rPr>
      </w:pPr>
    </w:p>
    <w:p w14:paraId="52F87A88" w14:textId="720C5572" w:rsidR="0040238D" w:rsidRDefault="0040238D" w:rsidP="0040238D">
      <w:pPr>
        <w:pStyle w:val="Listenabsatz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40238D">
        <w:rPr>
          <w:sz w:val="28"/>
          <w:szCs w:val="28"/>
          <w:lang w:val="en-US"/>
        </w:rPr>
        <w:t xml:space="preserve"> obligation</w:t>
      </w:r>
      <w:r>
        <w:rPr>
          <w:sz w:val="28"/>
          <w:szCs w:val="28"/>
          <w:lang w:val="en-US"/>
        </w:rPr>
        <w:t xml:space="preserve"> “</w:t>
      </w:r>
      <w:r w:rsidRPr="0040238D">
        <w:rPr>
          <w:sz w:val="28"/>
          <w:szCs w:val="28"/>
          <w:lang w:val="en-US"/>
        </w:rPr>
        <w:t xml:space="preserve">to include specific exception clauses </w:t>
      </w:r>
      <w:r>
        <w:rPr>
          <w:sz w:val="28"/>
          <w:szCs w:val="28"/>
          <w:lang w:val="en-US"/>
        </w:rPr>
        <w:t xml:space="preserve">in trade and investment agreements establishing that </w:t>
      </w:r>
      <w:r w:rsidRPr="0040238D">
        <w:rPr>
          <w:sz w:val="28"/>
          <w:szCs w:val="28"/>
          <w:lang w:val="en-US"/>
        </w:rPr>
        <w:t xml:space="preserve">trade and investment </w:t>
      </w:r>
      <w:r>
        <w:rPr>
          <w:sz w:val="28"/>
          <w:szCs w:val="28"/>
          <w:lang w:val="en-US"/>
        </w:rPr>
        <w:t xml:space="preserve">provisions </w:t>
      </w:r>
      <w:r w:rsidRPr="0040238D">
        <w:rPr>
          <w:sz w:val="28"/>
          <w:szCs w:val="28"/>
          <w:lang w:val="en-US"/>
        </w:rPr>
        <w:t>shall not undermine o</w:t>
      </w:r>
      <w:r w:rsidR="00DD5F7F">
        <w:rPr>
          <w:sz w:val="28"/>
          <w:szCs w:val="28"/>
          <w:lang w:val="en-US"/>
        </w:rPr>
        <w:t>r</w:t>
      </w:r>
      <w:r w:rsidRPr="0040238D">
        <w:rPr>
          <w:sz w:val="28"/>
          <w:szCs w:val="28"/>
          <w:lang w:val="en-US"/>
        </w:rPr>
        <w:t xml:space="preserve"> limit States capacities to respect, protect and fulfill human rights obligations </w:t>
      </w:r>
      <w:r>
        <w:rPr>
          <w:sz w:val="28"/>
          <w:szCs w:val="28"/>
          <w:lang w:val="en-US"/>
        </w:rPr>
        <w:t xml:space="preserve">or environmental and labor standards </w:t>
      </w:r>
      <w:r w:rsidRPr="0040238D">
        <w:rPr>
          <w:sz w:val="28"/>
          <w:szCs w:val="28"/>
          <w:lang w:val="en-US"/>
        </w:rPr>
        <w:t>in their own territories and abroad</w:t>
      </w:r>
      <w:r>
        <w:rPr>
          <w:sz w:val="28"/>
          <w:szCs w:val="28"/>
          <w:lang w:val="en-US"/>
        </w:rPr>
        <w:t>”</w:t>
      </w:r>
      <w:r w:rsidRPr="0040238D">
        <w:rPr>
          <w:sz w:val="28"/>
          <w:szCs w:val="28"/>
          <w:lang w:val="en-US"/>
        </w:rPr>
        <w:t>.</w:t>
      </w:r>
    </w:p>
    <w:p w14:paraId="21819950" w14:textId="77777777" w:rsidR="0040238D" w:rsidRPr="0040238D" w:rsidRDefault="0040238D" w:rsidP="0040238D">
      <w:pPr>
        <w:pStyle w:val="Listenabsatz"/>
        <w:rPr>
          <w:sz w:val="28"/>
          <w:szCs w:val="28"/>
          <w:lang w:val="en-US"/>
        </w:rPr>
      </w:pPr>
    </w:p>
    <w:p w14:paraId="03E346BE" w14:textId="79FC94AE" w:rsidR="0040238D" w:rsidRDefault="0040238D" w:rsidP="0040238D">
      <w:pPr>
        <w:pStyle w:val="Listenabsatz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The obligation “to introduce </w:t>
      </w:r>
      <w:r w:rsidR="00DD5F7F">
        <w:rPr>
          <w:sz w:val="28"/>
          <w:szCs w:val="28"/>
          <w:lang w:val="en-US"/>
        </w:rPr>
        <w:t xml:space="preserve">a </w:t>
      </w:r>
      <w:r w:rsidR="008149C2" w:rsidRPr="0040238D">
        <w:rPr>
          <w:sz w:val="28"/>
          <w:szCs w:val="28"/>
          <w:lang w:val="en-US"/>
        </w:rPr>
        <w:t xml:space="preserve">revision clause </w:t>
      </w:r>
      <w:r>
        <w:rPr>
          <w:sz w:val="28"/>
          <w:szCs w:val="28"/>
          <w:lang w:val="en-US"/>
        </w:rPr>
        <w:t>in trade agreements obliging</w:t>
      </w:r>
      <w:r w:rsidR="008149C2" w:rsidRPr="0040238D">
        <w:rPr>
          <w:sz w:val="28"/>
          <w:szCs w:val="28"/>
          <w:lang w:val="en-US"/>
        </w:rPr>
        <w:t xml:space="preserve"> State parties to revise articles that have been shown to limit capacities to </w:t>
      </w:r>
      <w:r>
        <w:rPr>
          <w:sz w:val="28"/>
          <w:szCs w:val="28"/>
          <w:lang w:val="en-US"/>
        </w:rPr>
        <w:t xml:space="preserve">respect, </w:t>
      </w:r>
      <w:r w:rsidR="008149C2" w:rsidRPr="0040238D">
        <w:rPr>
          <w:sz w:val="28"/>
          <w:szCs w:val="28"/>
          <w:lang w:val="en-US"/>
        </w:rPr>
        <w:t xml:space="preserve">protect </w:t>
      </w:r>
      <w:r>
        <w:rPr>
          <w:sz w:val="28"/>
          <w:szCs w:val="28"/>
          <w:lang w:val="en-US"/>
        </w:rPr>
        <w:t xml:space="preserve">and fulfill </w:t>
      </w:r>
      <w:r w:rsidR="008149C2" w:rsidRPr="0040238D">
        <w:rPr>
          <w:sz w:val="28"/>
          <w:szCs w:val="28"/>
          <w:lang w:val="en-US"/>
        </w:rPr>
        <w:t>human rights.</w:t>
      </w:r>
      <w:r>
        <w:rPr>
          <w:sz w:val="28"/>
          <w:szCs w:val="28"/>
          <w:lang w:val="en-US"/>
        </w:rPr>
        <w:t>”</w:t>
      </w:r>
    </w:p>
    <w:p w14:paraId="411D8EBC" w14:textId="77777777" w:rsidR="0040238D" w:rsidRPr="0040238D" w:rsidRDefault="0040238D" w:rsidP="0040238D">
      <w:pPr>
        <w:pStyle w:val="Listenabsatz"/>
        <w:rPr>
          <w:sz w:val="28"/>
          <w:szCs w:val="28"/>
          <w:lang w:val="en-US"/>
        </w:rPr>
      </w:pPr>
    </w:p>
    <w:p w14:paraId="25F9A67A" w14:textId="77777777" w:rsidR="0081409C" w:rsidRPr="0040238D" w:rsidRDefault="0040238D" w:rsidP="0040238D">
      <w:pPr>
        <w:pStyle w:val="Listenabsatz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obligation that “</w:t>
      </w:r>
      <w:r w:rsidR="00F03445">
        <w:rPr>
          <w:sz w:val="28"/>
          <w:szCs w:val="28"/>
          <w:lang w:val="en-US"/>
        </w:rPr>
        <w:t>to subject h</w:t>
      </w:r>
      <w:r w:rsidR="008149C2" w:rsidRPr="0040238D">
        <w:rPr>
          <w:sz w:val="28"/>
          <w:szCs w:val="28"/>
          <w:lang w:val="en-US"/>
        </w:rPr>
        <w:t xml:space="preserve">uman rights and environmental obligations to the full </w:t>
      </w:r>
      <w:r w:rsidR="00F03445">
        <w:rPr>
          <w:sz w:val="28"/>
          <w:szCs w:val="28"/>
          <w:lang w:val="en-US"/>
        </w:rPr>
        <w:t>state-to-state</w:t>
      </w:r>
      <w:r w:rsidR="008149C2" w:rsidRPr="0040238D">
        <w:rPr>
          <w:sz w:val="28"/>
          <w:szCs w:val="28"/>
          <w:lang w:val="en-US"/>
        </w:rPr>
        <w:t xml:space="preserve"> dispute settlement and sanctioning mechanism of any new trade and investment agreement</w:t>
      </w:r>
      <w:r w:rsidR="00F03445">
        <w:rPr>
          <w:sz w:val="28"/>
          <w:szCs w:val="28"/>
          <w:lang w:val="en-US"/>
        </w:rPr>
        <w:t>”</w:t>
      </w:r>
      <w:r w:rsidR="008149C2" w:rsidRPr="0040238D">
        <w:rPr>
          <w:sz w:val="28"/>
          <w:szCs w:val="28"/>
          <w:lang w:val="en-US"/>
        </w:rPr>
        <w:t>.</w:t>
      </w:r>
    </w:p>
    <w:p w14:paraId="75746A89" w14:textId="77777777" w:rsidR="00B83253" w:rsidRPr="00F03445" w:rsidRDefault="00B83253" w:rsidP="00B83253">
      <w:pPr>
        <w:rPr>
          <w:sz w:val="28"/>
          <w:szCs w:val="28"/>
          <w:lang w:val="en-US"/>
        </w:rPr>
      </w:pPr>
    </w:p>
    <w:p w14:paraId="0E281045" w14:textId="77777777" w:rsidR="00B83253" w:rsidRPr="00F03445" w:rsidRDefault="0040238D" w:rsidP="00B83253">
      <w:pPr>
        <w:rPr>
          <w:sz w:val="28"/>
          <w:szCs w:val="28"/>
          <w:lang w:val="en-US"/>
        </w:rPr>
      </w:pPr>
      <w:r w:rsidRPr="00F03445">
        <w:rPr>
          <w:sz w:val="28"/>
          <w:szCs w:val="28"/>
          <w:lang w:val="en-US"/>
        </w:rPr>
        <w:t>Thank you very much!</w:t>
      </w:r>
    </w:p>
    <w:sectPr w:rsidR="00B83253" w:rsidRPr="00F03445" w:rsidSect="00EE4BE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31BFB" w14:textId="77777777" w:rsidR="008B695E" w:rsidRDefault="008B695E" w:rsidP="004F6F1A">
      <w:pPr>
        <w:spacing w:line="240" w:lineRule="auto"/>
      </w:pPr>
      <w:r>
        <w:separator/>
      </w:r>
    </w:p>
  </w:endnote>
  <w:endnote w:type="continuationSeparator" w:id="0">
    <w:p w14:paraId="6D29BE1B" w14:textId="77777777" w:rsidR="008B695E" w:rsidRDefault="008B695E" w:rsidP="004F6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807"/>
      <w:gridCol w:w="1148"/>
      <w:gridCol w:w="650"/>
    </w:tblGrid>
    <w:tr w:rsidR="00DC259C" w:rsidRPr="00800DF6" w14:paraId="6C868FDA" w14:textId="77777777" w:rsidTr="007D02F5">
      <w:tc>
        <w:tcPr>
          <w:tcW w:w="7807" w:type="dxa"/>
        </w:tcPr>
        <w:p w14:paraId="5BEC4BE5" w14:textId="77777777" w:rsidR="00CE2B63" w:rsidRPr="00800DF6" w:rsidRDefault="00CE2B63" w:rsidP="007D02F5">
          <w:pPr>
            <w:pStyle w:val="Fuzeile"/>
            <w:tabs>
              <w:tab w:val="clear" w:pos="4536"/>
            </w:tabs>
            <w:rPr>
              <w:szCs w:val="16"/>
            </w:rPr>
          </w:pPr>
        </w:p>
      </w:tc>
      <w:tc>
        <w:tcPr>
          <w:tcW w:w="1148" w:type="dxa"/>
        </w:tcPr>
        <w:p w14:paraId="13287E1D" w14:textId="77777777" w:rsidR="00CE2B63" w:rsidRPr="00800DF6" w:rsidRDefault="00CE2B63" w:rsidP="00AC2509">
          <w:pPr>
            <w:pStyle w:val="Fuzeile"/>
            <w:jc w:val="right"/>
            <w:rPr>
              <w:szCs w:val="16"/>
            </w:rPr>
          </w:pPr>
        </w:p>
      </w:tc>
      <w:tc>
        <w:tcPr>
          <w:tcW w:w="650" w:type="dxa"/>
        </w:tcPr>
        <w:p w14:paraId="137AE3EC" w14:textId="77777777" w:rsidR="00CE2B63" w:rsidRPr="00800DF6" w:rsidRDefault="00CE2B63" w:rsidP="00AC2509">
          <w:pPr>
            <w:pStyle w:val="Fuzeile"/>
            <w:jc w:val="right"/>
            <w:rPr>
              <w:szCs w:val="16"/>
            </w:rPr>
          </w:pPr>
        </w:p>
      </w:tc>
    </w:tr>
  </w:tbl>
  <w:p w14:paraId="0149841A" w14:textId="77777777" w:rsidR="004F6F1A" w:rsidRPr="00F73FFC" w:rsidRDefault="004F6F1A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E9244" w14:textId="77777777" w:rsidR="008B695E" w:rsidRDefault="008B695E" w:rsidP="004F6F1A">
      <w:pPr>
        <w:spacing w:line="240" w:lineRule="auto"/>
      </w:pPr>
      <w:r>
        <w:separator/>
      </w:r>
    </w:p>
  </w:footnote>
  <w:footnote w:type="continuationSeparator" w:id="0">
    <w:p w14:paraId="6869CE70" w14:textId="77777777" w:rsidR="008B695E" w:rsidRDefault="008B695E" w:rsidP="004F6F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B38B6"/>
    <w:multiLevelType w:val="hybridMultilevel"/>
    <w:tmpl w:val="D7F09F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0E1F"/>
    <w:multiLevelType w:val="hybridMultilevel"/>
    <w:tmpl w:val="0D4ECD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5667B"/>
    <w:multiLevelType w:val="hybridMultilevel"/>
    <w:tmpl w:val="8690C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75C4E"/>
    <w:multiLevelType w:val="hybridMultilevel"/>
    <w:tmpl w:val="C6C04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7B"/>
    <w:rsid w:val="0008196A"/>
    <w:rsid w:val="00084316"/>
    <w:rsid w:val="001019B3"/>
    <w:rsid w:val="00114180"/>
    <w:rsid w:val="001C2AD8"/>
    <w:rsid w:val="001E3DF2"/>
    <w:rsid w:val="002B430B"/>
    <w:rsid w:val="002E0FBC"/>
    <w:rsid w:val="00330BFB"/>
    <w:rsid w:val="003D6DB1"/>
    <w:rsid w:val="0040238D"/>
    <w:rsid w:val="00464D37"/>
    <w:rsid w:val="004D5BBD"/>
    <w:rsid w:val="004E0644"/>
    <w:rsid w:val="004F6F1A"/>
    <w:rsid w:val="00504E4B"/>
    <w:rsid w:val="00527224"/>
    <w:rsid w:val="00542BE0"/>
    <w:rsid w:val="00574CCB"/>
    <w:rsid w:val="00593F73"/>
    <w:rsid w:val="005C3BBD"/>
    <w:rsid w:val="005D53CD"/>
    <w:rsid w:val="00641140"/>
    <w:rsid w:val="00667CAE"/>
    <w:rsid w:val="006A77AA"/>
    <w:rsid w:val="006D1C3F"/>
    <w:rsid w:val="00767466"/>
    <w:rsid w:val="0077766F"/>
    <w:rsid w:val="007A1EA6"/>
    <w:rsid w:val="007B30FD"/>
    <w:rsid w:val="007D02F5"/>
    <w:rsid w:val="007D1545"/>
    <w:rsid w:val="00800DF6"/>
    <w:rsid w:val="0081409C"/>
    <w:rsid w:val="008149C2"/>
    <w:rsid w:val="00833CDC"/>
    <w:rsid w:val="008B1141"/>
    <w:rsid w:val="008B695E"/>
    <w:rsid w:val="008C75AD"/>
    <w:rsid w:val="00974F7B"/>
    <w:rsid w:val="009A04A6"/>
    <w:rsid w:val="009B68AE"/>
    <w:rsid w:val="009C06FB"/>
    <w:rsid w:val="00A510A4"/>
    <w:rsid w:val="00A57339"/>
    <w:rsid w:val="00A7616A"/>
    <w:rsid w:val="00AA22F1"/>
    <w:rsid w:val="00AC2509"/>
    <w:rsid w:val="00AF658A"/>
    <w:rsid w:val="00B0645B"/>
    <w:rsid w:val="00B30EAF"/>
    <w:rsid w:val="00B52400"/>
    <w:rsid w:val="00B73FA0"/>
    <w:rsid w:val="00B83253"/>
    <w:rsid w:val="00BA53B6"/>
    <w:rsid w:val="00BB5F15"/>
    <w:rsid w:val="00C5770F"/>
    <w:rsid w:val="00C750CB"/>
    <w:rsid w:val="00C97D16"/>
    <w:rsid w:val="00CD3AFB"/>
    <w:rsid w:val="00CE2B63"/>
    <w:rsid w:val="00D36203"/>
    <w:rsid w:val="00D90839"/>
    <w:rsid w:val="00D931F3"/>
    <w:rsid w:val="00DA259B"/>
    <w:rsid w:val="00DC259C"/>
    <w:rsid w:val="00DD5F7F"/>
    <w:rsid w:val="00DF5D25"/>
    <w:rsid w:val="00E01899"/>
    <w:rsid w:val="00E612A2"/>
    <w:rsid w:val="00E7249B"/>
    <w:rsid w:val="00E9694D"/>
    <w:rsid w:val="00ED3970"/>
    <w:rsid w:val="00EE4BE8"/>
    <w:rsid w:val="00F03445"/>
    <w:rsid w:val="00F71937"/>
    <w:rsid w:val="00F73FFC"/>
    <w:rsid w:val="00F81520"/>
    <w:rsid w:val="00F938A4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D0B8A"/>
  <w15:chartTrackingRefBased/>
  <w15:docId w15:val="{A85DE3E9-3EBD-43FF-AFB8-B9FFDA11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1937"/>
    <w:pPr>
      <w:spacing w:after="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4D5BBD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D5BB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D5BB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5BBD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5BB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5BB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D5BB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0BF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8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AF9874-9ED6-4191-9C12-1B0E424881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2B9C95-08E6-41F0-ABC2-1491E08936AB}"/>
</file>

<file path=customXml/itemProps3.xml><?xml version="1.0" encoding="utf-8"?>
<ds:datastoreItem xmlns:ds="http://schemas.openxmlformats.org/officeDocument/2006/customXml" ds:itemID="{AD68E29D-CB8D-40B4-BACF-424B13F11C35}"/>
</file>

<file path=customXml/itemProps4.xml><?xml version="1.0" encoding="utf-8"?>
<ds:datastoreItem xmlns:ds="http://schemas.openxmlformats.org/officeDocument/2006/customXml" ds:itemID="{80BDDC98-B3CA-4F46-99AE-05F1120F5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Paasch, Armin</dc:creator>
  <cp:keywords/>
  <dc:description/>
  <cp:lastModifiedBy>Paasch, Armin</cp:lastModifiedBy>
  <cp:revision>4</cp:revision>
  <dcterms:created xsi:type="dcterms:W3CDTF">2020-10-29T09:44:00Z</dcterms:created>
  <dcterms:modified xsi:type="dcterms:W3CDTF">2020-10-29T09:45:00Z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