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EC465" w14:textId="77777777" w:rsidR="004F489A" w:rsidRDefault="004F489A" w:rsidP="004F489A">
      <w:pPr>
        <w:jc w:val="center"/>
        <w:rPr>
          <w:rFonts w:ascii="Calibri" w:hAnsi="Calibri" w:cs="Calibri"/>
          <w:b/>
          <w:bCs/>
          <w:color w:val="000000"/>
          <w:sz w:val="24"/>
          <w:lang w:val="en-US"/>
        </w:rPr>
      </w:pPr>
      <w:r w:rsidRPr="00130854">
        <w:rPr>
          <w:rFonts w:ascii="Calibri" w:hAnsi="Calibri" w:cs="Calibri"/>
          <w:b/>
          <w:bCs/>
          <w:color w:val="000000"/>
          <w:sz w:val="24"/>
          <w:lang w:val="en-US"/>
        </w:rPr>
        <w:t>Open-ended intergovernmental working group on transnational corporations and other business enterprises with respect to human rights</w:t>
      </w:r>
    </w:p>
    <w:p w14:paraId="35E7E0C2" w14:textId="77777777" w:rsidR="00C846E4" w:rsidRPr="00130854" w:rsidRDefault="00C846E4" w:rsidP="004F489A">
      <w:pPr>
        <w:jc w:val="center"/>
        <w:rPr>
          <w:rFonts w:ascii="Calibri" w:hAnsi="Calibri" w:cs="Calibri"/>
          <w:sz w:val="24"/>
          <w:lang w:val="en-US"/>
        </w:rPr>
      </w:pPr>
    </w:p>
    <w:p w14:paraId="38D11A81" w14:textId="77777777" w:rsidR="004F489A" w:rsidRPr="00130854" w:rsidRDefault="004F489A" w:rsidP="004F489A">
      <w:pPr>
        <w:jc w:val="center"/>
        <w:rPr>
          <w:rFonts w:ascii="Calibri" w:hAnsi="Calibri" w:cs="Calibri"/>
          <w:sz w:val="24"/>
          <w:lang w:val="en-US"/>
        </w:rPr>
      </w:pPr>
      <w:r w:rsidRPr="00130854">
        <w:rPr>
          <w:rFonts w:ascii="Calibri" w:hAnsi="Calibri" w:cs="Calibri"/>
          <w:b/>
          <w:bCs/>
          <w:i/>
          <w:iCs/>
          <w:color w:val="000000"/>
          <w:sz w:val="24"/>
          <w:lang w:val="en-US"/>
        </w:rPr>
        <w:t>Fifth session (14-18 October 2019)</w:t>
      </w:r>
    </w:p>
    <w:p w14:paraId="48F2891A" w14:textId="77777777" w:rsidR="004F489A" w:rsidRDefault="004F489A" w:rsidP="004F489A">
      <w:pPr>
        <w:jc w:val="both"/>
        <w:rPr>
          <w:rFonts w:ascii="Calibri" w:hAnsi="Calibri"/>
          <w:color w:val="000000"/>
          <w:szCs w:val="22"/>
          <w:lang w:val="en-US"/>
        </w:rPr>
      </w:pPr>
    </w:p>
    <w:p w14:paraId="58A72936" w14:textId="5AFA0338" w:rsidR="00C846E4" w:rsidRPr="00AF0B77" w:rsidRDefault="003F43D9" w:rsidP="00C846E4">
      <w:pPr>
        <w:jc w:val="center"/>
        <w:rPr>
          <w:rFonts w:ascii="Calibri" w:hAnsi="Calibri"/>
          <w:b/>
          <w:i/>
          <w:color w:val="000000"/>
          <w:szCs w:val="22"/>
          <w:lang w:val="en-US"/>
        </w:rPr>
      </w:pPr>
      <w:r>
        <w:rPr>
          <w:rFonts w:ascii="Calibri" w:hAnsi="Calibri"/>
          <w:b/>
          <w:i/>
          <w:color w:val="000000"/>
          <w:szCs w:val="22"/>
          <w:lang w:val="en-US"/>
        </w:rPr>
        <w:t>Preamble and Article 1 D</w:t>
      </w:r>
      <w:r w:rsidR="00AF0B77" w:rsidRPr="00AF0B77">
        <w:rPr>
          <w:rFonts w:ascii="Calibri" w:hAnsi="Calibri"/>
          <w:b/>
          <w:i/>
          <w:color w:val="000000"/>
          <w:szCs w:val="22"/>
          <w:lang w:val="en-US"/>
        </w:rPr>
        <w:t>efinitions</w:t>
      </w:r>
    </w:p>
    <w:p w14:paraId="76A152A4" w14:textId="77777777" w:rsidR="004F489A" w:rsidRDefault="004F489A" w:rsidP="004F489A">
      <w:pPr>
        <w:jc w:val="both"/>
        <w:rPr>
          <w:rFonts w:ascii="Calibri" w:hAnsi="Calibri"/>
          <w:color w:val="000000"/>
          <w:szCs w:val="22"/>
          <w:lang w:val="en-US"/>
        </w:rPr>
      </w:pPr>
    </w:p>
    <w:p w14:paraId="784C855F" w14:textId="52FEB042" w:rsidR="004E5C00" w:rsidRPr="004E5C00" w:rsidRDefault="004E5C00" w:rsidP="004E5C00">
      <w:pPr>
        <w:jc w:val="both"/>
        <w:rPr>
          <w:rFonts w:ascii="Times New Roman" w:hAnsi="Times New Roman"/>
          <w:sz w:val="20"/>
          <w:szCs w:val="20"/>
          <w:lang w:val="en-US"/>
        </w:rPr>
      </w:pPr>
      <w:r w:rsidRPr="004E5C00">
        <w:rPr>
          <w:rFonts w:ascii="Calibri" w:hAnsi="Calibri"/>
          <w:color w:val="000000"/>
          <w:szCs w:val="22"/>
          <w:lang w:val="en-US"/>
        </w:rPr>
        <w:t xml:space="preserve">This statement is made on behalf of </w:t>
      </w:r>
      <w:proofErr w:type="spellStart"/>
      <w:r w:rsidRPr="004E5C00">
        <w:rPr>
          <w:rFonts w:ascii="Calibri" w:hAnsi="Calibri"/>
          <w:color w:val="000000"/>
          <w:szCs w:val="22"/>
          <w:lang w:val="en-US"/>
        </w:rPr>
        <w:t>WomanKind</w:t>
      </w:r>
      <w:proofErr w:type="spellEnd"/>
      <w:r w:rsidRPr="004E5C00">
        <w:rPr>
          <w:rFonts w:ascii="Calibri" w:hAnsi="Calibri"/>
          <w:color w:val="000000"/>
          <w:szCs w:val="22"/>
          <w:lang w:val="en-US"/>
        </w:rPr>
        <w:t xml:space="preserve"> Worldwide and</w:t>
      </w:r>
      <w:r w:rsidR="00C846E4">
        <w:rPr>
          <w:rFonts w:ascii="Calibri" w:hAnsi="Calibri"/>
          <w:color w:val="000000"/>
          <w:szCs w:val="22"/>
          <w:lang w:val="en-US"/>
        </w:rPr>
        <w:t xml:space="preserve"> of</w:t>
      </w:r>
      <w:r w:rsidRPr="004E5C00">
        <w:rPr>
          <w:rFonts w:ascii="Calibri" w:hAnsi="Calibri"/>
          <w:color w:val="000000"/>
          <w:szCs w:val="22"/>
          <w:lang w:val="en-US"/>
        </w:rPr>
        <w:t xml:space="preserve"> members</w:t>
      </w:r>
      <w:r w:rsidR="00C846E4">
        <w:rPr>
          <w:rStyle w:val="FootnoteReference"/>
          <w:rFonts w:ascii="Calibri" w:hAnsi="Calibri"/>
          <w:color w:val="000000"/>
          <w:szCs w:val="22"/>
        </w:rPr>
        <w:footnoteReference w:id="1"/>
      </w:r>
      <w:r w:rsidRPr="004E5C00">
        <w:rPr>
          <w:rFonts w:ascii="Calibri" w:hAnsi="Calibri"/>
          <w:color w:val="000000"/>
          <w:szCs w:val="22"/>
          <w:lang w:val="en-US"/>
        </w:rPr>
        <w:t xml:space="preserve"> of the #Feminists4bindingtreaty. </w:t>
      </w:r>
      <w:r w:rsidR="003560AF">
        <w:rPr>
          <w:rFonts w:ascii="Calibri" w:hAnsi="Calibri"/>
          <w:color w:val="000000"/>
          <w:szCs w:val="22"/>
          <w:lang w:val="en-US"/>
        </w:rPr>
        <w:t xml:space="preserve">A key UN declaration that is missing from those cited in the </w:t>
      </w:r>
      <w:r w:rsidRPr="004E5C00">
        <w:rPr>
          <w:rFonts w:ascii="Calibri" w:hAnsi="Calibri"/>
          <w:color w:val="000000"/>
          <w:szCs w:val="22"/>
          <w:lang w:val="en-US"/>
        </w:rPr>
        <w:t xml:space="preserve">Preamble </w:t>
      </w:r>
      <w:r w:rsidR="003560AF">
        <w:rPr>
          <w:rFonts w:ascii="Calibri" w:hAnsi="Calibri"/>
          <w:color w:val="000000"/>
          <w:szCs w:val="22"/>
          <w:lang w:val="en-US"/>
        </w:rPr>
        <w:t xml:space="preserve">is </w:t>
      </w:r>
      <w:r w:rsidRPr="004E5C00">
        <w:rPr>
          <w:rFonts w:ascii="Calibri" w:hAnsi="Calibri"/>
          <w:color w:val="000000"/>
          <w:szCs w:val="22"/>
          <w:lang w:val="en-US"/>
        </w:rPr>
        <w:t xml:space="preserve">the Declaration on the Right and Responsibility of Individuals, Groups and Organs of Society to Promote and Protect Universally Recognized Human Rights and Fundamental Freedoms (commonly </w:t>
      </w:r>
      <w:r w:rsidR="003560AF">
        <w:rPr>
          <w:rFonts w:ascii="Calibri" w:hAnsi="Calibri"/>
          <w:color w:val="000000"/>
          <w:szCs w:val="22"/>
          <w:lang w:val="en-US"/>
        </w:rPr>
        <w:t>known</w:t>
      </w:r>
      <w:r w:rsidRPr="004E5C00">
        <w:rPr>
          <w:rFonts w:ascii="Calibri" w:hAnsi="Calibri"/>
          <w:color w:val="000000"/>
          <w:szCs w:val="22"/>
          <w:lang w:val="en-US"/>
        </w:rPr>
        <w:t xml:space="preserve"> as the </w:t>
      </w:r>
      <w:r w:rsidR="003560AF">
        <w:rPr>
          <w:rFonts w:ascii="Calibri" w:hAnsi="Calibri"/>
          <w:color w:val="000000"/>
          <w:szCs w:val="22"/>
          <w:lang w:val="en-US"/>
        </w:rPr>
        <w:t xml:space="preserve">UN </w:t>
      </w:r>
      <w:r w:rsidRPr="004E5C00">
        <w:rPr>
          <w:rFonts w:ascii="Calibri" w:hAnsi="Calibri"/>
          <w:color w:val="000000"/>
          <w:szCs w:val="22"/>
          <w:lang w:val="en-US"/>
        </w:rPr>
        <w:t>Declaration on Human Rights Defenders).</w:t>
      </w:r>
      <w:r w:rsidR="00F248C1">
        <w:rPr>
          <w:rStyle w:val="FootnoteReference"/>
          <w:rFonts w:ascii="Calibri" w:hAnsi="Calibri"/>
          <w:color w:val="000000"/>
          <w:szCs w:val="22"/>
        </w:rPr>
        <w:footnoteReference w:id="2"/>
      </w:r>
      <w:r w:rsidR="003560AF">
        <w:rPr>
          <w:rFonts w:ascii="Calibri" w:hAnsi="Calibri"/>
          <w:color w:val="000000"/>
          <w:szCs w:val="22"/>
          <w:lang w:val="en-US"/>
        </w:rPr>
        <w:t xml:space="preserve"> The Preamble needs to recall this declaration too.</w:t>
      </w:r>
      <w:r w:rsidRPr="004E5C00">
        <w:rPr>
          <w:rFonts w:ascii="Calibri" w:hAnsi="Calibri"/>
          <w:color w:val="000000"/>
          <w:szCs w:val="22"/>
          <w:lang w:val="en-US"/>
        </w:rPr>
        <w:t xml:space="preserve"> It should also connect the role of human rights defenders with a corresponding State duty to take all appropriate measures to ensure an enabling and safe environment for the exercise of such role. Such duty is derived from the State’s prim</w:t>
      </w:r>
      <w:r w:rsidR="0074562F">
        <w:rPr>
          <w:rFonts w:ascii="Calibri" w:hAnsi="Calibri"/>
          <w:color w:val="000000"/>
          <w:szCs w:val="22"/>
          <w:lang w:val="en-US"/>
        </w:rPr>
        <w:t>e</w:t>
      </w:r>
      <w:r w:rsidRPr="004E5C00">
        <w:rPr>
          <w:rFonts w:ascii="Calibri" w:hAnsi="Calibri"/>
          <w:color w:val="000000"/>
          <w:szCs w:val="22"/>
          <w:lang w:val="en-US"/>
        </w:rPr>
        <w:t xml:space="preserve"> obligation to protect all human rights, which includes guaranteeing the right of everyone, individually and in association with others, to promote and strive for the protection and realization of human rights and fundamental freedoms at the national and international level.</w:t>
      </w:r>
      <w:r w:rsidR="008E4FDA">
        <w:rPr>
          <w:rStyle w:val="FootnoteReference"/>
          <w:rFonts w:ascii="Calibri" w:hAnsi="Calibri"/>
          <w:color w:val="000000"/>
          <w:szCs w:val="22"/>
        </w:rPr>
        <w:footnoteReference w:id="3"/>
      </w:r>
    </w:p>
    <w:p w14:paraId="2AA582A0" w14:textId="77777777" w:rsidR="004E5C00" w:rsidRPr="004E5C00" w:rsidRDefault="004E5C00" w:rsidP="004E5C00">
      <w:pPr>
        <w:jc w:val="both"/>
        <w:rPr>
          <w:rFonts w:ascii="Times New Roman" w:hAnsi="Times New Roman"/>
          <w:sz w:val="20"/>
          <w:szCs w:val="20"/>
          <w:lang w:val="en-US"/>
        </w:rPr>
      </w:pPr>
      <w:r w:rsidRPr="004E5C00">
        <w:rPr>
          <w:rFonts w:ascii="Calibri" w:hAnsi="Calibri"/>
          <w:color w:val="000000"/>
          <w:szCs w:val="22"/>
          <w:lang w:val="en-US"/>
        </w:rPr>
        <w:t> </w:t>
      </w:r>
    </w:p>
    <w:p w14:paraId="2A910A5E" w14:textId="77777777" w:rsidR="004E5C00" w:rsidRPr="004E5C00" w:rsidRDefault="004E5C00" w:rsidP="004E5C00">
      <w:pPr>
        <w:jc w:val="both"/>
        <w:rPr>
          <w:rFonts w:ascii="Times New Roman" w:hAnsi="Times New Roman"/>
          <w:sz w:val="20"/>
          <w:szCs w:val="20"/>
          <w:lang w:val="en-US"/>
        </w:rPr>
      </w:pPr>
      <w:r w:rsidRPr="004E5C00">
        <w:rPr>
          <w:rFonts w:ascii="Calibri" w:hAnsi="Calibri"/>
          <w:color w:val="000000"/>
          <w:szCs w:val="22"/>
          <w:lang w:val="en-US"/>
        </w:rPr>
        <w:t xml:space="preserve">In line with other major human rights treaties, the Preamble should also set out in a more balanced way the context and necessity for the development of the Instrument, noting the global concern for the continuing business-related human rights violations and abuses, and human rights implications of business-related environmental damage. Similarly, the Preamble should </w:t>
      </w:r>
      <w:proofErr w:type="spellStart"/>
      <w:r w:rsidRPr="004E5C00">
        <w:rPr>
          <w:rFonts w:ascii="Calibri" w:hAnsi="Calibri"/>
          <w:color w:val="000000"/>
          <w:szCs w:val="22"/>
          <w:lang w:val="en-US"/>
        </w:rPr>
        <w:t>recognise</w:t>
      </w:r>
      <w:proofErr w:type="spellEnd"/>
      <w:r w:rsidRPr="004E5C00">
        <w:rPr>
          <w:rFonts w:ascii="Calibri" w:hAnsi="Calibri"/>
          <w:color w:val="000000"/>
          <w:szCs w:val="22"/>
          <w:lang w:val="en-US"/>
        </w:rPr>
        <w:t xml:space="preserve"> the need for an inclusive, integrated and gender-responsive approach to ensure robust regulation in practice. </w:t>
      </w:r>
      <w:r w:rsidRPr="004E5C00">
        <w:rPr>
          <w:rFonts w:ascii="Calibri" w:hAnsi="Calibri"/>
          <w:b/>
          <w:bCs/>
          <w:color w:val="000000"/>
          <w:szCs w:val="22"/>
          <w:lang w:val="en-US"/>
        </w:rPr>
        <w:t> </w:t>
      </w:r>
    </w:p>
    <w:p w14:paraId="1947949D" w14:textId="77777777" w:rsidR="004E5C00" w:rsidRPr="004E5C00" w:rsidRDefault="004E5C00" w:rsidP="004E5C00">
      <w:pPr>
        <w:jc w:val="both"/>
        <w:rPr>
          <w:rFonts w:ascii="Times New Roman" w:hAnsi="Times New Roman"/>
          <w:sz w:val="20"/>
          <w:szCs w:val="20"/>
          <w:lang w:val="en-US"/>
        </w:rPr>
      </w:pPr>
      <w:r w:rsidRPr="004E5C00">
        <w:rPr>
          <w:rFonts w:ascii="Calibri" w:hAnsi="Calibri"/>
          <w:b/>
          <w:bCs/>
          <w:color w:val="000000"/>
          <w:szCs w:val="22"/>
          <w:lang w:val="en-US"/>
        </w:rPr>
        <w:t> </w:t>
      </w:r>
    </w:p>
    <w:p w14:paraId="66C4A6F3" w14:textId="11DA0BC7" w:rsidR="004E5C00" w:rsidRPr="004E5C00" w:rsidRDefault="00796F4D" w:rsidP="004E5C00">
      <w:pPr>
        <w:jc w:val="both"/>
        <w:rPr>
          <w:rFonts w:ascii="Calibri" w:hAnsi="Calibri"/>
          <w:color w:val="000000"/>
          <w:szCs w:val="22"/>
        </w:rPr>
      </w:pPr>
      <w:r>
        <w:rPr>
          <w:rFonts w:ascii="Calibri" w:hAnsi="Calibri"/>
          <w:color w:val="000000"/>
          <w:szCs w:val="22"/>
          <w:lang w:val="en-US"/>
        </w:rPr>
        <w:t xml:space="preserve">With regard to </w:t>
      </w:r>
      <w:r w:rsidR="004E5C00" w:rsidRPr="004E5C00">
        <w:rPr>
          <w:rFonts w:ascii="Calibri" w:hAnsi="Calibri"/>
          <w:color w:val="000000"/>
          <w:szCs w:val="22"/>
          <w:lang w:val="en-US"/>
        </w:rPr>
        <w:t xml:space="preserve">definitions, </w:t>
      </w:r>
      <w:r>
        <w:rPr>
          <w:rFonts w:ascii="Calibri" w:hAnsi="Calibri"/>
          <w:color w:val="000000"/>
          <w:szCs w:val="22"/>
          <w:lang w:val="en-US"/>
        </w:rPr>
        <w:t xml:space="preserve">we note that </w:t>
      </w:r>
      <w:r w:rsidR="004E5C00" w:rsidRPr="004E5C00">
        <w:rPr>
          <w:rFonts w:ascii="Calibri" w:hAnsi="Calibri"/>
          <w:color w:val="000000"/>
          <w:szCs w:val="22"/>
          <w:lang w:val="en-US"/>
        </w:rPr>
        <w:t>the use of the term “contractual relationships” in article 1.4 is too restrictive to define the parameters of effective human rights due diligence. The term “business relationships”</w:t>
      </w:r>
      <w:r w:rsidR="003C728A">
        <w:rPr>
          <w:rStyle w:val="FootnoteReference"/>
          <w:rFonts w:ascii="Calibri" w:hAnsi="Calibri"/>
          <w:color w:val="000000"/>
          <w:szCs w:val="22"/>
        </w:rPr>
        <w:footnoteReference w:id="4"/>
      </w:r>
      <w:r w:rsidR="004E5C00" w:rsidRPr="004E5C00">
        <w:rPr>
          <w:rFonts w:ascii="Calibri" w:hAnsi="Calibri"/>
          <w:color w:val="000000"/>
          <w:szCs w:val="22"/>
          <w:lang w:val="en-US"/>
        </w:rPr>
        <w:t xml:space="preserve"> would more accurately </w:t>
      </w:r>
      <w:proofErr w:type="spellStart"/>
      <w:r w:rsidR="004E5C00" w:rsidRPr="004E5C00">
        <w:rPr>
          <w:rFonts w:ascii="Calibri" w:hAnsi="Calibri"/>
          <w:color w:val="000000"/>
          <w:szCs w:val="22"/>
          <w:lang w:val="en-US"/>
        </w:rPr>
        <w:t>characteri</w:t>
      </w:r>
      <w:r>
        <w:rPr>
          <w:rFonts w:ascii="Calibri" w:hAnsi="Calibri"/>
          <w:color w:val="000000"/>
          <w:szCs w:val="22"/>
          <w:lang w:val="en-US"/>
        </w:rPr>
        <w:t>s</w:t>
      </w:r>
      <w:r w:rsidR="004E5C00" w:rsidRPr="004E5C00">
        <w:rPr>
          <w:rFonts w:ascii="Calibri" w:hAnsi="Calibri"/>
          <w:color w:val="000000"/>
          <w:szCs w:val="22"/>
          <w:lang w:val="en-US"/>
        </w:rPr>
        <w:t>e</w:t>
      </w:r>
      <w:proofErr w:type="spellEnd"/>
      <w:r w:rsidR="004E5C00" w:rsidRPr="004E5C00">
        <w:rPr>
          <w:rFonts w:ascii="Calibri" w:hAnsi="Calibri"/>
          <w:color w:val="000000"/>
          <w:szCs w:val="22"/>
          <w:lang w:val="en-US"/>
        </w:rPr>
        <w:t xml:space="preserve"> the scope of human rights due diligence responsibilities as elaborated by Treaty </w:t>
      </w:r>
      <w:r w:rsidR="004E5C00" w:rsidRPr="004E5C00">
        <w:rPr>
          <w:rFonts w:ascii="Calibri" w:hAnsi="Calibri"/>
          <w:color w:val="000000"/>
          <w:szCs w:val="22"/>
        </w:rPr>
        <w:t>Bodies, Special Procedures, and the UNGPs.</w:t>
      </w:r>
      <w:r w:rsidR="003C728A">
        <w:rPr>
          <w:rStyle w:val="FootnoteReference"/>
          <w:rFonts w:ascii="Calibri" w:hAnsi="Calibri"/>
          <w:color w:val="000000"/>
          <w:szCs w:val="22"/>
        </w:rPr>
        <w:footnoteReference w:id="5"/>
      </w:r>
      <w:r w:rsidR="004E5C00" w:rsidRPr="004E5C00">
        <w:rPr>
          <w:rFonts w:ascii="Calibri" w:hAnsi="Calibri"/>
          <w:color w:val="000000"/>
          <w:szCs w:val="22"/>
          <w:vertAlign w:val="superscript"/>
        </w:rPr>
        <w:t xml:space="preserve"> </w:t>
      </w:r>
      <w:r w:rsidR="004E5C00" w:rsidRPr="004E5C00">
        <w:rPr>
          <w:rFonts w:ascii="Calibri" w:hAnsi="Calibri"/>
          <w:color w:val="000000"/>
          <w:szCs w:val="22"/>
        </w:rPr>
        <w:t>Human rights due diligence should be required not only for the company’s own activities but also the activities of other entities “directly linked to its operations, product or services by its business relationships,” other entities over which it has influence (including subsidiaries), and the company’s business partners (including suppliers).</w:t>
      </w:r>
      <w:r w:rsidR="003C728A">
        <w:rPr>
          <w:rStyle w:val="FootnoteReference"/>
          <w:rFonts w:ascii="Calibri" w:hAnsi="Calibri"/>
          <w:color w:val="000000"/>
          <w:szCs w:val="22"/>
        </w:rPr>
        <w:footnoteReference w:id="6"/>
      </w:r>
      <w:r w:rsidR="004E5C00" w:rsidRPr="004E5C00">
        <w:rPr>
          <w:rFonts w:ascii="Calibri" w:hAnsi="Calibri"/>
          <w:color w:val="000000"/>
          <w:szCs w:val="22"/>
        </w:rPr>
        <w:t xml:space="preserve"> Human rights due diligence </w:t>
      </w:r>
      <w:r>
        <w:rPr>
          <w:rFonts w:ascii="Calibri" w:hAnsi="Calibri"/>
          <w:color w:val="000000"/>
          <w:szCs w:val="22"/>
        </w:rPr>
        <w:t xml:space="preserve">also  </w:t>
      </w:r>
      <w:r w:rsidR="004E5C00" w:rsidRPr="004E5C00">
        <w:rPr>
          <w:rFonts w:ascii="Calibri" w:hAnsi="Calibri"/>
          <w:color w:val="000000"/>
          <w:szCs w:val="22"/>
        </w:rPr>
        <w:t>applies to activities beyond the first tier in the supply chain.</w:t>
      </w:r>
      <w:r w:rsidR="003C728A">
        <w:rPr>
          <w:rStyle w:val="FootnoteReference"/>
          <w:rFonts w:ascii="Calibri" w:hAnsi="Calibri"/>
          <w:color w:val="000000"/>
          <w:szCs w:val="22"/>
        </w:rPr>
        <w:footnoteReference w:id="7"/>
      </w:r>
    </w:p>
    <w:p w14:paraId="1F7FD644" w14:textId="77777777" w:rsidR="004E5C00" w:rsidRPr="004E5C00" w:rsidRDefault="004E5C00" w:rsidP="004E5C00">
      <w:pPr>
        <w:jc w:val="both"/>
        <w:rPr>
          <w:rFonts w:ascii="Calibri" w:hAnsi="Calibri"/>
          <w:color w:val="000000"/>
          <w:szCs w:val="22"/>
          <w:lang w:val="en-US"/>
        </w:rPr>
      </w:pPr>
    </w:p>
    <w:p w14:paraId="064BC300" w14:textId="7EF809F7" w:rsidR="004E5C00" w:rsidRPr="004E5C00" w:rsidRDefault="00796F4D" w:rsidP="004E5C00">
      <w:pPr>
        <w:jc w:val="both"/>
        <w:rPr>
          <w:rFonts w:ascii="Calibri" w:hAnsi="Calibri"/>
          <w:color w:val="000000"/>
          <w:szCs w:val="22"/>
          <w:lang w:val="en-US"/>
        </w:rPr>
      </w:pPr>
      <w:r>
        <w:rPr>
          <w:rFonts w:ascii="Calibri" w:hAnsi="Calibri"/>
          <w:color w:val="000000"/>
          <w:szCs w:val="22"/>
          <w:lang w:val="en-US"/>
        </w:rPr>
        <w:t>We welcome t</w:t>
      </w:r>
      <w:r w:rsidR="004E5C00" w:rsidRPr="004E5C00">
        <w:rPr>
          <w:rFonts w:ascii="Calibri" w:hAnsi="Calibri"/>
          <w:color w:val="000000"/>
          <w:szCs w:val="22"/>
          <w:lang w:val="en-US"/>
        </w:rPr>
        <w:t xml:space="preserve">he deletion of the reference to “profit” making activities from the definition of business activities </w:t>
      </w:r>
      <w:r w:rsidR="00CC2247">
        <w:rPr>
          <w:rFonts w:ascii="Calibri" w:hAnsi="Calibri"/>
          <w:color w:val="000000"/>
          <w:szCs w:val="22"/>
          <w:lang w:val="en-US"/>
        </w:rPr>
        <w:t xml:space="preserve">in article 1.3 </w:t>
      </w:r>
      <w:r>
        <w:rPr>
          <w:rFonts w:ascii="Calibri" w:hAnsi="Calibri"/>
          <w:color w:val="000000"/>
          <w:szCs w:val="22"/>
          <w:lang w:val="en-US"/>
        </w:rPr>
        <w:t>since</w:t>
      </w:r>
      <w:r w:rsidR="004E5C00" w:rsidRPr="004E5C00">
        <w:rPr>
          <w:rFonts w:ascii="Calibri" w:hAnsi="Calibri"/>
          <w:color w:val="000000"/>
          <w:szCs w:val="22"/>
          <w:lang w:val="en-US"/>
        </w:rPr>
        <w:t xml:space="preserve"> it created uncertainty as to the coverage of certain activities</w:t>
      </w:r>
      <w:r>
        <w:rPr>
          <w:rFonts w:ascii="Calibri" w:hAnsi="Calibri"/>
          <w:color w:val="000000"/>
          <w:szCs w:val="22"/>
          <w:lang w:val="en-US"/>
        </w:rPr>
        <w:t>,</w:t>
      </w:r>
      <w:r w:rsidR="004E5C00" w:rsidRPr="004E5C00">
        <w:rPr>
          <w:rFonts w:ascii="Calibri" w:hAnsi="Calibri"/>
          <w:color w:val="000000"/>
          <w:szCs w:val="22"/>
          <w:lang w:val="en-US"/>
        </w:rPr>
        <w:t xml:space="preserve"> such as </w:t>
      </w:r>
      <w:r>
        <w:rPr>
          <w:rFonts w:ascii="Calibri" w:hAnsi="Calibri"/>
          <w:color w:val="000000"/>
          <w:szCs w:val="22"/>
          <w:lang w:val="en-US"/>
        </w:rPr>
        <w:t xml:space="preserve">those by </w:t>
      </w:r>
      <w:r w:rsidR="004E5C00" w:rsidRPr="004E5C00">
        <w:rPr>
          <w:rFonts w:ascii="Calibri" w:hAnsi="Calibri"/>
          <w:color w:val="000000"/>
          <w:szCs w:val="22"/>
          <w:lang w:val="en-US"/>
        </w:rPr>
        <w:t>State-owned enterprises</w:t>
      </w:r>
      <w:r>
        <w:rPr>
          <w:rFonts w:ascii="Calibri" w:hAnsi="Calibri"/>
          <w:color w:val="000000"/>
          <w:szCs w:val="22"/>
          <w:lang w:val="en-US"/>
        </w:rPr>
        <w:t>,</w:t>
      </w:r>
      <w:r w:rsidR="004E5C00" w:rsidRPr="004E5C00">
        <w:rPr>
          <w:rFonts w:ascii="Calibri" w:hAnsi="Calibri"/>
          <w:color w:val="000000"/>
          <w:szCs w:val="22"/>
          <w:lang w:val="en-US"/>
        </w:rPr>
        <w:t xml:space="preserve"> from the scope. To clarify the scope further, in line with the approach set out in the UNGP Reporting Framework and its implementation guidance, activities covered </w:t>
      </w:r>
      <w:r>
        <w:rPr>
          <w:rFonts w:ascii="Calibri" w:hAnsi="Calibri"/>
          <w:color w:val="000000"/>
          <w:szCs w:val="22"/>
          <w:lang w:val="en-US"/>
        </w:rPr>
        <w:t xml:space="preserve">under the </w:t>
      </w:r>
      <w:r w:rsidR="0074562F">
        <w:rPr>
          <w:rFonts w:ascii="Calibri" w:hAnsi="Calibri"/>
          <w:color w:val="000000"/>
          <w:szCs w:val="22"/>
          <w:lang w:val="en-US"/>
        </w:rPr>
        <w:t>legally binding instrument</w:t>
      </w:r>
      <w:r>
        <w:rPr>
          <w:rFonts w:ascii="Calibri" w:hAnsi="Calibri"/>
          <w:color w:val="000000"/>
          <w:szCs w:val="22"/>
          <w:lang w:val="en-US"/>
        </w:rPr>
        <w:t xml:space="preserve"> </w:t>
      </w:r>
      <w:r w:rsidR="004E5C00" w:rsidRPr="004E5C00">
        <w:rPr>
          <w:rFonts w:ascii="Calibri" w:hAnsi="Calibri"/>
          <w:color w:val="000000"/>
          <w:szCs w:val="22"/>
          <w:lang w:val="en-US"/>
        </w:rPr>
        <w:t>should be related to everything linked to the company’s products and services including</w:t>
      </w:r>
      <w:r>
        <w:rPr>
          <w:rFonts w:ascii="Calibri" w:hAnsi="Calibri"/>
          <w:color w:val="000000"/>
          <w:szCs w:val="22"/>
          <w:lang w:val="en-US"/>
        </w:rPr>
        <w:t>,</w:t>
      </w:r>
      <w:r w:rsidR="004E5C00" w:rsidRPr="004E5C00">
        <w:rPr>
          <w:rFonts w:ascii="Calibri" w:hAnsi="Calibri"/>
          <w:color w:val="000000"/>
          <w:szCs w:val="22"/>
          <w:lang w:val="en-US"/>
        </w:rPr>
        <w:t xml:space="preserve"> for instance, government relations/lobbying and engagement with stakeholders.</w:t>
      </w:r>
      <w:r w:rsidR="00015E8E">
        <w:rPr>
          <w:rStyle w:val="FootnoteReference"/>
          <w:rFonts w:ascii="Calibri" w:hAnsi="Calibri"/>
          <w:color w:val="000000"/>
          <w:szCs w:val="22"/>
        </w:rPr>
        <w:footnoteReference w:id="8"/>
      </w:r>
    </w:p>
    <w:p w14:paraId="238497BD" w14:textId="77777777" w:rsidR="004E5C00" w:rsidRPr="004E5C00" w:rsidRDefault="004E5C00" w:rsidP="004E5C00">
      <w:pPr>
        <w:jc w:val="both"/>
        <w:rPr>
          <w:rFonts w:ascii="Calibri" w:hAnsi="Calibri"/>
          <w:color w:val="000000"/>
          <w:szCs w:val="22"/>
          <w:lang w:val="en-US"/>
        </w:rPr>
      </w:pPr>
    </w:p>
    <w:p w14:paraId="6A1D040E" w14:textId="77777777" w:rsidR="004E5C00" w:rsidRPr="004E5C00" w:rsidRDefault="004E5C00" w:rsidP="004E5C00">
      <w:pPr>
        <w:jc w:val="both"/>
        <w:rPr>
          <w:rFonts w:ascii="Times New Roman" w:hAnsi="Times New Roman"/>
          <w:sz w:val="20"/>
          <w:szCs w:val="20"/>
          <w:lang w:val="en-US"/>
        </w:rPr>
      </w:pPr>
    </w:p>
    <w:p w14:paraId="76316FB0" w14:textId="77777777" w:rsidR="004E5C00" w:rsidRPr="004E5C00" w:rsidRDefault="004E5C00" w:rsidP="004E5C00">
      <w:pPr>
        <w:rPr>
          <w:rFonts w:ascii="Times New Roman" w:eastAsia="Times New Roman" w:hAnsi="Times New Roman"/>
          <w:sz w:val="20"/>
          <w:szCs w:val="20"/>
          <w:lang w:val="en-US"/>
        </w:rPr>
      </w:pPr>
    </w:p>
    <w:p w14:paraId="64A4DEB8" w14:textId="77777777" w:rsidR="00442E10" w:rsidRPr="00796F4D" w:rsidRDefault="00442E10">
      <w:pPr>
        <w:rPr>
          <w:lang w:val="en-US"/>
        </w:rPr>
      </w:pPr>
    </w:p>
    <w:sectPr w:rsidR="00442E10" w:rsidRPr="00796F4D" w:rsidSect="00C846E4">
      <w:headerReference w:type="default" r:id="rId9"/>
      <w:footerReference w:type="even" r:id="rId10"/>
      <w:footerReference w:type="default" r:id="rId11"/>
      <w:pgSz w:w="11900" w:h="16840"/>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39C32F" w15:done="0"/>
  <w15:commentEx w15:paraId="54D79668" w15:done="0"/>
  <w15:commentEx w15:paraId="41A603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9C32F" w16cid:durableId="214EDB56"/>
  <w16cid:commentId w16cid:paraId="54D79668" w16cid:durableId="214EDD32"/>
  <w16cid:commentId w16cid:paraId="41A60383" w16cid:durableId="214EDE0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469E0" w14:textId="77777777" w:rsidR="00DB0333" w:rsidRDefault="00DB0333" w:rsidP="00AF0B77">
      <w:r>
        <w:separator/>
      </w:r>
    </w:p>
  </w:endnote>
  <w:endnote w:type="continuationSeparator" w:id="0">
    <w:p w14:paraId="699D10F7" w14:textId="77777777" w:rsidR="00DB0333" w:rsidRDefault="00DB0333" w:rsidP="00A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26D8" w14:textId="77777777" w:rsidR="00014ED7" w:rsidRDefault="00014ED7" w:rsidP="00014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89BAD" w14:textId="77777777" w:rsidR="00014ED7" w:rsidRDefault="00014ED7" w:rsidP="00014E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E69F" w14:textId="0C5234B7" w:rsidR="00014ED7" w:rsidRPr="00014ED7" w:rsidRDefault="00014ED7" w:rsidP="00014ED7">
    <w:pPr>
      <w:pStyle w:val="Footer"/>
      <w:framePr w:wrap="around" w:vAnchor="text" w:hAnchor="margin" w:xAlign="right" w:y="1"/>
      <w:rPr>
        <w:rStyle w:val="PageNumber"/>
        <w:rFonts w:asciiTheme="majorHAnsi" w:hAnsiTheme="majorHAnsi"/>
      </w:rPr>
    </w:pPr>
    <w:r w:rsidRPr="00014ED7">
      <w:rPr>
        <w:rStyle w:val="PageNumber"/>
        <w:rFonts w:asciiTheme="majorHAnsi" w:hAnsiTheme="majorHAnsi"/>
      </w:rPr>
      <w:fldChar w:fldCharType="begin"/>
    </w:r>
    <w:r w:rsidRPr="00014ED7">
      <w:rPr>
        <w:rStyle w:val="PageNumber"/>
        <w:rFonts w:asciiTheme="majorHAnsi" w:hAnsiTheme="majorHAnsi"/>
      </w:rPr>
      <w:instrText xml:space="preserve">PAGE  </w:instrText>
    </w:r>
    <w:r w:rsidRPr="00014ED7">
      <w:rPr>
        <w:rStyle w:val="PageNumber"/>
        <w:rFonts w:asciiTheme="majorHAnsi" w:hAnsiTheme="majorHAnsi"/>
      </w:rPr>
      <w:fldChar w:fldCharType="separate"/>
    </w:r>
    <w:r w:rsidR="007D66DA">
      <w:rPr>
        <w:rStyle w:val="PageNumber"/>
        <w:rFonts w:asciiTheme="majorHAnsi" w:hAnsiTheme="majorHAnsi"/>
        <w:noProof/>
      </w:rPr>
      <w:t>1</w:t>
    </w:r>
    <w:r w:rsidRPr="00014ED7">
      <w:rPr>
        <w:rStyle w:val="PageNumber"/>
        <w:rFonts w:asciiTheme="majorHAnsi" w:hAnsiTheme="majorHAnsi"/>
      </w:rPr>
      <w:fldChar w:fldCharType="end"/>
    </w:r>
    <w:r w:rsidRPr="00014ED7">
      <w:rPr>
        <w:rStyle w:val="PageNumber"/>
        <w:rFonts w:asciiTheme="majorHAnsi" w:hAnsiTheme="majorHAnsi"/>
      </w:rPr>
      <w:t>/2</w:t>
    </w:r>
  </w:p>
  <w:p w14:paraId="4FA63D06" w14:textId="77777777" w:rsidR="00014ED7" w:rsidRDefault="00014ED7" w:rsidP="00014E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E0B9B" w14:textId="77777777" w:rsidR="00DB0333" w:rsidRDefault="00DB0333" w:rsidP="00AF0B77">
      <w:r>
        <w:separator/>
      </w:r>
    </w:p>
  </w:footnote>
  <w:footnote w:type="continuationSeparator" w:id="0">
    <w:p w14:paraId="59C49751" w14:textId="77777777" w:rsidR="00DB0333" w:rsidRDefault="00DB0333" w:rsidP="00AF0B77">
      <w:r>
        <w:continuationSeparator/>
      </w:r>
    </w:p>
  </w:footnote>
  <w:footnote w:id="1">
    <w:p w14:paraId="21F0D121" w14:textId="433EFB7F" w:rsidR="00014ED7" w:rsidRPr="00956FC5" w:rsidRDefault="00014ED7" w:rsidP="00C846E4">
      <w:pPr>
        <w:rPr>
          <w:rFonts w:asciiTheme="majorHAnsi" w:eastAsia="Times New Roman" w:hAnsiTheme="majorHAnsi"/>
          <w:sz w:val="18"/>
          <w:szCs w:val="18"/>
          <w:lang w:val="en-US"/>
        </w:rPr>
      </w:pPr>
      <w:r w:rsidRPr="00956FC5">
        <w:rPr>
          <w:rStyle w:val="FootnoteReference"/>
          <w:szCs w:val="18"/>
        </w:rPr>
        <w:footnoteRef/>
      </w:r>
      <w:r w:rsidRPr="00956FC5">
        <w:rPr>
          <w:sz w:val="18"/>
          <w:szCs w:val="18"/>
        </w:rPr>
        <w:t xml:space="preserve"> </w:t>
      </w:r>
      <w:r w:rsidRPr="00956FC5">
        <w:rPr>
          <w:rFonts w:ascii="Calibri" w:eastAsia="Times New Roman" w:hAnsi="Calibri"/>
          <w:color w:val="000000"/>
          <w:sz w:val="18"/>
          <w:szCs w:val="18"/>
          <w:shd w:val="clear" w:color="auto" w:fill="FFFFFF"/>
          <w:lang w:val="en-US"/>
        </w:rPr>
        <w:t xml:space="preserve">ActionAid International, Anima Mundi Law Initiative, AWID (Association for Women’s Rights in Development), </w:t>
      </w:r>
      <w:proofErr w:type="spellStart"/>
      <w:r w:rsidRPr="00956FC5">
        <w:rPr>
          <w:rFonts w:ascii="Calibri" w:eastAsia="Times New Roman" w:hAnsi="Calibri"/>
          <w:color w:val="000000"/>
          <w:sz w:val="18"/>
          <w:szCs w:val="18"/>
          <w:shd w:val="clear" w:color="auto" w:fill="FFFFFF"/>
          <w:lang w:val="en-US"/>
        </w:rPr>
        <w:t>CaL</w:t>
      </w:r>
      <w:proofErr w:type="spellEnd"/>
      <w:r w:rsidRPr="00956FC5">
        <w:rPr>
          <w:rFonts w:ascii="Calibri" w:eastAsia="Times New Roman" w:hAnsi="Calibri"/>
          <w:color w:val="000000"/>
          <w:sz w:val="18"/>
          <w:szCs w:val="18"/>
          <w:shd w:val="clear" w:color="auto" w:fill="FFFFFF"/>
          <w:lang w:val="en-US"/>
        </w:rPr>
        <w:t xml:space="preserve"> (Coalition of African Lesbians), CAWEE (Center for Accelerated Women’s Empowerment), CELS (Centro de </w:t>
      </w:r>
      <w:proofErr w:type="spellStart"/>
      <w:r w:rsidRPr="00956FC5">
        <w:rPr>
          <w:rFonts w:ascii="Calibri" w:eastAsia="Times New Roman" w:hAnsi="Calibri"/>
          <w:color w:val="000000"/>
          <w:sz w:val="18"/>
          <w:szCs w:val="18"/>
          <w:shd w:val="clear" w:color="auto" w:fill="FFFFFF"/>
          <w:lang w:val="en-US"/>
        </w:rPr>
        <w:t>Estudios</w:t>
      </w:r>
      <w:proofErr w:type="spellEnd"/>
      <w:r w:rsidRPr="00956FC5">
        <w:rPr>
          <w:rFonts w:ascii="Calibri" w:eastAsia="Times New Roman" w:hAnsi="Calibri"/>
          <w:color w:val="000000"/>
          <w:sz w:val="18"/>
          <w:szCs w:val="18"/>
          <w:shd w:val="clear" w:color="auto" w:fill="FFFFFF"/>
          <w:lang w:val="en-US"/>
        </w:rPr>
        <w:t xml:space="preserve"> </w:t>
      </w:r>
      <w:proofErr w:type="spellStart"/>
      <w:r w:rsidRPr="00956FC5">
        <w:rPr>
          <w:rFonts w:ascii="Calibri" w:eastAsia="Times New Roman" w:hAnsi="Calibri"/>
          <w:color w:val="000000"/>
          <w:sz w:val="18"/>
          <w:szCs w:val="18"/>
          <w:shd w:val="clear" w:color="auto" w:fill="FFFFFF"/>
          <w:lang w:val="en-US"/>
        </w:rPr>
        <w:t>Legales</w:t>
      </w:r>
      <w:proofErr w:type="spellEnd"/>
      <w:r w:rsidRPr="00956FC5">
        <w:rPr>
          <w:rFonts w:ascii="Calibri" w:eastAsia="Times New Roman" w:hAnsi="Calibri"/>
          <w:color w:val="000000"/>
          <w:sz w:val="18"/>
          <w:szCs w:val="18"/>
          <w:shd w:val="clear" w:color="auto" w:fill="FFFFFF"/>
          <w:lang w:val="en-US"/>
        </w:rPr>
        <w:t xml:space="preserve"> y </w:t>
      </w:r>
      <w:proofErr w:type="spellStart"/>
      <w:r w:rsidRPr="00956FC5">
        <w:rPr>
          <w:rFonts w:ascii="Calibri" w:eastAsia="Times New Roman" w:hAnsi="Calibri"/>
          <w:color w:val="000000"/>
          <w:sz w:val="18"/>
          <w:szCs w:val="18"/>
          <w:shd w:val="clear" w:color="auto" w:fill="FFFFFF"/>
          <w:lang w:val="en-US"/>
        </w:rPr>
        <w:t>Sociales</w:t>
      </w:r>
      <w:proofErr w:type="spellEnd"/>
      <w:r w:rsidRPr="00956FC5">
        <w:rPr>
          <w:rFonts w:ascii="Calibri" w:eastAsia="Times New Roman" w:hAnsi="Calibri"/>
          <w:color w:val="000000"/>
          <w:sz w:val="18"/>
          <w:szCs w:val="18"/>
          <w:shd w:val="clear" w:color="auto" w:fill="FFFFFF"/>
          <w:lang w:val="en-US"/>
        </w:rPr>
        <w:t>, Argentina), DAWN (Development Alternatives with Women for a New era), Federation of Women Lawyers (FIDA Kenya), FIAN International, FIDH, Franciscans International, Gender and Development Network,</w:t>
      </w:r>
      <w:r w:rsidR="007D66DA">
        <w:rPr>
          <w:rFonts w:ascii="Calibri" w:eastAsia="Times New Roman" w:hAnsi="Calibri"/>
          <w:color w:val="000000"/>
          <w:sz w:val="18"/>
          <w:szCs w:val="18"/>
          <w:shd w:val="clear" w:color="auto" w:fill="FFFFFF"/>
          <w:lang w:val="en-US"/>
        </w:rPr>
        <w:t xml:space="preserve"> </w:t>
      </w:r>
      <w:proofErr w:type="spellStart"/>
      <w:r w:rsidR="007D66DA">
        <w:rPr>
          <w:rFonts w:ascii="Calibri" w:eastAsia="Times New Roman" w:hAnsi="Calibri"/>
          <w:color w:val="000000"/>
          <w:sz w:val="18"/>
          <w:szCs w:val="18"/>
          <w:shd w:val="clear" w:color="auto" w:fill="FFFFFF"/>
          <w:lang w:val="en-US"/>
        </w:rPr>
        <w:t>Manushya</w:t>
      </w:r>
      <w:proofErr w:type="spellEnd"/>
      <w:r w:rsidR="007D66DA">
        <w:rPr>
          <w:rFonts w:ascii="Calibri" w:eastAsia="Times New Roman" w:hAnsi="Calibri"/>
          <w:color w:val="000000"/>
          <w:sz w:val="18"/>
          <w:szCs w:val="18"/>
          <w:shd w:val="clear" w:color="auto" w:fill="FFFFFF"/>
          <w:lang w:val="en-US"/>
        </w:rPr>
        <w:t xml:space="preserve"> Foundation,</w:t>
      </w:r>
      <w:bookmarkStart w:id="0" w:name="_GoBack"/>
      <w:bookmarkEnd w:id="0"/>
      <w:r w:rsidRPr="00956FC5">
        <w:rPr>
          <w:rFonts w:ascii="Calibri" w:eastAsia="Times New Roman" w:hAnsi="Calibri"/>
          <w:color w:val="000000"/>
          <w:sz w:val="18"/>
          <w:szCs w:val="18"/>
          <w:shd w:val="clear" w:color="auto" w:fill="FFFFFF"/>
          <w:lang w:val="en-US"/>
        </w:rPr>
        <w:t xml:space="preserve"> NAPE (National Association of Professional Environmentalists), NAWAD (National </w:t>
      </w:r>
      <w:r w:rsidRPr="00956FC5">
        <w:rPr>
          <w:rFonts w:asciiTheme="majorHAnsi" w:eastAsia="Times New Roman" w:hAnsiTheme="majorHAnsi"/>
          <w:color w:val="000000"/>
          <w:sz w:val="18"/>
          <w:szCs w:val="18"/>
          <w:shd w:val="clear" w:color="auto" w:fill="FFFFFF"/>
          <w:lang w:val="en-US"/>
        </w:rPr>
        <w:t>Association for Women's Action in Development), PODER (Project on Organizing, Development, Education, and Research), SIHA Network - Strategic Initiative for Women in the Horn of Africa, Womankind Worldwide, WILPF - Women’s International League for Peace and Freedom</w:t>
      </w:r>
    </w:p>
  </w:footnote>
  <w:footnote w:id="2">
    <w:p w14:paraId="5015CBA2" w14:textId="031A62F2" w:rsidR="00014ED7" w:rsidRPr="00A53C49" w:rsidRDefault="00014ED7" w:rsidP="00C846E4">
      <w:pPr>
        <w:pStyle w:val="FootnoteText"/>
        <w:rPr>
          <w:rFonts w:asciiTheme="majorHAnsi" w:hAnsiTheme="majorHAnsi"/>
          <w:lang w:val="en-US"/>
        </w:rPr>
      </w:pPr>
      <w:r w:rsidRPr="00956FC5">
        <w:rPr>
          <w:rStyle w:val="FootnoteReference"/>
          <w:rFonts w:asciiTheme="majorHAnsi" w:hAnsiTheme="majorHAnsi"/>
          <w:szCs w:val="18"/>
        </w:rPr>
        <w:footnoteRef/>
      </w:r>
      <w:r w:rsidRPr="00956FC5">
        <w:rPr>
          <w:rFonts w:asciiTheme="majorHAnsi" w:hAnsiTheme="majorHAnsi"/>
        </w:rPr>
        <w:t xml:space="preserve"> </w:t>
      </w:r>
      <w:hyperlink r:id="rId1">
        <w:r w:rsidRPr="00956FC5">
          <w:rPr>
            <w:rFonts w:asciiTheme="majorHAnsi" w:eastAsia="Calibri" w:hAnsiTheme="majorHAnsi" w:cs="Calibri"/>
            <w:color w:val="1155CC"/>
            <w:u w:val="single"/>
          </w:rPr>
          <w:t>https://www.ohchr.org/EN/ProfessionalInterest/Pages/RightAndResponsibility.aspx</w:t>
        </w:r>
      </w:hyperlink>
    </w:p>
  </w:footnote>
  <w:footnote w:id="3">
    <w:p w14:paraId="6B3B7899" w14:textId="4E0933DB" w:rsidR="00014ED7" w:rsidRPr="00A53C49" w:rsidRDefault="00014ED7" w:rsidP="00C846E4">
      <w:pPr>
        <w:pStyle w:val="FootnoteText"/>
        <w:rPr>
          <w:rFonts w:asciiTheme="majorHAnsi" w:hAnsiTheme="majorHAnsi"/>
          <w:lang w:val="en-US"/>
        </w:rPr>
      </w:pPr>
      <w:r w:rsidRPr="00956FC5">
        <w:rPr>
          <w:rStyle w:val="FootnoteReference"/>
          <w:rFonts w:asciiTheme="majorHAnsi" w:hAnsiTheme="majorHAnsi"/>
          <w:szCs w:val="18"/>
        </w:rPr>
        <w:footnoteRef/>
      </w:r>
      <w:r w:rsidRPr="00956FC5">
        <w:rPr>
          <w:rFonts w:asciiTheme="majorHAnsi" w:hAnsiTheme="majorHAnsi"/>
        </w:rPr>
        <w:t xml:space="preserve"> Human rights defenders, A/66/203, 28 July 2011, paras. 54-56, available at: </w:t>
      </w:r>
      <w:hyperlink r:id="rId2">
        <w:r w:rsidRPr="00956FC5">
          <w:rPr>
            <w:rFonts w:asciiTheme="majorHAnsi" w:hAnsiTheme="majorHAnsi"/>
            <w:color w:val="1155CC"/>
            <w:u w:val="single"/>
          </w:rPr>
          <w:t>https://www.un.org/en/ga/search/view_doc.asp?symbol=A/66/203</w:t>
        </w:r>
      </w:hyperlink>
    </w:p>
  </w:footnote>
  <w:footnote w:id="4">
    <w:p w14:paraId="7DA36CE6" w14:textId="6F872E63" w:rsidR="00014ED7" w:rsidRPr="00956FC5" w:rsidRDefault="00014ED7" w:rsidP="003C728A">
      <w:pPr>
        <w:rPr>
          <w:rFonts w:asciiTheme="majorHAnsi" w:eastAsia="Calibri" w:hAnsiTheme="majorHAnsi" w:cs="Calibri"/>
          <w:sz w:val="18"/>
          <w:szCs w:val="18"/>
        </w:rPr>
      </w:pPr>
      <w:r w:rsidRPr="00956FC5">
        <w:rPr>
          <w:rStyle w:val="FootnoteReference"/>
          <w:rFonts w:asciiTheme="majorHAnsi" w:hAnsiTheme="majorHAnsi"/>
          <w:szCs w:val="18"/>
        </w:rPr>
        <w:footnoteRef/>
      </w:r>
      <w:r w:rsidRPr="00956FC5">
        <w:rPr>
          <w:rFonts w:asciiTheme="majorHAnsi" w:hAnsiTheme="majorHAnsi"/>
          <w:sz w:val="18"/>
          <w:szCs w:val="18"/>
        </w:rPr>
        <w:t xml:space="preserve"> </w:t>
      </w:r>
      <w:r w:rsidRPr="00956FC5">
        <w:rPr>
          <w:rFonts w:asciiTheme="majorHAnsi" w:eastAsia="Calibri" w:hAnsiTheme="majorHAnsi" w:cs="Calibri"/>
          <w:sz w:val="18"/>
          <w:szCs w:val="18"/>
        </w:rPr>
        <w:t xml:space="preserve">Guiding Principles on Business and Human Rights, see Principle 17 a), available at: </w:t>
      </w:r>
      <w:hyperlink r:id="rId3">
        <w:r w:rsidRPr="00956FC5">
          <w:rPr>
            <w:rFonts w:asciiTheme="majorHAnsi" w:eastAsia="Calibri" w:hAnsiTheme="majorHAnsi" w:cs="Calibri"/>
            <w:sz w:val="18"/>
            <w:szCs w:val="18"/>
            <w:u w:val="single"/>
          </w:rPr>
          <w:t>https://www.ohchr.org/documents/publications/GuidingprinciplesBusinesshr_eN.pdf</w:t>
        </w:r>
      </w:hyperlink>
    </w:p>
  </w:footnote>
  <w:footnote w:id="5">
    <w:p w14:paraId="33BB11AA" w14:textId="528D58ED" w:rsidR="00014ED7" w:rsidRPr="00956FC5" w:rsidRDefault="00014ED7" w:rsidP="003C728A">
      <w:pPr>
        <w:rPr>
          <w:rFonts w:asciiTheme="majorHAnsi" w:eastAsia="Calibri" w:hAnsiTheme="majorHAnsi" w:cs="Calibri"/>
          <w:sz w:val="18"/>
          <w:szCs w:val="18"/>
        </w:rPr>
      </w:pPr>
      <w:r w:rsidRPr="00956FC5">
        <w:rPr>
          <w:rStyle w:val="FootnoteReference"/>
          <w:rFonts w:asciiTheme="majorHAnsi" w:hAnsiTheme="majorHAnsi"/>
          <w:szCs w:val="18"/>
        </w:rPr>
        <w:footnoteRef/>
      </w:r>
      <w:r w:rsidRPr="00956FC5">
        <w:rPr>
          <w:rFonts w:asciiTheme="majorHAnsi" w:hAnsiTheme="majorHAnsi"/>
          <w:sz w:val="18"/>
          <w:szCs w:val="18"/>
        </w:rPr>
        <w:t xml:space="preserve"> </w:t>
      </w:r>
      <w:r w:rsidRPr="00956FC5">
        <w:rPr>
          <w:rFonts w:asciiTheme="majorHAnsi" w:eastAsia="Calibri" w:hAnsiTheme="majorHAnsi" w:cs="Calibri"/>
          <w:sz w:val="18"/>
          <w:szCs w:val="18"/>
        </w:rPr>
        <w:t xml:space="preserve">For instance, the Special Rapporteur on Contemporary Forms of Slavery recommended that: </w:t>
      </w:r>
      <w:r w:rsidRPr="00956FC5">
        <w:rPr>
          <w:rFonts w:asciiTheme="majorHAnsi" w:eastAsia="Calibri" w:hAnsiTheme="majorHAnsi" w:cs="Calibri"/>
          <w:i/>
          <w:sz w:val="18"/>
          <w:szCs w:val="18"/>
        </w:rPr>
        <w:t>"All businesses’ human rights policies and procedures and the systems to implement them should integrate measures reaching beyond the first tier in supply chains and include clear guidelines and indicators to assist those operating at the lower tiers and in the informal economy to identify human rights violations, including contemporary forms of slavery, and ensure compliance with international human rights standards"</w:t>
      </w:r>
      <w:r w:rsidRPr="00956FC5">
        <w:rPr>
          <w:rFonts w:asciiTheme="majorHAnsi" w:eastAsia="Calibri" w:hAnsiTheme="majorHAnsi" w:cs="Calibri"/>
          <w:sz w:val="18"/>
          <w:szCs w:val="18"/>
        </w:rPr>
        <w:t xml:space="preserve">, para. 69 c), A/HRC/30/35, 8 July 2015, available at: </w:t>
      </w:r>
      <w:hyperlink r:id="rId4">
        <w:r w:rsidRPr="00956FC5">
          <w:rPr>
            <w:rFonts w:asciiTheme="majorHAnsi" w:eastAsia="Calibri" w:hAnsiTheme="majorHAnsi" w:cs="Calibri"/>
            <w:color w:val="1155CC"/>
            <w:sz w:val="18"/>
            <w:szCs w:val="18"/>
            <w:u w:val="single"/>
          </w:rPr>
          <w:t>https://undocs.org/A/HRC/30/35</w:t>
        </w:r>
      </w:hyperlink>
    </w:p>
  </w:footnote>
  <w:footnote w:id="6">
    <w:p w14:paraId="6B4B0158" w14:textId="1AC6AAA6" w:rsidR="00014ED7" w:rsidRPr="00A53C49" w:rsidRDefault="00014ED7" w:rsidP="00C846E4">
      <w:pPr>
        <w:pStyle w:val="FootnoteText"/>
        <w:rPr>
          <w:rFonts w:asciiTheme="majorHAnsi" w:hAnsiTheme="majorHAnsi"/>
          <w:lang w:val="en-US"/>
        </w:rPr>
      </w:pPr>
      <w:r w:rsidRPr="00956FC5">
        <w:rPr>
          <w:rStyle w:val="FootnoteReference"/>
          <w:rFonts w:asciiTheme="majorHAnsi" w:hAnsiTheme="majorHAnsi"/>
          <w:szCs w:val="18"/>
        </w:rPr>
        <w:footnoteRef/>
      </w:r>
      <w:r w:rsidRPr="00956FC5">
        <w:rPr>
          <w:rFonts w:asciiTheme="majorHAnsi" w:hAnsiTheme="majorHAnsi"/>
        </w:rPr>
        <w:t xml:space="preserve"> The Committee on Economic, Social and Cultural Rights in its General Comment No. 24 on business activities define the scope of human rights due diligence includes “</w:t>
      </w:r>
      <w:r w:rsidRPr="00956FC5">
        <w:rPr>
          <w:rFonts w:asciiTheme="majorHAnsi" w:hAnsiTheme="majorHAnsi"/>
          <w:i/>
        </w:rPr>
        <w:t>entities whose conduct those corporations may influence, such as subsidiaries (including all business entities in which they have invested, whether registered under the State party’s laws</w:t>
      </w:r>
      <w:r w:rsidRPr="00C846E4">
        <w:rPr>
          <w:rFonts w:asciiTheme="majorHAnsi" w:hAnsiTheme="majorHAnsi"/>
          <w:i/>
        </w:rPr>
        <w:t xml:space="preserve"> or under the laws of another State) or business partners (including suppliers, franchisees and subcontractors)</w:t>
      </w:r>
      <w:r w:rsidRPr="00C846E4">
        <w:rPr>
          <w:rFonts w:asciiTheme="majorHAnsi" w:hAnsiTheme="majorHAnsi"/>
        </w:rPr>
        <w:t xml:space="preserve">”; General Comment No. 24 (2017) on State obligations under the International Covenant on Economic, Social and Cultural Rights in the context of business activities, E/C.12/GC/24, 10 August 2017, para. 33, available at: </w:t>
      </w:r>
      <w:hyperlink r:id="rId5">
        <w:r w:rsidRPr="00C846E4">
          <w:rPr>
            <w:rFonts w:asciiTheme="majorHAnsi" w:hAnsiTheme="majorHAnsi"/>
            <w:u w:val="single"/>
          </w:rPr>
          <w:t>http://docstore.ohchr.org/SelfServices/FilesHandler.ashx?enc=4slQ6QSmlBEDzFEovLCuW1a0Szab0oXTdImnsJZZVQcIMOuuG4TpS9jwIhCJcXiuZ1yrkMD%2FSj8YF%2BSXo4mYx7Y%2F3L3zvM2zSUbw6ujlnCawQrJx3hlK8Odka6DUwG3Y</w:t>
        </w:r>
      </w:hyperlink>
    </w:p>
  </w:footnote>
  <w:footnote w:id="7">
    <w:p w14:paraId="103222EB" w14:textId="33F91611" w:rsidR="00014ED7" w:rsidRPr="00C846E4" w:rsidRDefault="00014ED7" w:rsidP="00015E8E">
      <w:pPr>
        <w:rPr>
          <w:rFonts w:ascii="Calibri" w:eastAsia="Calibri" w:hAnsi="Calibri" w:cs="Calibri"/>
          <w:i/>
          <w:sz w:val="18"/>
          <w:szCs w:val="18"/>
        </w:rPr>
      </w:pPr>
      <w:r w:rsidRPr="00C846E4">
        <w:rPr>
          <w:rStyle w:val="FootnoteReference"/>
          <w:rFonts w:asciiTheme="majorHAnsi" w:hAnsiTheme="majorHAnsi"/>
          <w:szCs w:val="18"/>
        </w:rPr>
        <w:footnoteRef/>
      </w:r>
      <w:r w:rsidRPr="00C846E4">
        <w:rPr>
          <w:rFonts w:asciiTheme="majorHAnsi" w:hAnsiTheme="majorHAnsi"/>
          <w:sz w:val="18"/>
          <w:szCs w:val="18"/>
        </w:rPr>
        <w:t xml:space="preserve"> </w:t>
      </w:r>
      <w:r w:rsidRPr="00C846E4">
        <w:rPr>
          <w:rFonts w:asciiTheme="majorHAnsi" w:eastAsia="Calibri" w:hAnsiTheme="majorHAnsi" w:cs="Calibri"/>
          <w:sz w:val="18"/>
          <w:szCs w:val="18"/>
        </w:rPr>
        <w:t xml:space="preserve">See e.g. A/HRC/30/35, para. 69 (c) </w:t>
      </w:r>
      <w:r w:rsidRPr="00C846E4">
        <w:rPr>
          <w:rFonts w:asciiTheme="majorHAnsi" w:eastAsia="Calibri" w:hAnsiTheme="majorHAnsi" w:cs="Calibri"/>
          <w:i/>
          <w:sz w:val="18"/>
          <w:szCs w:val="18"/>
        </w:rPr>
        <w:t>(“All businesses’ human rights policies and procedures and the systems to implement them should integrate measures reaching beyond the first tier in supply chains and include clear guidelines and indicators to assist those</w:t>
      </w:r>
      <w:r w:rsidRPr="00C846E4">
        <w:rPr>
          <w:rFonts w:ascii="Calibri" w:eastAsia="Calibri" w:hAnsi="Calibri" w:cs="Calibri"/>
          <w:i/>
          <w:sz w:val="18"/>
          <w:szCs w:val="18"/>
        </w:rPr>
        <w:t xml:space="preserve"> operating at the lower tiers and in the informal economy to identify human rights violations, including contemporary forms of slavery, and ensure compliance with international human rights standards.”)</w:t>
      </w:r>
    </w:p>
  </w:footnote>
  <w:footnote w:id="8">
    <w:p w14:paraId="371F3606" w14:textId="55B24B21" w:rsidR="00014ED7" w:rsidRPr="00A53C49" w:rsidRDefault="00014ED7" w:rsidP="00C846E4">
      <w:pPr>
        <w:pStyle w:val="FootnoteText"/>
        <w:rPr>
          <w:lang w:val="en-US"/>
        </w:rPr>
      </w:pPr>
      <w:r w:rsidRPr="00C846E4">
        <w:rPr>
          <w:rStyle w:val="FootnoteReference"/>
          <w:szCs w:val="18"/>
        </w:rPr>
        <w:footnoteRef/>
      </w:r>
      <w:r w:rsidRPr="00C846E4">
        <w:t xml:space="preserve"> See definition of business activities, available at: </w:t>
      </w:r>
      <w:hyperlink r:id="rId6">
        <w:r w:rsidRPr="00C846E4">
          <w:rPr>
            <w:u w:val="single"/>
          </w:rPr>
          <w:t>https://www.ungpreporting.org/resources/glossary/</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6EA5E" w14:textId="51D6BB9A" w:rsidR="00014ED7" w:rsidRPr="00C846E4" w:rsidRDefault="00014ED7" w:rsidP="00C846E4">
    <w:pPr>
      <w:pStyle w:val="Header"/>
      <w:jc w:val="right"/>
      <w:rPr>
        <w:rFonts w:asciiTheme="majorHAnsi" w:hAnsiTheme="majorHAnsi"/>
      </w:rPr>
    </w:pPr>
    <w:r w:rsidRPr="00C846E4">
      <w:rPr>
        <w:rFonts w:asciiTheme="majorHAnsi" w:hAnsiTheme="majorHAnsi"/>
      </w:rPr>
      <w:t>14 October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D1A"/>
    <w:multiLevelType w:val="hybridMultilevel"/>
    <w:tmpl w:val="82A4454C"/>
    <w:lvl w:ilvl="0" w:tplc="A67E9A2C">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E6D36"/>
    <w:multiLevelType w:val="hybridMultilevel"/>
    <w:tmpl w:val="1F4C0178"/>
    <w:lvl w:ilvl="0" w:tplc="7994BE54">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C3101"/>
    <w:multiLevelType w:val="hybridMultilevel"/>
    <w:tmpl w:val="6F544D16"/>
    <w:lvl w:ilvl="0" w:tplc="2F820AB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5146"/>
    <w:multiLevelType w:val="hybridMultilevel"/>
    <w:tmpl w:val="BCC0855A"/>
    <w:lvl w:ilvl="0" w:tplc="779882F2">
      <w:start w:val="1"/>
      <w:numFmt w:val="decimal"/>
      <w:pStyle w:val="ListParagraph"/>
      <w:lvlText w:val="%1."/>
      <w:lvlJc w:val="left"/>
      <w:pPr>
        <w:ind w:left="1495" w:hanging="360"/>
      </w:pPr>
      <w:rPr>
        <w:rFonts w:ascii="Georgia" w:eastAsia="Georgia" w:hAnsi="Georgia" w:cs="Georg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414E"/>
    <w:multiLevelType w:val="hybridMultilevel"/>
    <w:tmpl w:val="1F9AB43A"/>
    <w:lvl w:ilvl="0" w:tplc="2E5499E6">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47739"/>
    <w:multiLevelType w:val="hybridMultilevel"/>
    <w:tmpl w:val="0F743E28"/>
    <w:lvl w:ilvl="0" w:tplc="E6EA3EDC">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zia Scannella">
    <w15:presenceInfo w15:providerId="AD" w15:userId="S::patrizia.scannella@wilpf.org::20e2ad34-c37b-4c2d-863d-ab3e15cf5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9A"/>
    <w:rsid w:val="00014ED7"/>
    <w:rsid w:val="00015E8E"/>
    <w:rsid w:val="002A394E"/>
    <w:rsid w:val="003560AF"/>
    <w:rsid w:val="003C728A"/>
    <w:rsid w:val="003F43D9"/>
    <w:rsid w:val="00440A08"/>
    <w:rsid w:val="00442E10"/>
    <w:rsid w:val="004E5C00"/>
    <w:rsid w:val="004F489A"/>
    <w:rsid w:val="00602B3F"/>
    <w:rsid w:val="00645D87"/>
    <w:rsid w:val="0074562F"/>
    <w:rsid w:val="00761713"/>
    <w:rsid w:val="00796F4D"/>
    <w:rsid w:val="007D66DA"/>
    <w:rsid w:val="008C5813"/>
    <w:rsid w:val="008E4FDA"/>
    <w:rsid w:val="009044B6"/>
    <w:rsid w:val="00956FC5"/>
    <w:rsid w:val="00A53C49"/>
    <w:rsid w:val="00AF0B77"/>
    <w:rsid w:val="00C47AE4"/>
    <w:rsid w:val="00C846E4"/>
    <w:rsid w:val="00CC2247"/>
    <w:rsid w:val="00DB0333"/>
    <w:rsid w:val="00DB0E94"/>
    <w:rsid w:val="00E95C7B"/>
    <w:rsid w:val="00EA4C5B"/>
    <w:rsid w:val="00F248C1"/>
    <w:rsid w:val="00F655B3"/>
    <w:rsid w:val="00FD70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9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4"/>
    <w:rPr>
      <w:rFonts w:ascii="Cambria" w:hAnsi="Cambria" w:cs="Times New Roman"/>
      <w:sz w:val="22"/>
    </w:rPr>
  </w:style>
  <w:style w:type="paragraph" w:styleId="Heading1">
    <w:name w:val="heading 1"/>
    <w:basedOn w:val="Normal"/>
    <w:next w:val="Normal"/>
    <w:link w:val="Heading1Char"/>
    <w:autoRedefine/>
    <w:uiPriority w:val="9"/>
    <w:qFormat/>
    <w:rsid w:val="00E95C7B"/>
    <w:pPr>
      <w:keepNext/>
      <w:keepLines/>
      <w:numPr>
        <w:numId w:val="6"/>
      </w:numPr>
      <w:spacing w:before="480" w:after="120"/>
      <w:outlineLvl w:val="0"/>
    </w:pPr>
    <w:rPr>
      <w:rFonts w:asciiTheme="majorHAnsi" w:eastAsia="Georgia" w:hAnsiTheme="majorHAnsi" w:cs="Georgia"/>
      <w:b/>
      <w:sz w:val="28"/>
      <w:szCs w:val="48"/>
      <w:lang w:val="en-GB"/>
    </w:rPr>
  </w:style>
  <w:style w:type="paragraph" w:styleId="Heading2">
    <w:name w:val="heading 2"/>
    <w:basedOn w:val="Normal"/>
    <w:next w:val="Normal"/>
    <w:link w:val="Heading2Char"/>
    <w:autoRedefine/>
    <w:uiPriority w:val="9"/>
    <w:unhideWhenUsed/>
    <w:qFormat/>
    <w:rsid w:val="00E95C7B"/>
    <w:pPr>
      <w:keepNext/>
      <w:keepLines/>
      <w:numPr>
        <w:numId w:val="2"/>
      </w:numPr>
      <w:spacing w:before="360" w:after="80"/>
      <w:outlineLvl w:val="1"/>
    </w:pPr>
    <w:rPr>
      <w:rFonts w:asciiTheme="majorHAnsi" w:eastAsia="Georgia" w:hAnsiTheme="majorHAnsi" w:cs="Georgia"/>
      <w:b/>
      <w:sz w:val="24"/>
      <w:szCs w:val="36"/>
      <w:lang w:val="en-US"/>
    </w:rPr>
  </w:style>
  <w:style w:type="paragraph" w:styleId="Heading3">
    <w:name w:val="heading 3"/>
    <w:basedOn w:val="Normal"/>
    <w:next w:val="Normal"/>
    <w:link w:val="Heading3Char"/>
    <w:autoRedefine/>
    <w:uiPriority w:val="9"/>
    <w:unhideWhenUsed/>
    <w:qFormat/>
    <w:rsid w:val="00E95C7B"/>
    <w:pPr>
      <w:keepNext/>
      <w:keepLines/>
      <w:numPr>
        <w:numId w:val="5"/>
      </w:numPr>
      <w:spacing w:before="280" w:after="80"/>
      <w:outlineLvl w:val="2"/>
    </w:pPr>
    <w:rPr>
      <w:rFonts w:asciiTheme="majorHAnsi" w:eastAsia="Georgia" w:hAnsiTheme="majorHAnsi" w:cs="Georgia"/>
      <w:b/>
      <w:sz w:val="24"/>
      <w:szCs w:val="28"/>
      <w:lang w:val="en-US"/>
    </w:rPr>
  </w:style>
  <w:style w:type="paragraph" w:styleId="Heading4">
    <w:name w:val="heading 4"/>
    <w:basedOn w:val="Normal"/>
    <w:next w:val="Normal"/>
    <w:link w:val="Heading4Char"/>
    <w:autoRedefine/>
    <w:uiPriority w:val="9"/>
    <w:unhideWhenUsed/>
    <w:qFormat/>
    <w:rsid w:val="00E95C7B"/>
    <w:pPr>
      <w:keepNext/>
      <w:keepLines/>
      <w:numPr>
        <w:numId w:val="4"/>
      </w:numPr>
      <w:spacing w:before="240" w:after="40"/>
      <w:outlineLvl w:val="3"/>
    </w:pPr>
    <w:rPr>
      <w:rFonts w:asciiTheme="majorHAnsi" w:eastAsia="Georgia" w:hAnsiTheme="majorHAnsi" w:cs="Georgia"/>
      <w:b/>
      <w:sz w:val="24"/>
      <w:lang w:val="en-US"/>
    </w:rPr>
  </w:style>
  <w:style w:type="paragraph" w:styleId="Heading5">
    <w:name w:val="heading 5"/>
    <w:basedOn w:val="Normal"/>
    <w:next w:val="Normal"/>
    <w:link w:val="Heading5Char"/>
    <w:autoRedefine/>
    <w:uiPriority w:val="9"/>
    <w:unhideWhenUsed/>
    <w:qFormat/>
    <w:rsid w:val="00E95C7B"/>
    <w:pPr>
      <w:keepNext/>
      <w:keepLines/>
      <w:spacing w:before="220" w:after="40"/>
      <w:outlineLvl w:val="4"/>
    </w:pPr>
    <w:rPr>
      <w:rFonts w:asciiTheme="majorHAnsi" w:eastAsia="Georgia" w:hAnsiTheme="majorHAnsi" w:cs="Georgia"/>
      <w:b/>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C7B"/>
    <w:rPr>
      <w:rFonts w:asciiTheme="majorHAnsi" w:eastAsia="Georgia" w:hAnsiTheme="majorHAnsi" w:cs="Georgia"/>
      <w:b/>
      <w:szCs w:val="36"/>
      <w:lang w:val="en-US"/>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aliases w:val="5_G,FOOTNOTES,fn,single space,f,Footnote Text Char1,Footnote Text Char Char,Char,ft,ADB,WB-Fußnotentext,Fußnote,Geneva 9,Font: Geneva 9,Boston 10,12pt,12pt Знак,12pt Знак Знак Знак Знак Знак,12pt Знак Знак Знак Знак,12pt ????,12"/>
    <w:basedOn w:val="Normal"/>
    <w:link w:val="FootnoteTextChar"/>
    <w:autoRedefine/>
    <w:uiPriority w:val="99"/>
    <w:unhideWhenUsed/>
    <w:qFormat/>
    <w:rsid w:val="00C846E4"/>
    <w:pPr>
      <w:contextualSpacing/>
    </w:pPr>
    <w:rPr>
      <w:rFonts w:asciiTheme="minorHAnsi" w:eastAsia="Arial" w:hAnsiTheme="minorHAnsi" w:cs="Arial"/>
      <w:sz w:val="18"/>
    </w:rPr>
  </w:style>
  <w:style w:type="character" w:customStyle="1" w:styleId="FootnoteTextChar">
    <w:name w:val="Footnote Text Char"/>
    <w:aliases w:val="5_G Char,FOOTNOTES Char,fn Char,single space Char,f Char,Footnote Text Char1 Char,Footnote Text Char Char Char,Char Char1,ft Char,ADB Char,WB-Fußnotentext Char,Fußnote Char,Geneva 9 Char,Font: Geneva 9 Char,Boston 10 Char,12pt Char"/>
    <w:basedOn w:val="DefaultParagraphFont"/>
    <w:link w:val="FootnoteText"/>
    <w:uiPriority w:val="99"/>
    <w:rsid w:val="00C846E4"/>
    <w:rPr>
      <w:rFonts w:eastAsia="Arial" w:cs="Arial"/>
      <w:sz w:val="18"/>
    </w:rPr>
  </w:style>
  <w:style w:type="character" w:styleId="FootnoteReference">
    <w:name w:val="footnote reference"/>
    <w:aliases w:val="4_G,Footnote Reference1,ftref,Char Char,Footnote Reference1 Char,ftref Char,Char Char Char,Footnote Text Char2 Char,Footnote Text Char1 Char Char,Footnote Text Char Char Char Char,single space Char1 Char,ft Char1 Char,fn Char Char,fr"/>
    <w:basedOn w:val="DefaultParagraphFont"/>
    <w:link w:val="Char2"/>
    <w:uiPriority w:val="99"/>
    <w:qFormat/>
    <w:rsid w:val="00FD709E"/>
    <w:rPr>
      <w:sz w:val="18"/>
      <w:vertAlign w:val="superscript"/>
      <w:lang w:val="fr-CH"/>
    </w:rPr>
  </w:style>
  <w:style w:type="paragraph" w:customStyle="1" w:styleId="Char2">
    <w:name w:val="Char2"/>
    <w:basedOn w:val="Normal"/>
    <w:link w:val="FootnoteReference"/>
    <w:autoRedefine/>
    <w:uiPriority w:val="99"/>
    <w:rsid w:val="00FD709E"/>
    <w:pPr>
      <w:spacing w:after="160" w:line="240" w:lineRule="exact"/>
    </w:pPr>
    <w:rPr>
      <w:rFonts w:asciiTheme="minorHAnsi" w:hAnsiTheme="minorHAnsi" w:cstheme="minorBidi"/>
      <w:sz w:val="18"/>
      <w:vertAlign w:val="superscript"/>
      <w:lang w:val="fr-CH"/>
    </w:rPr>
  </w:style>
  <w:style w:type="character" w:customStyle="1" w:styleId="Heading1Char">
    <w:name w:val="Heading 1 Char"/>
    <w:basedOn w:val="DefaultParagraphFont"/>
    <w:link w:val="Heading1"/>
    <w:uiPriority w:val="9"/>
    <w:rsid w:val="00E95C7B"/>
    <w:rPr>
      <w:rFonts w:asciiTheme="majorHAnsi" w:eastAsia="Georgia" w:hAnsiTheme="majorHAnsi" w:cs="Georgia"/>
      <w:b/>
      <w:sz w:val="28"/>
      <w:szCs w:val="48"/>
      <w:lang w:val="en-GB"/>
    </w:rPr>
  </w:style>
  <w:style w:type="paragraph" w:styleId="ListParagraph">
    <w:name w:val="List Paragraph"/>
    <w:basedOn w:val="Normal"/>
    <w:next w:val="BodyText"/>
    <w:autoRedefine/>
    <w:uiPriority w:val="34"/>
    <w:qFormat/>
    <w:rsid w:val="00E95C7B"/>
    <w:pPr>
      <w:numPr>
        <w:numId w:val="3"/>
      </w:numPr>
      <w:pBdr>
        <w:top w:val="nil"/>
        <w:left w:val="nil"/>
        <w:bottom w:val="nil"/>
        <w:right w:val="nil"/>
        <w:between w:val="nil"/>
      </w:pBdr>
      <w:contextualSpacing/>
      <w:jc w:val="both"/>
    </w:pPr>
    <w:rPr>
      <w:rFonts w:asciiTheme="majorHAnsi" w:eastAsia="Georgia" w:hAnsiTheme="majorHAnsi" w:cs="Georgia"/>
      <w:lang w:val="en-US"/>
    </w:rPr>
  </w:style>
  <w:style w:type="paragraph" w:styleId="BodyText">
    <w:name w:val="Body Text"/>
    <w:basedOn w:val="Normal"/>
    <w:link w:val="BodyTextChar"/>
    <w:uiPriority w:val="99"/>
    <w:semiHidden/>
    <w:unhideWhenUsed/>
    <w:rsid w:val="00E95C7B"/>
    <w:pPr>
      <w:spacing w:after="120"/>
    </w:pPr>
  </w:style>
  <w:style w:type="character" w:customStyle="1" w:styleId="BodyTextChar">
    <w:name w:val="Body Text Char"/>
    <w:basedOn w:val="DefaultParagraphFont"/>
    <w:link w:val="BodyText"/>
    <w:uiPriority w:val="99"/>
    <w:semiHidden/>
    <w:rsid w:val="00E95C7B"/>
    <w:rPr>
      <w:rFonts w:ascii="Cambria" w:hAnsi="Cambria" w:cs="Times New Roman"/>
      <w:sz w:val="22"/>
    </w:rPr>
  </w:style>
  <w:style w:type="paragraph" w:customStyle="1" w:styleId="Style1">
    <w:name w:val="Style1"/>
    <w:basedOn w:val="FootnoteText"/>
    <w:autoRedefine/>
    <w:qFormat/>
    <w:rsid w:val="00E95C7B"/>
    <w:pPr>
      <w:contextualSpacing w:val="0"/>
    </w:pPr>
    <w:rPr>
      <w:rFonts w:asciiTheme="majorHAnsi" w:eastAsia="Georgia" w:hAnsiTheme="majorHAnsi" w:cs="Georgia"/>
      <w:vertAlign w:val="superscript"/>
      <w:lang w:val="en-US"/>
    </w:rPr>
  </w:style>
  <w:style w:type="paragraph" w:customStyle="1" w:styleId="Footnotes">
    <w:name w:val="Footnotes"/>
    <w:basedOn w:val="Normal"/>
    <w:autoRedefine/>
    <w:qFormat/>
    <w:rsid w:val="00E95C7B"/>
    <w:rPr>
      <w:rFonts w:asciiTheme="majorHAnsi" w:eastAsia="Georgia" w:hAnsiTheme="majorHAnsi" w:cs="Georgia"/>
      <w:sz w:val="18"/>
      <w:szCs w:val="20"/>
      <w:lang w:val="en-US"/>
    </w:rPr>
  </w:style>
  <w:style w:type="character" w:customStyle="1" w:styleId="Heading4Char">
    <w:name w:val="Heading 4 Char"/>
    <w:basedOn w:val="DefaultParagraphFont"/>
    <w:link w:val="Heading4"/>
    <w:uiPriority w:val="9"/>
    <w:rsid w:val="00E95C7B"/>
    <w:rPr>
      <w:rFonts w:asciiTheme="majorHAnsi" w:eastAsia="Georgia" w:hAnsiTheme="majorHAnsi" w:cs="Georgia"/>
      <w:b/>
      <w:lang w:val="en-US"/>
    </w:rPr>
  </w:style>
  <w:style w:type="character" w:customStyle="1" w:styleId="Heading3Char">
    <w:name w:val="Heading 3 Char"/>
    <w:basedOn w:val="DefaultParagraphFont"/>
    <w:link w:val="Heading3"/>
    <w:uiPriority w:val="9"/>
    <w:rsid w:val="00E95C7B"/>
    <w:rPr>
      <w:rFonts w:asciiTheme="majorHAnsi" w:eastAsia="Georgia" w:hAnsiTheme="majorHAnsi" w:cs="Georgia"/>
      <w:b/>
      <w:szCs w:val="28"/>
      <w:lang w:val="en-US"/>
    </w:rPr>
  </w:style>
  <w:style w:type="character" w:customStyle="1" w:styleId="Heading5Char">
    <w:name w:val="Heading 5 Char"/>
    <w:basedOn w:val="DefaultParagraphFont"/>
    <w:link w:val="Heading5"/>
    <w:uiPriority w:val="9"/>
    <w:rsid w:val="00E95C7B"/>
    <w:rPr>
      <w:rFonts w:asciiTheme="majorHAnsi" w:eastAsia="Georgia" w:hAnsiTheme="majorHAnsi" w:cs="Georgia"/>
      <w:b/>
      <w:sz w:val="22"/>
      <w:szCs w:val="22"/>
      <w:u w:val="single"/>
      <w:lang w:val="en-US"/>
    </w:rPr>
  </w:style>
  <w:style w:type="paragraph" w:styleId="NormalWeb">
    <w:name w:val="Normal (Web)"/>
    <w:basedOn w:val="Normal"/>
    <w:uiPriority w:val="99"/>
    <w:semiHidden/>
    <w:unhideWhenUsed/>
    <w:rsid w:val="004F489A"/>
    <w:pPr>
      <w:spacing w:before="100" w:beforeAutospacing="1" w:after="100" w:afterAutospacing="1"/>
    </w:pPr>
    <w:rPr>
      <w:rFonts w:ascii="Times New Roman" w:hAnsi="Times New Roman"/>
      <w:sz w:val="20"/>
      <w:szCs w:val="20"/>
      <w:lang w:val="en-US"/>
    </w:rPr>
  </w:style>
  <w:style w:type="paragraph" w:styleId="Header">
    <w:name w:val="header"/>
    <w:basedOn w:val="Normal"/>
    <w:link w:val="HeaderChar"/>
    <w:uiPriority w:val="99"/>
    <w:unhideWhenUsed/>
    <w:rsid w:val="00C846E4"/>
    <w:pPr>
      <w:tabs>
        <w:tab w:val="center" w:pos="4320"/>
        <w:tab w:val="right" w:pos="8640"/>
      </w:tabs>
    </w:pPr>
  </w:style>
  <w:style w:type="character" w:customStyle="1" w:styleId="HeaderChar">
    <w:name w:val="Header Char"/>
    <w:basedOn w:val="DefaultParagraphFont"/>
    <w:link w:val="Header"/>
    <w:uiPriority w:val="99"/>
    <w:rsid w:val="00C846E4"/>
    <w:rPr>
      <w:rFonts w:ascii="Cambria" w:hAnsi="Cambria" w:cs="Times New Roman"/>
      <w:sz w:val="22"/>
    </w:rPr>
  </w:style>
  <w:style w:type="paragraph" w:styleId="Footer">
    <w:name w:val="footer"/>
    <w:basedOn w:val="Normal"/>
    <w:link w:val="FooterChar"/>
    <w:uiPriority w:val="99"/>
    <w:unhideWhenUsed/>
    <w:rsid w:val="00C846E4"/>
    <w:pPr>
      <w:tabs>
        <w:tab w:val="center" w:pos="4320"/>
        <w:tab w:val="right" w:pos="8640"/>
      </w:tabs>
    </w:pPr>
  </w:style>
  <w:style w:type="character" w:customStyle="1" w:styleId="FooterChar">
    <w:name w:val="Footer Char"/>
    <w:basedOn w:val="DefaultParagraphFont"/>
    <w:link w:val="Footer"/>
    <w:uiPriority w:val="99"/>
    <w:rsid w:val="00C846E4"/>
    <w:rPr>
      <w:rFonts w:ascii="Cambria" w:hAnsi="Cambria" w:cs="Times New Roman"/>
      <w:sz w:val="22"/>
    </w:rPr>
  </w:style>
  <w:style w:type="character" w:styleId="PageNumber">
    <w:name w:val="page number"/>
    <w:basedOn w:val="DefaultParagraphFont"/>
    <w:uiPriority w:val="99"/>
    <w:semiHidden/>
    <w:unhideWhenUsed/>
    <w:rsid w:val="00014ED7"/>
  </w:style>
  <w:style w:type="character" w:styleId="CommentReference">
    <w:name w:val="annotation reference"/>
    <w:basedOn w:val="DefaultParagraphFont"/>
    <w:uiPriority w:val="99"/>
    <w:semiHidden/>
    <w:unhideWhenUsed/>
    <w:rsid w:val="003560AF"/>
    <w:rPr>
      <w:sz w:val="16"/>
      <w:szCs w:val="16"/>
    </w:rPr>
  </w:style>
  <w:style w:type="paragraph" w:styleId="CommentText">
    <w:name w:val="annotation text"/>
    <w:basedOn w:val="Normal"/>
    <w:link w:val="CommentTextChar"/>
    <w:uiPriority w:val="99"/>
    <w:semiHidden/>
    <w:unhideWhenUsed/>
    <w:rsid w:val="003560AF"/>
    <w:rPr>
      <w:sz w:val="20"/>
      <w:szCs w:val="20"/>
    </w:rPr>
  </w:style>
  <w:style w:type="character" w:customStyle="1" w:styleId="CommentTextChar">
    <w:name w:val="Comment Text Char"/>
    <w:basedOn w:val="DefaultParagraphFont"/>
    <w:link w:val="CommentText"/>
    <w:uiPriority w:val="99"/>
    <w:semiHidden/>
    <w:rsid w:val="003560AF"/>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560AF"/>
    <w:rPr>
      <w:b/>
      <w:bCs/>
    </w:rPr>
  </w:style>
  <w:style w:type="character" w:customStyle="1" w:styleId="CommentSubjectChar">
    <w:name w:val="Comment Subject Char"/>
    <w:basedOn w:val="CommentTextChar"/>
    <w:link w:val="CommentSubject"/>
    <w:uiPriority w:val="99"/>
    <w:semiHidden/>
    <w:rsid w:val="003560AF"/>
    <w:rPr>
      <w:rFonts w:ascii="Cambria" w:hAnsi="Cambria" w:cs="Times New Roman"/>
      <w:b/>
      <w:bCs/>
      <w:sz w:val="20"/>
      <w:szCs w:val="20"/>
    </w:rPr>
  </w:style>
  <w:style w:type="character" w:styleId="Strong">
    <w:name w:val="Strong"/>
    <w:basedOn w:val="DefaultParagraphFont"/>
    <w:uiPriority w:val="22"/>
    <w:qFormat/>
    <w:rsid w:val="003560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4"/>
    <w:rPr>
      <w:rFonts w:ascii="Cambria" w:hAnsi="Cambria" w:cs="Times New Roman"/>
      <w:sz w:val="22"/>
    </w:rPr>
  </w:style>
  <w:style w:type="paragraph" w:styleId="Heading1">
    <w:name w:val="heading 1"/>
    <w:basedOn w:val="Normal"/>
    <w:next w:val="Normal"/>
    <w:link w:val="Heading1Char"/>
    <w:autoRedefine/>
    <w:uiPriority w:val="9"/>
    <w:qFormat/>
    <w:rsid w:val="00E95C7B"/>
    <w:pPr>
      <w:keepNext/>
      <w:keepLines/>
      <w:numPr>
        <w:numId w:val="6"/>
      </w:numPr>
      <w:spacing w:before="480" w:after="120"/>
      <w:outlineLvl w:val="0"/>
    </w:pPr>
    <w:rPr>
      <w:rFonts w:asciiTheme="majorHAnsi" w:eastAsia="Georgia" w:hAnsiTheme="majorHAnsi" w:cs="Georgia"/>
      <w:b/>
      <w:sz w:val="28"/>
      <w:szCs w:val="48"/>
      <w:lang w:val="en-GB"/>
    </w:rPr>
  </w:style>
  <w:style w:type="paragraph" w:styleId="Heading2">
    <w:name w:val="heading 2"/>
    <w:basedOn w:val="Normal"/>
    <w:next w:val="Normal"/>
    <w:link w:val="Heading2Char"/>
    <w:autoRedefine/>
    <w:uiPriority w:val="9"/>
    <w:unhideWhenUsed/>
    <w:qFormat/>
    <w:rsid w:val="00E95C7B"/>
    <w:pPr>
      <w:keepNext/>
      <w:keepLines/>
      <w:numPr>
        <w:numId w:val="2"/>
      </w:numPr>
      <w:spacing w:before="360" w:after="80"/>
      <w:outlineLvl w:val="1"/>
    </w:pPr>
    <w:rPr>
      <w:rFonts w:asciiTheme="majorHAnsi" w:eastAsia="Georgia" w:hAnsiTheme="majorHAnsi" w:cs="Georgia"/>
      <w:b/>
      <w:sz w:val="24"/>
      <w:szCs w:val="36"/>
      <w:lang w:val="en-US"/>
    </w:rPr>
  </w:style>
  <w:style w:type="paragraph" w:styleId="Heading3">
    <w:name w:val="heading 3"/>
    <w:basedOn w:val="Normal"/>
    <w:next w:val="Normal"/>
    <w:link w:val="Heading3Char"/>
    <w:autoRedefine/>
    <w:uiPriority w:val="9"/>
    <w:unhideWhenUsed/>
    <w:qFormat/>
    <w:rsid w:val="00E95C7B"/>
    <w:pPr>
      <w:keepNext/>
      <w:keepLines/>
      <w:numPr>
        <w:numId w:val="5"/>
      </w:numPr>
      <w:spacing w:before="280" w:after="80"/>
      <w:outlineLvl w:val="2"/>
    </w:pPr>
    <w:rPr>
      <w:rFonts w:asciiTheme="majorHAnsi" w:eastAsia="Georgia" w:hAnsiTheme="majorHAnsi" w:cs="Georgia"/>
      <w:b/>
      <w:sz w:val="24"/>
      <w:szCs w:val="28"/>
      <w:lang w:val="en-US"/>
    </w:rPr>
  </w:style>
  <w:style w:type="paragraph" w:styleId="Heading4">
    <w:name w:val="heading 4"/>
    <w:basedOn w:val="Normal"/>
    <w:next w:val="Normal"/>
    <w:link w:val="Heading4Char"/>
    <w:autoRedefine/>
    <w:uiPriority w:val="9"/>
    <w:unhideWhenUsed/>
    <w:qFormat/>
    <w:rsid w:val="00E95C7B"/>
    <w:pPr>
      <w:keepNext/>
      <w:keepLines/>
      <w:numPr>
        <w:numId w:val="4"/>
      </w:numPr>
      <w:spacing w:before="240" w:after="40"/>
      <w:outlineLvl w:val="3"/>
    </w:pPr>
    <w:rPr>
      <w:rFonts w:asciiTheme="majorHAnsi" w:eastAsia="Georgia" w:hAnsiTheme="majorHAnsi" w:cs="Georgia"/>
      <w:b/>
      <w:sz w:val="24"/>
      <w:lang w:val="en-US"/>
    </w:rPr>
  </w:style>
  <w:style w:type="paragraph" w:styleId="Heading5">
    <w:name w:val="heading 5"/>
    <w:basedOn w:val="Normal"/>
    <w:next w:val="Normal"/>
    <w:link w:val="Heading5Char"/>
    <w:autoRedefine/>
    <w:uiPriority w:val="9"/>
    <w:unhideWhenUsed/>
    <w:qFormat/>
    <w:rsid w:val="00E95C7B"/>
    <w:pPr>
      <w:keepNext/>
      <w:keepLines/>
      <w:spacing w:before="220" w:after="40"/>
      <w:outlineLvl w:val="4"/>
    </w:pPr>
    <w:rPr>
      <w:rFonts w:asciiTheme="majorHAnsi" w:eastAsia="Georgia" w:hAnsiTheme="majorHAnsi" w:cs="Georgia"/>
      <w:b/>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C7B"/>
    <w:rPr>
      <w:rFonts w:asciiTheme="majorHAnsi" w:eastAsia="Georgia" w:hAnsiTheme="majorHAnsi" w:cs="Georgia"/>
      <w:b/>
      <w:szCs w:val="36"/>
      <w:lang w:val="en-US"/>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aliases w:val="5_G,FOOTNOTES,fn,single space,f,Footnote Text Char1,Footnote Text Char Char,Char,ft,ADB,WB-Fußnotentext,Fußnote,Geneva 9,Font: Geneva 9,Boston 10,12pt,12pt Знак,12pt Знак Знак Знак Знак Знак,12pt Знак Знак Знак Знак,12pt ????,12"/>
    <w:basedOn w:val="Normal"/>
    <w:link w:val="FootnoteTextChar"/>
    <w:autoRedefine/>
    <w:uiPriority w:val="99"/>
    <w:unhideWhenUsed/>
    <w:qFormat/>
    <w:rsid w:val="00C846E4"/>
    <w:pPr>
      <w:contextualSpacing/>
    </w:pPr>
    <w:rPr>
      <w:rFonts w:asciiTheme="minorHAnsi" w:eastAsia="Arial" w:hAnsiTheme="minorHAnsi" w:cs="Arial"/>
      <w:sz w:val="18"/>
    </w:rPr>
  </w:style>
  <w:style w:type="character" w:customStyle="1" w:styleId="FootnoteTextChar">
    <w:name w:val="Footnote Text Char"/>
    <w:aliases w:val="5_G Char,FOOTNOTES Char,fn Char,single space Char,f Char,Footnote Text Char1 Char,Footnote Text Char Char Char,Char Char1,ft Char,ADB Char,WB-Fußnotentext Char,Fußnote Char,Geneva 9 Char,Font: Geneva 9 Char,Boston 10 Char,12pt Char"/>
    <w:basedOn w:val="DefaultParagraphFont"/>
    <w:link w:val="FootnoteText"/>
    <w:uiPriority w:val="99"/>
    <w:rsid w:val="00C846E4"/>
    <w:rPr>
      <w:rFonts w:eastAsia="Arial" w:cs="Arial"/>
      <w:sz w:val="18"/>
    </w:rPr>
  </w:style>
  <w:style w:type="character" w:styleId="FootnoteReference">
    <w:name w:val="footnote reference"/>
    <w:aliases w:val="4_G,Footnote Reference1,ftref,Char Char,Footnote Reference1 Char,ftref Char,Char Char Char,Footnote Text Char2 Char,Footnote Text Char1 Char Char,Footnote Text Char Char Char Char,single space Char1 Char,ft Char1 Char,fn Char Char,fr"/>
    <w:basedOn w:val="DefaultParagraphFont"/>
    <w:link w:val="Char2"/>
    <w:uiPriority w:val="99"/>
    <w:qFormat/>
    <w:rsid w:val="00FD709E"/>
    <w:rPr>
      <w:sz w:val="18"/>
      <w:vertAlign w:val="superscript"/>
      <w:lang w:val="fr-CH"/>
    </w:rPr>
  </w:style>
  <w:style w:type="paragraph" w:customStyle="1" w:styleId="Char2">
    <w:name w:val="Char2"/>
    <w:basedOn w:val="Normal"/>
    <w:link w:val="FootnoteReference"/>
    <w:autoRedefine/>
    <w:uiPriority w:val="99"/>
    <w:rsid w:val="00FD709E"/>
    <w:pPr>
      <w:spacing w:after="160" w:line="240" w:lineRule="exact"/>
    </w:pPr>
    <w:rPr>
      <w:rFonts w:asciiTheme="minorHAnsi" w:hAnsiTheme="minorHAnsi" w:cstheme="minorBidi"/>
      <w:sz w:val="18"/>
      <w:vertAlign w:val="superscript"/>
      <w:lang w:val="fr-CH"/>
    </w:rPr>
  </w:style>
  <w:style w:type="character" w:customStyle="1" w:styleId="Heading1Char">
    <w:name w:val="Heading 1 Char"/>
    <w:basedOn w:val="DefaultParagraphFont"/>
    <w:link w:val="Heading1"/>
    <w:uiPriority w:val="9"/>
    <w:rsid w:val="00E95C7B"/>
    <w:rPr>
      <w:rFonts w:asciiTheme="majorHAnsi" w:eastAsia="Georgia" w:hAnsiTheme="majorHAnsi" w:cs="Georgia"/>
      <w:b/>
      <w:sz w:val="28"/>
      <w:szCs w:val="48"/>
      <w:lang w:val="en-GB"/>
    </w:rPr>
  </w:style>
  <w:style w:type="paragraph" w:styleId="ListParagraph">
    <w:name w:val="List Paragraph"/>
    <w:basedOn w:val="Normal"/>
    <w:next w:val="BodyText"/>
    <w:autoRedefine/>
    <w:uiPriority w:val="34"/>
    <w:qFormat/>
    <w:rsid w:val="00E95C7B"/>
    <w:pPr>
      <w:numPr>
        <w:numId w:val="3"/>
      </w:numPr>
      <w:pBdr>
        <w:top w:val="nil"/>
        <w:left w:val="nil"/>
        <w:bottom w:val="nil"/>
        <w:right w:val="nil"/>
        <w:between w:val="nil"/>
      </w:pBdr>
      <w:contextualSpacing/>
      <w:jc w:val="both"/>
    </w:pPr>
    <w:rPr>
      <w:rFonts w:asciiTheme="majorHAnsi" w:eastAsia="Georgia" w:hAnsiTheme="majorHAnsi" w:cs="Georgia"/>
      <w:lang w:val="en-US"/>
    </w:rPr>
  </w:style>
  <w:style w:type="paragraph" w:styleId="BodyText">
    <w:name w:val="Body Text"/>
    <w:basedOn w:val="Normal"/>
    <w:link w:val="BodyTextChar"/>
    <w:uiPriority w:val="99"/>
    <w:semiHidden/>
    <w:unhideWhenUsed/>
    <w:rsid w:val="00E95C7B"/>
    <w:pPr>
      <w:spacing w:after="120"/>
    </w:pPr>
  </w:style>
  <w:style w:type="character" w:customStyle="1" w:styleId="BodyTextChar">
    <w:name w:val="Body Text Char"/>
    <w:basedOn w:val="DefaultParagraphFont"/>
    <w:link w:val="BodyText"/>
    <w:uiPriority w:val="99"/>
    <w:semiHidden/>
    <w:rsid w:val="00E95C7B"/>
    <w:rPr>
      <w:rFonts w:ascii="Cambria" w:hAnsi="Cambria" w:cs="Times New Roman"/>
      <w:sz w:val="22"/>
    </w:rPr>
  </w:style>
  <w:style w:type="paragraph" w:customStyle="1" w:styleId="Style1">
    <w:name w:val="Style1"/>
    <w:basedOn w:val="FootnoteText"/>
    <w:autoRedefine/>
    <w:qFormat/>
    <w:rsid w:val="00E95C7B"/>
    <w:pPr>
      <w:contextualSpacing w:val="0"/>
    </w:pPr>
    <w:rPr>
      <w:rFonts w:asciiTheme="majorHAnsi" w:eastAsia="Georgia" w:hAnsiTheme="majorHAnsi" w:cs="Georgia"/>
      <w:vertAlign w:val="superscript"/>
      <w:lang w:val="en-US"/>
    </w:rPr>
  </w:style>
  <w:style w:type="paragraph" w:customStyle="1" w:styleId="Footnotes">
    <w:name w:val="Footnotes"/>
    <w:basedOn w:val="Normal"/>
    <w:autoRedefine/>
    <w:qFormat/>
    <w:rsid w:val="00E95C7B"/>
    <w:rPr>
      <w:rFonts w:asciiTheme="majorHAnsi" w:eastAsia="Georgia" w:hAnsiTheme="majorHAnsi" w:cs="Georgia"/>
      <w:sz w:val="18"/>
      <w:szCs w:val="20"/>
      <w:lang w:val="en-US"/>
    </w:rPr>
  </w:style>
  <w:style w:type="character" w:customStyle="1" w:styleId="Heading4Char">
    <w:name w:val="Heading 4 Char"/>
    <w:basedOn w:val="DefaultParagraphFont"/>
    <w:link w:val="Heading4"/>
    <w:uiPriority w:val="9"/>
    <w:rsid w:val="00E95C7B"/>
    <w:rPr>
      <w:rFonts w:asciiTheme="majorHAnsi" w:eastAsia="Georgia" w:hAnsiTheme="majorHAnsi" w:cs="Georgia"/>
      <w:b/>
      <w:lang w:val="en-US"/>
    </w:rPr>
  </w:style>
  <w:style w:type="character" w:customStyle="1" w:styleId="Heading3Char">
    <w:name w:val="Heading 3 Char"/>
    <w:basedOn w:val="DefaultParagraphFont"/>
    <w:link w:val="Heading3"/>
    <w:uiPriority w:val="9"/>
    <w:rsid w:val="00E95C7B"/>
    <w:rPr>
      <w:rFonts w:asciiTheme="majorHAnsi" w:eastAsia="Georgia" w:hAnsiTheme="majorHAnsi" w:cs="Georgia"/>
      <w:b/>
      <w:szCs w:val="28"/>
      <w:lang w:val="en-US"/>
    </w:rPr>
  </w:style>
  <w:style w:type="character" w:customStyle="1" w:styleId="Heading5Char">
    <w:name w:val="Heading 5 Char"/>
    <w:basedOn w:val="DefaultParagraphFont"/>
    <w:link w:val="Heading5"/>
    <w:uiPriority w:val="9"/>
    <w:rsid w:val="00E95C7B"/>
    <w:rPr>
      <w:rFonts w:asciiTheme="majorHAnsi" w:eastAsia="Georgia" w:hAnsiTheme="majorHAnsi" w:cs="Georgia"/>
      <w:b/>
      <w:sz w:val="22"/>
      <w:szCs w:val="22"/>
      <w:u w:val="single"/>
      <w:lang w:val="en-US"/>
    </w:rPr>
  </w:style>
  <w:style w:type="paragraph" w:styleId="NormalWeb">
    <w:name w:val="Normal (Web)"/>
    <w:basedOn w:val="Normal"/>
    <w:uiPriority w:val="99"/>
    <w:semiHidden/>
    <w:unhideWhenUsed/>
    <w:rsid w:val="004F489A"/>
    <w:pPr>
      <w:spacing w:before="100" w:beforeAutospacing="1" w:after="100" w:afterAutospacing="1"/>
    </w:pPr>
    <w:rPr>
      <w:rFonts w:ascii="Times New Roman" w:hAnsi="Times New Roman"/>
      <w:sz w:val="20"/>
      <w:szCs w:val="20"/>
      <w:lang w:val="en-US"/>
    </w:rPr>
  </w:style>
  <w:style w:type="paragraph" w:styleId="Header">
    <w:name w:val="header"/>
    <w:basedOn w:val="Normal"/>
    <w:link w:val="HeaderChar"/>
    <w:uiPriority w:val="99"/>
    <w:unhideWhenUsed/>
    <w:rsid w:val="00C846E4"/>
    <w:pPr>
      <w:tabs>
        <w:tab w:val="center" w:pos="4320"/>
        <w:tab w:val="right" w:pos="8640"/>
      </w:tabs>
    </w:pPr>
  </w:style>
  <w:style w:type="character" w:customStyle="1" w:styleId="HeaderChar">
    <w:name w:val="Header Char"/>
    <w:basedOn w:val="DefaultParagraphFont"/>
    <w:link w:val="Header"/>
    <w:uiPriority w:val="99"/>
    <w:rsid w:val="00C846E4"/>
    <w:rPr>
      <w:rFonts w:ascii="Cambria" w:hAnsi="Cambria" w:cs="Times New Roman"/>
      <w:sz w:val="22"/>
    </w:rPr>
  </w:style>
  <w:style w:type="paragraph" w:styleId="Footer">
    <w:name w:val="footer"/>
    <w:basedOn w:val="Normal"/>
    <w:link w:val="FooterChar"/>
    <w:uiPriority w:val="99"/>
    <w:unhideWhenUsed/>
    <w:rsid w:val="00C846E4"/>
    <w:pPr>
      <w:tabs>
        <w:tab w:val="center" w:pos="4320"/>
        <w:tab w:val="right" w:pos="8640"/>
      </w:tabs>
    </w:pPr>
  </w:style>
  <w:style w:type="character" w:customStyle="1" w:styleId="FooterChar">
    <w:name w:val="Footer Char"/>
    <w:basedOn w:val="DefaultParagraphFont"/>
    <w:link w:val="Footer"/>
    <w:uiPriority w:val="99"/>
    <w:rsid w:val="00C846E4"/>
    <w:rPr>
      <w:rFonts w:ascii="Cambria" w:hAnsi="Cambria" w:cs="Times New Roman"/>
      <w:sz w:val="22"/>
    </w:rPr>
  </w:style>
  <w:style w:type="character" w:styleId="PageNumber">
    <w:name w:val="page number"/>
    <w:basedOn w:val="DefaultParagraphFont"/>
    <w:uiPriority w:val="99"/>
    <w:semiHidden/>
    <w:unhideWhenUsed/>
    <w:rsid w:val="00014ED7"/>
  </w:style>
  <w:style w:type="character" w:styleId="CommentReference">
    <w:name w:val="annotation reference"/>
    <w:basedOn w:val="DefaultParagraphFont"/>
    <w:uiPriority w:val="99"/>
    <w:semiHidden/>
    <w:unhideWhenUsed/>
    <w:rsid w:val="003560AF"/>
    <w:rPr>
      <w:sz w:val="16"/>
      <w:szCs w:val="16"/>
    </w:rPr>
  </w:style>
  <w:style w:type="paragraph" w:styleId="CommentText">
    <w:name w:val="annotation text"/>
    <w:basedOn w:val="Normal"/>
    <w:link w:val="CommentTextChar"/>
    <w:uiPriority w:val="99"/>
    <w:semiHidden/>
    <w:unhideWhenUsed/>
    <w:rsid w:val="003560AF"/>
    <w:rPr>
      <w:sz w:val="20"/>
      <w:szCs w:val="20"/>
    </w:rPr>
  </w:style>
  <w:style w:type="character" w:customStyle="1" w:styleId="CommentTextChar">
    <w:name w:val="Comment Text Char"/>
    <w:basedOn w:val="DefaultParagraphFont"/>
    <w:link w:val="CommentText"/>
    <w:uiPriority w:val="99"/>
    <w:semiHidden/>
    <w:rsid w:val="003560AF"/>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560AF"/>
    <w:rPr>
      <w:b/>
      <w:bCs/>
    </w:rPr>
  </w:style>
  <w:style w:type="character" w:customStyle="1" w:styleId="CommentSubjectChar">
    <w:name w:val="Comment Subject Char"/>
    <w:basedOn w:val="CommentTextChar"/>
    <w:link w:val="CommentSubject"/>
    <w:uiPriority w:val="99"/>
    <w:semiHidden/>
    <w:rsid w:val="003560AF"/>
    <w:rPr>
      <w:rFonts w:ascii="Cambria" w:hAnsi="Cambria" w:cs="Times New Roman"/>
      <w:b/>
      <w:bCs/>
      <w:sz w:val="20"/>
      <w:szCs w:val="20"/>
    </w:rPr>
  </w:style>
  <w:style w:type="character" w:styleId="Strong">
    <w:name w:val="Strong"/>
    <w:basedOn w:val="DefaultParagraphFont"/>
    <w:uiPriority w:val="22"/>
    <w:qFormat/>
    <w:rsid w:val="00356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7910">
      <w:bodyDiv w:val="1"/>
      <w:marLeft w:val="0"/>
      <w:marRight w:val="0"/>
      <w:marTop w:val="0"/>
      <w:marBottom w:val="0"/>
      <w:divBdr>
        <w:top w:val="none" w:sz="0" w:space="0" w:color="auto"/>
        <w:left w:val="none" w:sz="0" w:space="0" w:color="auto"/>
        <w:bottom w:val="none" w:sz="0" w:space="0" w:color="auto"/>
        <w:right w:val="none" w:sz="0" w:space="0" w:color="auto"/>
      </w:divBdr>
    </w:div>
    <w:div w:id="367726324">
      <w:bodyDiv w:val="1"/>
      <w:marLeft w:val="0"/>
      <w:marRight w:val="0"/>
      <w:marTop w:val="0"/>
      <w:marBottom w:val="0"/>
      <w:divBdr>
        <w:top w:val="none" w:sz="0" w:space="0" w:color="auto"/>
        <w:left w:val="none" w:sz="0" w:space="0" w:color="auto"/>
        <w:bottom w:val="none" w:sz="0" w:space="0" w:color="auto"/>
        <w:right w:val="none" w:sz="0" w:space="0" w:color="auto"/>
      </w:divBdr>
    </w:div>
    <w:div w:id="554901496">
      <w:bodyDiv w:val="1"/>
      <w:marLeft w:val="0"/>
      <w:marRight w:val="0"/>
      <w:marTop w:val="0"/>
      <w:marBottom w:val="0"/>
      <w:divBdr>
        <w:top w:val="none" w:sz="0" w:space="0" w:color="auto"/>
        <w:left w:val="none" w:sz="0" w:space="0" w:color="auto"/>
        <w:bottom w:val="none" w:sz="0" w:space="0" w:color="auto"/>
        <w:right w:val="none" w:sz="0" w:space="0" w:color="auto"/>
      </w:divBdr>
    </w:div>
    <w:div w:id="896471014">
      <w:bodyDiv w:val="1"/>
      <w:marLeft w:val="0"/>
      <w:marRight w:val="0"/>
      <w:marTop w:val="0"/>
      <w:marBottom w:val="0"/>
      <w:divBdr>
        <w:top w:val="none" w:sz="0" w:space="0" w:color="auto"/>
        <w:left w:val="none" w:sz="0" w:space="0" w:color="auto"/>
        <w:bottom w:val="none" w:sz="0" w:space="0" w:color="auto"/>
        <w:right w:val="none" w:sz="0" w:space="0" w:color="auto"/>
      </w:divBdr>
    </w:div>
    <w:div w:id="1263226100">
      <w:bodyDiv w:val="1"/>
      <w:marLeft w:val="0"/>
      <w:marRight w:val="0"/>
      <w:marTop w:val="0"/>
      <w:marBottom w:val="0"/>
      <w:divBdr>
        <w:top w:val="none" w:sz="0" w:space="0" w:color="auto"/>
        <w:left w:val="none" w:sz="0" w:space="0" w:color="auto"/>
        <w:bottom w:val="none" w:sz="0" w:space="0" w:color="auto"/>
        <w:right w:val="none" w:sz="0" w:space="0" w:color="auto"/>
      </w:divBdr>
    </w:div>
    <w:div w:id="1429500954">
      <w:bodyDiv w:val="1"/>
      <w:marLeft w:val="0"/>
      <w:marRight w:val="0"/>
      <w:marTop w:val="0"/>
      <w:marBottom w:val="0"/>
      <w:divBdr>
        <w:top w:val="none" w:sz="0" w:space="0" w:color="auto"/>
        <w:left w:val="none" w:sz="0" w:space="0" w:color="auto"/>
        <w:bottom w:val="none" w:sz="0" w:space="0" w:color="auto"/>
        <w:right w:val="none" w:sz="0" w:space="0" w:color="auto"/>
      </w:divBdr>
    </w:div>
    <w:div w:id="1794179277">
      <w:bodyDiv w:val="1"/>
      <w:marLeft w:val="0"/>
      <w:marRight w:val="0"/>
      <w:marTop w:val="0"/>
      <w:marBottom w:val="0"/>
      <w:divBdr>
        <w:top w:val="none" w:sz="0" w:space="0" w:color="auto"/>
        <w:left w:val="none" w:sz="0" w:space="0" w:color="auto"/>
        <w:bottom w:val="none" w:sz="0" w:space="0" w:color="auto"/>
        <w:right w:val="none" w:sz="0" w:space="0" w:color="auto"/>
      </w:divBdr>
    </w:div>
    <w:div w:id="2043361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ntTable" Target="fontTable.xml"/><Relationship Id="rId17" Type="http://schemas.microsoft.com/office/2016/09/relationships/commentsIds" Target="commentsIds.xml"/><Relationship Id="rId7" Type="http://schemas.openxmlformats.org/officeDocument/2006/relationships/footnotes" Target="footnotes.xml"/><Relationship Id="rId16" Type="http://schemas.microsoft.com/office/2011/relationships/commentsExtended" Target="commentsExtended.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publications/GuidingprinciplesBusinesshr_eN.pdf" TargetMode="External"/><Relationship Id="rId4" Type="http://schemas.openxmlformats.org/officeDocument/2006/relationships/hyperlink" Target="https://undocs.org/A/HRC/30/35" TargetMode="External"/><Relationship Id="rId5" Type="http://schemas.openxmlformats.org/officeDocument/2006/relationships/hyperlink" Target="http://docstore.ohchr.org/SelfServices/FilesHandler.ashx?enc=4slQ6QSmlBEDzFEovLCuW1a0Szab0oXTdImnsJZZVQcIMOuuG4TpS9jwIhCJcXiuZ1yrkMD%2FSj8YF%2BSXo4mYx7Y%2F3L3zvM2zSUbw6ujlnCawQrJx3hlK8Odka6DUwG3Y" TargetMode="External"/><Relationship Id="rId6" Type="http://schemas.openxmlformats.org/officeDocument/2006/relationships/hyperlink" Target="https://www.ungpreporting.org/resources/glossary/" TargetMode="External"/><Relationship Id="rId1" Type="http://schemas.openxmlformats.org/officeDocument/2006/relationships/hyperlink" Target="https://www.ohchr.org/EN/ProfessionalInterest/Pages/RightAndResponsibility.aspx" TargetMode="External"/><Relationship Id="rId2" Type="http://schemas.openxmlformats.org/officeDocument/2006/relationships/hyperlink" Target="https://www.un.org/en/ga/search/view_doc.asp?symbol=A/66/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7BB922-FB2B-8045-907F-5D92692C8583}">
  <ds:schemaRefs>
    <ds:schemaRef ds:uri="http://schemas.openxmlformats.org/officeDocument/2006/bibliography"/>
  </ds:schemaRefs>
</ds:datastoreItem>
</file>

<file path=customXml/itemProps2.xml><?xml version="1.0" encoding="utf-8"?>
<ds:datastoreItem xmlns:ds="http://schemas.openxmlformats.org/officeDocument/2006/customXml" ds:itemID="{0A77164C-3926-47E2-B6ED-77AFA4DD48CD}"/>
</file>

<file path=customXml/itemProps3.xml><?xml version="1.0" encoding="utf-8"?>
<ds:datastoreItem xmlns:ds="http://schemas.openxmlformats.org/officeDocument/2006/customXml" ds:itemID="{ADE2EA7B-584A-4B26-954B-AE53AD3BA47C}"/>
</file>

<file path=customXml/itemProps4.xml><?xml version="1.0" encoding="utf-8"?>
<ds:datastoreItem xmlns:ds="http://schemas.openxmlformats.org/officeDocument/2006/customXml" ds:itemID="{553ADFAE-EE26-4B53-B71B-9AA3B7084C26}"/>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2682</Characters>
  <Application>Microsoft Macintosh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Company>WILPF</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WILPF WILPF</dc:creator>
  <cp:keywords/>
  <dc:description/>
  <cp:lastModifiedBy>WILPF WILPF</cp:lastModifiedBy>
  <cp:revision>4</cp:revision>
  <dcterms:created xsi:type="dcterms:W3CDTF">2019-10-14T09:52:00Z</dcterms:created>
  <dcterms:modified xsi:type="dcterms:W3CDTF">2019-10-22T09:27:00Z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