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C0238" w14:textId="77777777" w:rsidR="00C308CD" w:rsidRDefault="00C308CD">
      <w:pPr>
        <w:pStyle w:val="Standard"/>
        <w:rPr>
          <w:rFonts w:ascii="Times New Roman" w:hAnsi="Times New Roman"/>
          <w:sz w:val="16"/>
        </w:rPr>
      </w:pPr>
      <w:bookmarkStart w:id="0" w:name="_GoBack"/>
      <w:bookmarkEnd w:id="0"/>
    </w:p>
    <w:p w14:paraId="710E0D16" w14:textId="77777777" w:rsidR="00C308CD" w:rsidRDefault="00C308CD">
      <w:pPr>
        <w:pStyle w:val="Standard"/>
        <w:spacing w:after="113"/>
        <w:rPr>
          <w:rFonts w:ascii="Times New Roman" w:hAnsi="Times New Roman"/>
          <w:sz w:val="16"/>
        </w:rPr>
      </w:pPr>
    </w:p>
    <w:tbl>
      <w:tblPr>
        <w:tblW w:w="10632" w:type="dxa"/>
        <w:tblInd w:w="-426" w:type="dxa"/>
        <w:tblLayout w:type="fixed"/>
        <w:tblCellMar>
          <w:left w:w="10" w:type="dxa"/>
          <w:right w:w="10" w:type="dxa"/>
        </w:tblCellMar>
        <w:tblLook w:val="0000" w:firstRow="0" w:lastRow="0" w:firstColumn="0" w:lastColumn="0" w:noHBand="0" w:noVBand="0"/>
      </w:tblPr>
      <w:tblGrid>
        <w:gridCol w:w="6071"/>
        <w:gridCol w:w="4561"/>
      </w:tblGrid>
      <w:tr w:rsidR="00C308CD" w14:paraId="01B53349" w14:textId="77777777">
        <w:tc>
          <w:tcPr>
            <w:tcW w:w="6071" w:type="dxa"/>
            <w:shd w:val="clear" w:color="auto" w:fill="FFFFFF"/>
            <w:tcMar>
              <w:top w:w="0" w:type="dxa"/>
              <w:left w:w="70" w:type="dxa"/>
              <w:bottom w:w="0" w:type="dxa"/>
              <w:right w:w="70" w:type="dxa"/>
            </w:tcMar>
          </w:tcPr>
          <w:p w14:paraId="4318F0D0" w14:textId="77777777" w:rsidR="00C308CD" w:rsidRDefault="004065C7">
            <w:pPr>
              <w:pStyle w:val="Intestazione"/>
              <w:rPr>
                <w:rFonts w:ascii="Times New Roman" w:hAnsi="Times New Roman"/>
                <w:sz w:val="22"/>
                <w:szCs w:val="22"/>
              </w:rPr>
            </w:pPr>
            <w:r>
              <w:rPr>
                <w:rFonts w:ascii="Times New Roman" w:hAnsi="Times New Roman"/>
                <w:sz w:val="22"/>
                <w:szCs w:val="22"/>
              </w:rPr>
              <w:t>Rue Amat 6</w:t>
            </w:r>
          </w:p>
          <w:p w14:paraId="2EDB4417" w14:textId="77777777" w:rsidR="00C308CD" w:rsidRDefault="004065C7">
            <w:pPr>
              <w:pStyle w:val="Intestazione"/>
              <w:spacing w:after="40"/>
              <w:rPr>
                <w:rFonts w:ascii="Times New Roman" w:hAnsi="Times New Roman"/>
                <w:sz w:val="22"/>
                <w:szCs w:val="22"/>
              </w:rPr>
            </w:pPr>
            <w:r>
              <w:rPr>
                <w:rFonts w:ascii="Times New Roman" w:hAnsi="Times New Roman"/>
                <w:sz w:val="22"/>
                <w:szCs w:val="22"/>
              </w:rPr>
              <w:t>CH-1202 Genève</w:t>
            </w:r>
          </w:p>
          <w:p w14:paraId="2CCFE8BE" w14:textId="77777777" w:rsidR="00C308CD" w:rsidRDefault="004065C7">
            <w:pPr>
              <w:pStyle w:val="Intestazione"/>
              <w:rPr>
                <w:rFonts w:ascii="Times New Roman" w:hAnsi="Times New Roman"/>
                <w:sz w:val="22"/>
                <w:szCs w:val="22"/>
              </w:rPr>
            </w:pPr>
            <w:r>
              <w:rPr>
                <w:rFonts w:ascii="Times New Roman" w:hAnsi="Times New Roman"/>
                <w:sz w:val="22"/>
                <w:szCs w:val="22"/>
              </w:rPr>
              <w:t>Tel. +41 (0)22 731 59 63</w:t>
            </w:r>
          </w:p>
          <w:p w14:paraId="3F209851" w14:textId="77777777" w:rsidR="00C308CD" w:rsidRDefault="004065C7">
            <w:pPr>
              <w:pStyle w:val="Intestazione"/>
              <w:spacing w:after="40"/>
              <w:rPr>
                <w:rFonts w:ascii="Times New Roman" w:hAnsi="Times New Roman"/>
                <w:sz w:val="22"/>
                <w:szCs w:val="22"/>
              </w:rPr>
            </w:pPr>
            <w:r>
              <w:rPr>
                <w:rFonts w:ascii="Times New Roman" w:hAnsi="Times New Roman"/>
                <w:sz w:val="22"/>
                <w:szCs w:val="22"/>
              </w:rPr>
              <w:t>Fax +41 (0)22 731 91 52</w:t>
            </w:r>
          </w:p>
          <w:p w14:paraId="6080265A" w14:textId="77777777" w:rsidR="00C308CD" w:rsidRDefault="004065C7">
            <w:pPr>
              <w:pStyle w:val="Intestazione"/>
              <w:rPr>
                <w:rFonts w:ascii="Times New Roman" w:hAnsi="Times New Roman"/>
                <w:sz w:val="22"/>
                <w:szCs w:val="22"/>
              </w:rPr>
            </w:pPr>
            <w:r>
              <w:rPr>
                <w:rFonts w:ascii="Times New Roman" w:hAnsi="Times New Roman"/>
                <w:sz w:val="22"/>
                <w:szCs w:val="22"/>
              </w:rPr>
              <w:t>E-mail: contact@cetim.ch</w:t>
            </w:r>
          </w:p>
          <w:p w14:paraId="2F4C3D1D" w14:textId="77777777" w:rsidR="00C308CD" w:rsidRDefault="004065C7">
            <w:pPr>
              <w:pStyle w:val="Intestazione"/>
              <w:rPr>
                <w:rFonts w:hint="eastAsia"/>
              </w:rPr>
            </w:pPr>
            <w:r>
              <w:rPr>
                <w:rFonts w:ascii="Times New Roman" w:hAnsi="Times New Roman"/>
                <w:sz w:val="22"/>
                <w:szCs w:val="22"/>
              </w:rPr>
              <w:t xml:space="preserve">Site Web: </w:t>
            </w:r>
            <w:hyperlink r:id="rId7" w:history="1">
              <w:r>
                <w:rPr>
                  <w:rStyle w:val="Internetlink"/>
                  <w:rFonts w:ascii="Times New Roman" w:hAnsi="Times New Roman"/>
                  <w:sz w:val="22"/>
                  <w:szCs w:val="22"/>
                </w:rPr>
                <w:t>www.cetim.ch</w:t>
              </w:r>
            </w:hyperlink>
          </w:p>
          <w:p w14:paraId="1AD14306" w14:textId="77777777" w:rsidR="00C308CD" w:rsidRDefault="00C308CD">
            <w:pPr>
              <w:pStyle w:val="Intestazione"/>
              <w:rPr>
                <w:rFonts w:ascii="Times New Roman" w:hAnsi="Times New Roman"/>
                <w:sz w:val="22"/>
                <w:szCs w:val="22"/>
              </w:rPr>
            </w:pPr>
          </w:p>
        </w:tc>
        <w:tc>
          <w:tcPr>
            <w:tcW w:w="4561" w:type="dxa"/>
            <w:shd w:val="clear" w:color="auto" w:fill="FFFFFF"/>
            <w:tcMar>
              <w:top w:w="0" w:type="dxa"/>
              <w:left w:w="70" w:type="dxa"/>
              <w:bottom w:w="0" w:type="dxa"/>
              <w:right w:w="70" w:type="dxa"/>
            </w:tcMar>
          </w:tcPr>
          <w:p w14:paraId="69050D93" w14:textId="77777777" w:rsidR="00C308CD" w:rsidRDefault="004065C7">
            <w:pPr>
              <w:pStyle w:val="Textbody"/>
              <w:tabs>
                <w:tab w:val="left" w:pos="5616"/>
              </w:tabs>
              <w:spacing w:after="0" w:line="240" w:lineRule="auto"/>
              <w:jc w:val="both"/>
              <w:rPr>
                <w:rFonts w:ascii="Times New Roman" w:hAnsi="Times New Roman" w:cs="Times New Roman"/>
                <w:b/>
              </w:rPr>
            </w:pPr>
            <w:r>
              <w:rPr>
                <w:rFonts w:ascii="Times New Roman" w:hAnsi="Times New Roman" w:cs="Times New Roman"/>
                <w:b/>
              </w:rPr>
              <w:t>ASSEMBLÉE GÉNÉRALE</w:t>
            </w:r>
          </w:p>
          <w:p w14:paraId="01E6BCCA" w14:textId="77777777" w:rsidR="00C308CD" w:rsidRDefault="004065C7">
            <w:pPr>
              <w:pStyle w:val="Standard"/>
              <w:spacing w:line="200" w:lineRule="atLeast"/>
              <w:jc w:val="both"/>
              <w:rPr>
                <w:rFonts w:ascii="Times New Roman" w:hAnsi="Times New Roman" w:cs="Times New Roman"/>
                <w:b/>
                <w:bCs/>
              </w:rPr>
            </w:pPr>
            <w:r>
              <w:rPr>
                <w:rFonts w:ascii="Times New Roman" w:hAnsi="Times New Roman" w:cs="Times New Roman"/>
                <w:b/>
                <w:bCs/>
              </w:rPr>
              <w:t>CONSEIL DES DROITS DE L'HOMME</w:t>
            </w:r>
          </w:p>
          <w:p w14:paraId="0BE53294" w14:textId="77777777" w:rsidR="00C308CD" w:rsidRDefault="004065C7">
            <w:pPr>
              <w:pStyle w:val="Standard"/>
              <w:snapToGrid w:val="0"/>
              <w:spacing w:line="200" w:lineRule="atLeast"/>
              <w:jc w:val="both"/>
              <w:rPr>
                <w:rFonts w:ascii="Times New Roman" w:hAnsi="Times New Roman" w:cs="Times New Roman"/>
                <w:color w:val="000000"/>
                <w:shd w:val="clear" w:color="auto" w:fill="FFFFFF"/>
                <w:lang w:val="en-GB" w:bidi="ar-SA"/>
              </w:rPr>
            </w:pPr>
            <w:r>
              <w:rPr>
                <w:rFonts w:ascii="Times New Roman" w:hAnsi="Times New Roman" w:cs="Times New Roman"/>
                <w:i/>
                <w:iCs/>
                <w:color w:val="000000"/>
                <w:lang w:bidi="ar-SA"/>
              </w:rPr>
              <w:t>5</w:t>
            </w:r>
            <w:r>
              <w:rPr>
                <w:rFonts w:ascii="Times New Roman" w:hAnsi="Times New Roman" w:cs="Times New Roman"/>
                <w:i/>
                <w:iCs/>
                <w:color w:val="000000"/>
                <w:vertAlign w:val="superscript"/>
                <w:lang w:bidi="ar-SA"/>
              </w:rPr>
              <w:t>ème</w:t>
            </w:r>
            <w:r>
              <w:rPr>
                <w:rFonts w:ascii="Times New Roman" w:hAnsi="Times New Roman" w:cs="Times New Roman"/>
                <w:i/>
                <w:iCs/>
                <w:color w:val="000000"/>
                <w:lang w:bidi="ar-SA"/>
              </w:rPr>
              <w:t xml:space="preserve"> session du Groupe de travail intergouvernemental chargé d'élaborer un instrument international juridiquement contraignant sur les sociétés transnationales et autres entreprises (14-18 octobre 2019)</w:t>
            </w:r>
          </w:p>
          <w:p w14:paraId="72D21D26" w14:textId="77777777" w:rsidR="00C308CD" w:rsidRDefault="004065C7">
            <w:pPr>
              <w:pStyle w:val="Standard"/>
              <w:snapToGrid w:val="0"/>
              <w:spacing w:line="200" w:lineRule="atLeast"/>
              <w:ind w:left="10" w:right="-50" w:hanging="20"/>
              <w:jc w:val="both"/>
              <w:rPr>
                <w:rFonts w:ascii="Times New Roman" w:hAnsi="Times New Roman" w:cs="Times New Roman"/>
                <w:b/>
                <w:bCs/>
                <w:i/>
                <w:iCs/>
                <w:color w:val="000000"/>
                <w:lang w:bidi="ar-SA"/>
              </w:rPr>
            </w:pPr>
            <w:r>
              <w:rPr>
                <w:rFonts w:ascii="Times New Roman" w:hAnsi="Times New Roman" w:cs="Times New Roman"/>
                <w:b/>
                <w:bCs/>
                <w:i/>
                <w:iCs/>
                <w:color w:val="000000"/>
                <w:lang w:bidi="ar-SA"/>
              </w:rPr>
              <w:t>Débat sur les articles 10, 11 et 12</w:t>
            </w:r>
          </w:p>
        </w:tc>
      </w:tr>
    </w:tbl>
    <w:p w14:paraId="1F7D1EDC" w14:textId="77777777" w:rsidR="00C308CD" w:rsidRDefault="00C308CD">
      <w:pPr>
        <w:pStyle w:val="Textbody"/>
        <w:tabs>
          <w:tab w:val="left" w:pos="5728"/>
        </w:tabs>
        <w:spacing w:after="0" w:line="240" w:lineRule="auto"/>
        <w:jc w:val="both"/>
        <w:rPr>
          <w:rFonts w:ascii="Times New Roman" w:hAnsi="Times New Roman" w:cs="Calibri"/>
          <w:color w:val="000000"/>
          <w:lang w:bidi="ar-SA"/>
        </w:rPr>
      </w:pPr>
    </w:p>
    <w:p w14:paraId="1E159F44" w14:textId="77777777" w:rsidR="00C308CD" w:rsidRDefault="00C308CD">
      <w:pPr>
        <w:pStyle w:val="Textbody"/>
        <w:tabs>
          <w:tab w:val="left" w:pos="5616"/>
        </w:tabs>
        <w:spacing w:after="0" w:line="240" w:lineRule="auto"/>
        <w:jc w:val="both"/>
        <w:rPr>
          <w:rFonts w:ascii="Times New Roman" w:hAnsi="Times New Roman" w:cs="Times New Roman"/>
          <w:i/>
          <w:iCs/>
        </w:rPr>
      </w:pPr>
    </w:p>
    <w:p w14:paraId="3E8BA6CE" w14:textId="77777777" w:rsidR="00C308CD" w:rsidRDefault="00C308CD">
      <w:pPr>
        <w:pStyle w:val="Textbody"/>
        <w:tabs>
          <w:tab w:val="left" w:pos="5616"/>
        </w:tabs>
        <w:spacing w:after="0" w:line="240" w:lineRule="auto"/>
        <w:jc w:val="both"/>
        <w:rPr>
          <w:rFonts w:ascii="Times New Roman" w:hAnsi="Times New Roman" w:cs="Times New Roman"/>
          <w:i/>
          <w:iCs/>
        </w:rPr>
      </w:pPr>
    </w:p>
    <w:p w14:paraId="0E8B0208" w14:textId="77777777" w:rsidR="00C308CD" w:rsidRDefault="004065C7">
      <w:pPr>
        <w:pStyle w:val="Textbody"/>
        <w:spacing w:after="0" w:line="240" w:lineRule="auto"/>
        <w:ind w:right="-567"/>
        <w:jc w:val="both"/>
        <w:rPr>
          <w:rFonts w:ascii="Times New Roman" w:hAnsi="Times New Roman"/>
          <w:b/>
          <w:bCs/>
          <w:i/>
          <w:iCs/>
          <w:u w:val="single"/>
        </w:rPr>
      </w:pPr>
      <w:r>
        <w:rPr>
          <w:rFonts w:ascii="Times New Roman" w:hAnsi="Times New Roman"/>
          <w:b/>
          <w:bCs/>
          <w:i/>
          <w:iCs/>
          <w:u w:val="single"/>
        </w:rPr>
        <w:t>Déclaration orale</w:t>
      </w:r>
    </w:p>
    <w:p w14:paraId="05D9B48B" w14:textId="77777777" w:rsidR="00C308CD" w:rsidRDefault="004065C7">
      <w:pPr>
        <w:pStyle w:val="Textbody"/>
        <w:spacing w:after="0" w:line="240" w:lineRule="auto"/>
        <w:ind w:right="-567"/>
        <w:jc w:val="both"/>
        <w:rPr>
          <w:rFonts w:ascii="Times New Roman" w:hAnsi="Times New Roman"/>
          <w:i/>
          <w:iCs/>
        </w:rPr>
      </w:pPr>
      <w:r>
        <w:rPr>
          <w:rFonts w:ascii="Times New Roman" w:hAnsi="Times New Roman"/>
          <w:i/>
          <w:iCs/>
        </w:rPr>
        <w:t>Vérifier à l'audition</w:t>
      </w:r>
    </w:p>
    <w:p w14:paraId="0BEFDE7D" w14:textId="77777777" w:rsidR="00C308CD" w:rsidRDefault="00C308CD">
      <w:pPr>
        <w:pStyle w:val="Textbody"/>
        <w:spacing w:after="0" w:line="240" w:lineRule="auto"/>
        <w:ind w:right="-567"/>
        <w:jc w:val="both"/>
        <w:rPr>
          <w:rFonts w:ascii="Times New Roman" w:hAnsi="Times New Roman"/>
        </w:rPr>
      </w:pPr>
    </w:p>
    <w:p w14:paraId="0C371869" w14:textId="77777777" w:rsidR="00C308CD" w:rsidRDefault="00C308CD">
      <w:pPr>
        <w:pStyle w:val="Textbody"/>
        <w:spacing w:after="0" w:line="240" w:lineRule="auto"/>
        <w:ind w:right="-567"/>
        <w:jc w:val="both"/>
        <w:rPr>
          <w:rFonts w:ascii="Times New Roman" w:hAnsi="Times New Roman"/>
        </w:rPr>
      </w:pPr>
    </w:p>
    <w:p w14:paraId="38B0340F" w14:textId="77777777" w:rsidR="00C308CD" w:rsidRDefault="004065C7">
      <w:pPr>
        <w:pStyle w:val="Textbody"/>
        <w:spacing w:after="0" w:line="240" w:lineRule="auto"/>
        <w:ind w:right="-567"/>
        <w:jc w:val="both"/>
        <w:rPr>
          <w:rFonts w:ascii="Times New Roman" w:hAnsi="Times New Roman"/>
        </w:rPr>
      </w:pPr>
      <w:r>
        <w:rPr>
          <w:rFonts w:ascii="Times New Roman" w:hAnsi="Times New Roman"/>
        </w:rPr>
        <w:t>Monsieur le Président,</w:t>
      </w:r>
    </w:p>
    <w:p w14:paraId="5AC9FAF7" w14:textId="77777777" w:rsidR="00C308CD" w:rsidRDefault="004065C7">
      <w:pPr>
        <w:pStyle w:val="Textbody"/>
        <w:spacing w:after="0" w:line="240" w:lineRule="auto"/>
        <w:ind w:right="-567"/>
        <w:jc w:val="both"/>
        <w:rPr>
          <w:rFonts w:ascii="Times New Roman" w:hAnsi="Times New Roman"/>
        </w:rPr>
      </w:pPr>
      <w:r>
        <w:rPr>
          <w:rFonts w:ascii="Times New Roman" w:hAnsi="Times New Roman"/>
        </w:rPr>
        <w:t>L'article 10 nécessite une rédaction plus précise pour plus de clarté, notamment en ce qui concerne les parties concernées.</w:t>
      </w:r>
    </w:p>
    <w:p w14:paraId="11ADB591" w14:textId="77777777" w:rsidR="00C308CD" w:rsidRDefault="00C308CD">
      <w:pPr>
        <w:pStyle w:val="Textbody"/>
        <w:spacing w:after="0" w:line="240" w:lineRule="auto"/>
        <w:ind w:right="-567"/>
        <w:jc w:val="both"/>
        <w:rPr>
          <w:rFonts w:ascii="Times New Roman" w:hAnsi="Times New Roman"/>
        </w:rPr>
      </w:pPr>
    </w:p>
    <w:p w14:paraId="501B3B5D" w14:textId="77777777" w:rsidR="00C308CD" w:rsidRDefault="004065C7">
      <w:pPr>
        <w:pStyle w:val="Textbody"/>
        <w:spacing w:after="0" w:line="240" w:lineRule="auto"/>
        <w:ind w:right="-567"/>
        <w:jc w:val="both"/>
        <w:rPr>
          <w:rFonts w:ascii="Times New Roman" w:hAnsi="Times New Roman"/>
        </w:rPr>
      </w:pPr>
      <w:r>
        <w:rPr>
          <w:rFonts w:ascii="Times New Roman" w:hAnsi="Times New Roman"/>
        </w:rPr>
        <w:t>La coopération internationale dans le domaine judiciaire doit comprendre les enquêtes communes, le transfert de procédures, la protection des témoins, la criminalisation de l'obstruction à la justice par des STN et leurs dirigeants, l'extradition et le transfert de personnes condamnées, des mesures d’application et des mesures pour renforcer la coopération entre autorités.</w:t>
      </w:r>
    </w:p>
    <w:p w14:paraId="3FC147C3" w14:textId="77777777" w:rsidR="00C308CD" w:rsidRDefault="00C308CD">
      <w:pPr>
        <w:pStyle w:val="Textbody"/>
        <w:spacing w:after="0" w:line="240" w:lineRule="auto"/>
        <w:ind w:right="-567"/>
        <w:jc w:val="both"/>
        <w:rPr>
          <w:rFonts w:ascii="Times New Roman" w:hAnsi="Times New Roman"/>
        </w:rPr>
      </w:pPr>
    </w:p>
    <w:p w14:paraId="74EAC9AC" w14:textId="77777777" w:rsidR="00C308CD" w:rsidRDefault="004065C7">
      <w:pPr>
        <w:pStyle w:val="Textbody"/>
        <w:spacing w:after="0" w:line="240" w:lineRule="auto"/>
        <w:ind w:right="-567"/>
        <w:jc w:val="both"/>
        <w:rPr>
          <w:rFonts w:ascii="Times New Roman" w:hAnsi="Times New Roman"/>
        </w:rPr>
      </w:pPr>
      <w:r>
        <w:rPr>
          <w:rStyle w:val="Policepardfaut"/>
          <w:rFonts w:eastAsia="Calibri" w:cs="Times New Roman"/>
          <w:color w:val="000000"/>
          <w:szCs w:val="22"/>
        </w:rPr>
        <w:t>Les références à la législation nationale dans les paragraphes 3.L, 4 et 10.c réduisent le champ d’application de cet article. Elles doivent être supprimées.</w:t>
      </w:r>
    </w:p>
    <w:p w14:paraId="6E47B069" w14:textId="77777777" w:rsidR="00C308CD" w:rsidRDefault="00C308CD">
      <w:pPr>
        <w:pStyle w:val="Textbody"/>
        <w:spacing w:after="0" w:line="240" w:lineRule="auto"/>
        <w:ind w:right="-567"/>
        <w:jc w:val="both"/>
        <w:rPr>
          <w:rFonts w:ascii="Times New Roman" w:hAnsi="Times New Roman"/>
        </w:rPr>
      </w:pPr>
    </w:p>
    <w:p w14:paraId="4F479FC2" w14:textId="77777777" w:rsidR="00C308CD" w:rsidRDefault="004065C7">
      <w:pPr>
        <w:pStyle w:val="Textbody"/>
        <w:spacing w:after="0" w:line="240" w:lineRule="auto"/>
        <w:ind w:right="-567"/>
        <w:jc w:val="both"/>
        <w:rPr>
          <w:rFonts w:ascii="Times New Roman" w:hAnsi="Times New Roman"/>
        </w:rPr>
      </w:pPr>
      <w:r>
        <w:rPr>
          <w:rStyle w:val="Policepardfaut"/>
          <w:rFonts w:eastAsia="Calibri" w:cs="Times New Roman"/>
          <w:color w:val="000000"/>
          <w:szCs w:val="22"/>
          <w:lang w:eastAsia="es-ES"/>
        </w:rPr>
        <w:t>S’agissant de l’article 12, l’affirmation de la primauté du droit international en matière de droits humains sur les traités commerciaux et d'investissement doit être mentionnée dans l'article 12 et dans le préambule.</w:t>
      </w:r>
    </w:p>
    <w:p w14:paraId="09C8B9CF" w14:textId="77777777" w:rsidR="00C308CD" w:rsidRDefault="00C308CD">
      <w:pPr>
        <w:pStyle w:val="Textbody"/>
        <w:spacing w:after="0" w:line="240" w:lineRule="auto"/>
        <w:ind w:right="-567"/>
        <w:jc w:val="both"/>
        <w:rPr>
          <w:rFonts w:ascii="Times New Roman" w:hAnsi="Times New Roman"/>
        </w:rPr>
      </w:pPr>
    </w:p>
    <w:p w14:paraId="748CF5FD" w14:textId="77777777" w:rsidR="00C308CD" w:rsidRDefault="004065C7">
      <w:pPr>
        <w:pStyle w:val="Textbody"/>
        <w:spacing w:after="0" w:line="240" w:lineRule="auto"/>
        <w:ind w:right="-567"/>
        <w:jc w:val="both"/>
        <w:rPr>
          <w:rFonts w:ascii="Times New Roman" w:hAnsi="Times New Roman"/>
        </w:rPr>
      </w:pPr>
      <w:r>
        <w:rPr>
          <w:rStyle w:val="Policepardfaut"/>
          <w:rFonts w:eastAsia="Calibri" w:cs="Times New Roman"/>
          <w:color w:val="000000"/>
          <w:szCs w:val="22"/>
          <w:lang w:eastAsia="es-ES"/>
        </w:rPr>
        <w:t>Finalement, une observation générale concernant le langage utilisé dans le projet révisé. On dit parfois, violations, parfois, abus, parfois crimes. Le terme « abus » prête à confusion. Il doit être supprimé. Il faudra une harmonisation dans tout le document pour utiliser les termes de violations de droits humains et crimes qui sont bien définis dans le droit international public.</w:t>
      </w:r>
    </w:p>
    <w:p w14:paraId="5EC5E92A" w14:textId="77777777" w:rsidR="00C308CD" w:rsidRDefault="00C308CD">
      <w:pPr>
        <w:pStyle w:val="Textbody"/>
        <w:spacing w:after="0" w:line="240" w:lineRule="auto"/>
        <w:ind w:right="-567"/>
        <w:jc w:val="both"/>
        <w:rPr>
          <w:rFonts w:ascii="Times New Roman" w:hAnsi="Times New Roman"/>
        </w:rPr>
      </w:pPr>
    </w:p>
    <w:p w14:paraId="698ECCA4" w14:textId="77777777" w:rsidR="00C308CD" w:rsidRDefault="004065C7">
      <w:pPr>
        <w:pStyle w:val="Standard"/>
        <w:ind w:right="-567"/>
        <w:jc w:val="both"/>
        <w:rPr>
          <w:rFonts w:hint="eastAsia"/>
        </w:rPr>
      </w:pPr>
      <w:r>
        <w:rPr>
          <w:rStyle w:val="systrantokenpunctuation"/>
          <w:rFonts w:ascii="Times New Roman" w:hAnsi="Times New Roman"/>
          <w:i/>
          <w:iCs/>
        </w:rPr>
        <w:t>Genève, le 17 octobre 2019</w:t>
      </w:r>
    </w:p>
    <w:sectPr w:rsidR="00C308CD">
      <w:headerReference w:type="first" r:id="rId8"/>
      <w:footerReference w:type="first" r:id="rId9"/>
      <w:pgSz w:w="11906" w:h="16838"/>
      <w:pgMar w:top="1418" w:right="1134" w:bottom="1077" w:left="1418" w:header="851"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0CBF9" w14:textId="77777777" w:rsidR="00AA1D3D" w:rsidRDefault="00AA1D3D">
      <w:pPr>
        <w:rPr>
          <w:rFonts w:hint="eastAsia"/>
        </w:rPr>
      </w:pPr>
      <w:r>
        <w:separator/>
      </w:r>
    </w:p>
  </w:endnote>
  <w:endnote w:type="continuationSeparator" w:id="0">
    <w:p w14:paraId="45CD4A2E" w14:textId="77777777" w:rsidR="00AA1D3D" w:rsidRDefault="00AA1D3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NSimSun">
    <w:altName w:val="Arial Unicode MS"/>
    <w:charset w:val="86"/>
    <w:family w:val="modern"/>
    <w:pitch w:val="fixed"/>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Liberation Mono">
    <w:charset w:val="00"/>
    <w:family w:val="modern"/>
    <w:pitch w:val="default"/>
  </w:font>
  <w:font w:name="OpenSymbol">
    <w:altName w:val="Arial Unicode MS"/>
    <w:charset w:val="00"/>
    <w:family w:val="roman"/>
    <w:pitch w:val="variable"/>
  </w:font>
  <w:font w:name="Calibri">
    <w:panose1 w:val="020F0502020204030204"/>
    <w:charset w:val="00"/>
    <w:family w:val="auto"/>
    <w:pitch w:val="variable"/>
    <w:sig w:usb0="E00002FF" w:usb1="4000ACFF" w:usb2="00000001" w:usb3="00000000" w:csb0="0000019F" w:csb1="00000000"/>
  </w:font>
  <w:font w:name="Univers Condensed">
    <w:altName w:val="Arial"/>
    <w:charset w:val="00"/>
    <w:family w:val="swiss"/>
    <w:pitch w:val="variable"/>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26E58" w14:textId="77777777" w:rsidR="0048729C" w:rsidRDefault="004065C7">
    <w:pPr>
      <w:pStyle w:val="Pidipagina"/>
      <w:spacing w:after="80"/>
      <w:ind w:left="-170" w:right="-170"/>
      <w:jc w:val="center"/>
      <w:rPr>
        <w:rFonts w:hint="eastAsia"/>
      </w:rPr>
    </w:pPr>
    <w:r>
      <w:t>CCP(CHF): 12-19850-1   CCP(Euro): 91-13687-6      Banque: BCG, L 750 16 55, 1211 Genève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95579" w14:textId="77777777" w:rsidR="00AA1D3D" w:rsidRDefault="00AA1D3D">
      <w:pPr>
        <w:rPr>
          <w:rFonts w:hint="eastAsia"/>
        </w:rPr>
      </w:pPr>
      <w:r>
        <w:rPr>
          <w:color w:val="000000"/>
        </w:rPr>
        <w:separator/>
      </w:r>
    </w:p>
  </w:footnote>
  <w:footnote w:type="continuationSeparator" w:id="0">
    <w:p w14:paraId="0125F9BE" w14:textId="77777777" w:rsidR="00AA1D3D" w:rsidRDefault="00AA1D3D">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8" w:type="dxa"/>
      <w:tblInd w:w="-40" w:type="dxa"/>
      <w:tblLayout w:type="fixed"/>
      <w:tblCellMar>
        <w:left w:w="10" w:type="dxa"/>
        <w:right w:w="10" w:type="dxa"/>
      </w:tblCellMar>
      <w:tblLook w:val="0000" w:firstRow="0" w:lastRow="0" w:firstColumn="0" w:lastColumn="0" w:noHBand="0" w:noVBand="0"/>
    </w:tblPr>
    <w:tblGrid>
      <w:gridCol w:w="1700"/>
      <w:gridCol w:w="8538"/>
    </w:tblGrid>
    <w:tr w:rsidR="0048729C" w14:paraId="7662CA3A" w14:textId="77777777">
      <w:trPr>
        <w:trHeight w:val="1274"/>
      </w:trPr>
      <w:tc>
        <w:tcPr>
          <w:tcW w:w="1700" w:type="dxa"/>
          <w:shd w:val="clear" w:color="auto" w:fill="FFFFFF"/>
          <w:tcMar>
            <w:top w:w="0" w:type="dxa"/>
            <w:left w:w="70" w:type="dxa"/>
            <w:bottom w:w="0" w:type="dxa"/>
            <w:right w:w="70" w:type="dxa"/>
          </w:tcMar>
        </w:tcPr>
        <w:p w14:paraId="16DA030D" w14:textId="77777777" w:rsidR="0048729C" w:rsidRDefault="004065C7">
          <w:pPr>
            <w:pStyle w:val="Intestazione"/>
            <w:snapToGrid w:val="0"/>
            <w:rPr>
              <w:rFonts w:ascii="Univers Condensed" w:hAnsi="Univers Condensed" w:hint="eastAsia"/>
            </w:rPr>
          </w:pPr>
          <w:r>
            <w:rPr>
              <w:rFonts w:ascii="Univers Condensed" w:hAnsi="Univers Condensed"/>
              <w:noProof/>
              <w:lang w:val="it-IT" w:eastAsia="it-IT" w:bidi="ar-SA"/>
            </w:rPr>
            <w:drawing>
              <wp:anchor distT="0" distB="0" distL="114300" distR="114300" simplePos="0" relativeHeight="251659264" behindDoc="0" locked="0" layoutInCell="1" allowOverlap="1" wp14:anchorId="1A1803ED" wp14:editId="265B68E0">
                <wp:simplePos x="0" y="0"/>
                <wp:positionH relativeFrom="column">
                  <wp:posOffset>-374760</wp:posOffset>
                </wp:positionH>
                <wp:positionV relativeFrom="paragraph">
                  <wp:posOffset>-108000</wp:posOffset>
                </wp:positionV>
                <wp:extent cx="1214280" cy="1214280"/>
                <wp:effectExtent l="0" t="0" r="4920" b="492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14280" cy="1214280"/>
                        </a:xfrm>
                        <a:prstGeom prst="rect">
                          <a:avLst/>
                        </a:prstGeom>
                      </pic:spPr>
                    </pic:pic>
                  </a:graphicData>
                </a:graphic>
              </wp:anchor>
            </w:drawing>
          </w:r>
        </w:p>
      </w:tc>
      <w:tc>
        <w:tcPr>
          <w:tcW w:w="8538" w:type="dxa"/>
          <w:shd w:val="clear" w:color="auto" w:fill="FFFFFF"/>
          <w:tcMar>
            <w:top w:w="0" w:type="dxa"/>
            <w:left w:w="70" w:type="dxa"/>
            <w:bottom w:w="0" w:type="dxa"/>
            <w:right w:w="70" w:type="dxa"/>
          </w:tcMar>
        </w:tcPr>
        <w:p w14:paraId="44B3BC4D" w14:textId="77777777" w:rsidR="0048729C" w:rsidRDefault="004065C7">
          <w:pPr>
            <w:pStyle w:val="Intestazione"/>
            <w:snapToGrid w:val="0"/>
            <w:spacing w:before="40" w:after="120"/>
            <w:rPr>
              <w:rFonts w:ascii="Garamond" w:hAnsi="Garamond"/>
              <w:spacing w:val="24"/>
              <w:sz w:val="56"/>
            </w:rPr>
          </w:pPr>
          <w:r>
            <w:rPr>
              <w:rFonts w:ascii="Garamond" w:hAnsi="Garamond"/>
              <w:spacing w:val="24"/>
              <w:sz w:val="56"/>
            </w:rPr>
            <w:t>Centre Europe - Tiers Monde</w:t>
          </w:r>
        </w:p>
        <w:p w14:paraId="3E4BA0C0" w14:textId="77777777" w:rsidR="0048729C" w:rsidRDefault="004065C7">
          <w:pPr>
            <w:pStyle w:val="Intestazione"/>
            <w:spacing w:before="227"/>
            <w:rPr>
              <w:rFonts w:ascii="Calibri" w:hAnsi="Calibri"/>
              <w:sz w:val="22"/>
            </w:rPr>
          </w:pPr>
          <w:r>
            <w:rPr>
              <w:rFonts w:ascii="Calibri" w:hAnsi="Calibri"/>
              <w:sz w:val="22"/>
            </w:rPr>
            <w:t xml:space="preserve">Centre de recherches et de publications sur les relations entre le Tiers Monde et l'Europe   </w:t>
          </w:r>
        </w:p>
      </w:tc>
    </w:tr>
  </w:tbl>
  <w:p w14:paraId="46F5032A" w14:textId="77777777" w:rsidR="0048729C" w:rsidRDefault="00AA1D3D">
    <w:pPr>
      <w:pStyle w:val="Intestazion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33EC2"/>
    <w:multiLevelType w:val="multilevel"/>
    <w:tmpl w:val="AAC8554C"/>
    <w:styleLink w:val="WWNum2"/>
    <w:lvl w:ilvl="0">
      <w:numFmt w:val="bullet"/>
      <w:lvlText w:val="-"/>
      <w:lvlJc w:val="left"/>
      <w:pPr>
        <w:ind w:left="360" w:firstLine="0"/>
      </w:pPr>
      <w:rPr>
        <w:rFonts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CE92F6D"/>
    <w:multiLevelType w:val="multilevel"/>
    <w:tmpl w:val="5D3E851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hideSpellingErrors/>
  <w:hideGrammaticalErrors/>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CD"/>
    <w:rsid w:val="00001F49"/>
    <w:rsid w:val="002850AE"/>
    <w:rsid w:val="004065C7"/>
    <w:rsid w:val="00AA1D3D"/>
    <w:rsid w:val="00C30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DBFF4EB"/>
  <w15:docId w15:val="{2EEE8CF2-E051-46F6-A620-C616EC57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Heading"/>
    <w:next w:val="Textbody"/>
    <w:uiPriority w:val="9"/>
    <w:semiHidden/>
    <w:unhideWhenUsed/>
    <w:qFormat/>
    <w:pPr>
      <w:spacing w:before="200"/>
      <w:outlineLvl w:val="1"/>
    </w:pPr>
    <w:rPr>
      <w:rFonts w:ascii="Liberation Serif" w:eastAsia="SimSun"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tabs>
        <w:tab w:val="center" w:pos="4819"/>
        <w:tab w:val="right" w:pos="9071"/>
      </w:tabs>
    </w:pPr>
  </w:style>
  <w:style w:type="paragraph" w:styleId="Pidipagina">
    <w:name w:val="footer"/>
    <w:basedOn w:val="Standard"/>
    <w:pPr>
      <w:tabs>
        <w:tab w:val="center" w:pos="4819"/>
        <w:tab w:val="right" w:pos="9071"/>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Corpsdetexte2">
    <w:name w:val="Corps de texte 2"/>
    <w:basedOn w:val="Standard"/>
    <w:pPr>
      <w:jc w:val="both"/>
    </w:pPr>
    <w:rPr>
      <w:sz w:val="22"/>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73">
    <w:name w:val="ListLabel 73"/>
    <w:rPr>
      <w:rFonts w:cs="Times New Roman"/>
      <w:sz w:val="24"/>
    </w:rPr>
  </w:style>
  <w:style w:type="character" w:customStyle="1" w:styleId="ListLabel1">
    <w:name w:val="ListLabel 1"/>
    <w:rPr>
      <w:rFonts w:ascii="Times New Roman" w:eastAsia="Times New Roman" w:hAnsi="Times New Roman" w:cs="Times New Roman"/>
      <w:sz w:val="22"/>
      <w:szCs w:val="22"/>
    </w:rPr>
  </w:style>
  <w:style w:type="character" w:customStyle="1" w:styleId="systrantokenpunctuation">
    <w:name w:val="systran_token_punctuation"/>
    <w:basedOn w:val="Policepardfaut1"/>
  </w:style>
  <w:style w:type="character" w:customStyle="1" w:styleId="Policepardfaut1">
    <w:name w:val="Police par défaut1"/>
  </w:style>
  <w:style w:type="character" w:customStyle="1" w:styleId="Policepardfaut">
    <w:name w:val="Police par défaut"/>
  </w:style>
  <w:style w:type="numbering" w:customStyle="1" w:styleId="WWNum2">
    <w:name w:val="WWNum2"/>
    <w:basedOn w:val="Nessunelenco"/>
    <w:pPr>
      <w:numPr>
        <w:numId w:val="1"/>
      </w:numPr>
    </w:pPr>
  </w:style>
  <w:style w:type="numbering" w:customStyle="1" w:styleId="NoList1">
    <w:name w:val="No List_1"/>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etim.ch/"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E19192-E34E-4ED7-9DD8-80FEF6BAE925}"/>
</file>

<file path=customXml/itemProps2.xml><?xml version="1.0" encoding="utf-8"?>
<ds:datastoreItem xmlns:ds="http://schemas.openxmlformats.org/officeDocument/2006/customXml" ds:itemID="{A7F6D9B1-CD2C-4408-812D-3A603468AC2B}"/>
</file>

<file path=customXml/itemProps3.xml><?xml version="1.0" encoding="utf-8"?>
<ds:datastoreItem xmlns:ds="http://schemas.openxmlformats.org/officeDocument/2006/customXml" ds:itemID="{B69C9585-C363-40E2-86C2-9427711185F7}"/>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Macintosh Word</Application>
  <DocSecurity>0</DocSecurity>
  <Lines>12</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Raffaele Morgantini</cp:lastModifiedBy>
  <cp:revision>2</cp:revision>
  <cp:lastPrinted>2019-06-13T09:25:00Z</cp:lastPrinted>
  <dcterms:created xsi:type="dcterms:W3CDTF">2019-10-17T11:50:00Z</dcterms:created>
  <dcterms:modified xsi:type="dcterms:W3CDTF">2019-10-17T11:50:00Z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5333600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