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E3" w:rsidRPr="005F77EC" w:rsidRDefault="001D0AE3" w:rsidP="001D0AE3">
      <w:pPr>
        <w:spacing w:line="360" w:lineRule="auto"/>
        <w:jc w:val="center"/>
        <w:rPr>
          <w:rFonts w:ascii="Arial" w:eastAsia="Cambria" w:hAnsi="Arial" w:cs="Arial"/>
          <w:b/>
          <w:sz w:val="24"/>
          <w:szCs w:val="24"/>
        </w:rPr>
      </w:pPr>
      <w:bookmarkStart w:id="0" w:name="_GoBack"/>
      <w:bookmarkEnd w:id="0"/>
      <w:r w:rsidRPr="005F77EC">
        <w:rPr>
          <w:rFonts w:ascii="Arial" w:eastAsia="Cambria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372D028E" wp14:editId="54C7DC66">
            <wp:extent cx="1082040" cy="1352550"/>
            <wp:effectExtent l="0" t="0" r="0" b="0"/>
            <wp:docPr id="4" name="Picture 4" descr="http://www.hubert-herald.nl/RSA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bert-herald.nl/RSA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920" cy="136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E3" w:rsidRPr="005F77EC" w:rsidRDefault="001D0AE3" w:rsidP="001D0AE3">
      <w:pPr>
        <w:spacing w:line="360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1D0AE3" w:rsidRPr="00076628" w:rsidRDefault="001D0AE3" w:rsidP="001D0AE3">
      <w:pPr>
        <w:spacing w:line="360" w:lineRule="auto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SOUTH AFRICAN</w:t>
      </w:r>
      <w:r w:rsidRPr="00076628">
        <w:rPr>
          <w:rFonts w:ascii="Arial" w:eastAsia="Cambria" w:hAnsi="Arial" w:cs="Arial"/>
          <w:b/>
          <w:sz w:val="24"/>
          <w:szCs w:val="24"/>
        </w:rPr>
        <w:t xml:space="preserve"> STATEMENT TO THE </w:t>
      </w:r>
    </w:p>
    <w:p w:rsidR="001D0AE3" w:rsidRPr="00B05CC0" w:rsidRDefault="001D0AE3" w:rsidP="001D0AE3">
      <w:pPr>
        <w:spacing w:line="36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076628">
        <w:rPr>
          <w:rFonts w:ascii="Arial" w:eastAsia="Cambria" w:hAnsi="Arial" w:cs="Arial"/>
          <w:b/>
          <w:sz w:val="24"/>
          <w:szCs w:val="24"/>
        </w:rPr>
        <w:t xml:space="preserve">4 </w:t>
      </w:r>
      <w:r w:rsidRPr="00076628">
        <w:rPr>
          <w:rFonts w:ascii="Arial" w:eastAsia="Cambria" w:hAnsi="Arial" w:cs="Arial"/>
          <w:b/>
          <w:sz w:val="24"/>
          <w:szCs w:val="24"/>
          <w:vertAlign w:val="superscript"/>
        </w:rPr>
        <w:t>TH</w:t>
      </w:r>
      <w:r w:rsidRPr="00076628">
        <w:rPr>
          <w:rFonts w:ascii="Arial" w:eastAsia="Cambria" w:hAnsi="Arial" w:cs="Arial"/>
          <w:b/>
          <w:sz w:val="24"/>
          <w:szCs w:val="24"/>
        </w:rPr>
        <w:t xml:space="preserve"> SESSION OF THE OPEN ENDED </w:t>
      </w:r>
      <w:r w:rsidRPr="00076628">
        <w:rPr>
          <w:rFonts w:ascii="Arial" w:hAnsi="Arial" w:cs="Arial"/>
          <w:b/>
          <w:sz w:val="24"/>
          <w:szCs w:val="24"/>
        </w:rPr>
        <w:t>SESSION OF THE IGWG ON TN</w:t>
      </w:r>
      <w:r>
        <w:rPr>
          <w:rFonts w:ascii="Arial" w:hAnsi="Arial" w:cs="Arial"/>
          <w:b/>
          <w:sz w:val="24"/>
          <w:szCs w:val="24"/>
        </w:rPr>
        <w:t>RANSNATIONAL CORPORATIONS AND OTHER BUSINES ENTERPRISES</w:t>
      </w:r>
    </w:p>
    <w:p w:rsidR="001D0AE3" w:rsidRDefault="001D0AE3" w:rsidP="001D0AE3">
      <w:pPr>
        <w:spacing w:line="360" w:lineRule="auto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GENEVA</w:t>
      </w:r>
    </w:p>
    <w:p w:rsidR="001D0AE3" w:rsidRDefault="001D0AE3" w:rsidP="001D0AE3">
      <w:pPr>
        <w:spacing w:line="360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1D0AE3" w:rsidRDefault="001D0AE3" w:rsidP="001D0AE3">
      <w:pPr>
        <w:spacing w:line="360" w:lineRule="auto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ARTICLE 3</w:t>
      </w:r>
      <w:r w:rsidR="0024176E">
        <w:rPr>
          <w:rFonts w:ascii="Arial" w:eastAsia="Cambria" w:hAnsi="Arial" w:cs="Arial"/>
          <w:b/>
          <w:sz w:val="24"/>
          <w:szCs w:val="24"/>
        </w:rPr>
        <w:t xml:space="preserve"> and 4</w:t>
      </w:r>
    </w:p>
    <w:p w:rsidR="001D0AE3" w:rsidRDefault="001D0AE3" w:rsidP="001D0AE3">
      <w:pPr>
        <w:spacing w:line="360" w:lineRule="auto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17 October 2018</w:t>
      </w:r>
    </w:p>
    <w:p w:rsidR="001D0AE3" w:rsidRDefault="001D0AE3" w:rsidP="001D0AE3">
      <w:pPr>
        <w:rPr>
          <w:b/>
          <w:u w:val="single"/>
        </w:rPr>
      </w:pPr>
    </w:p>
    <w:p w:rsidR="001D0AE3" w:rsidRDefault="001D0AE3" w:rsidP="001D0AE3">
      <w:pPr>
        <w:rPr>
          <w:b/>
          <w:u w:val="single"/>
        </w:rPr>
      </w:pPr>
    </w:p>
    <w:p w:rsidR="001D0AE3" w:rsidRDefault="001D0AE3" w:rsidP="001D0AE3">
      <w:pPr>
        <w:rPr>
          <w:b/>
          <w:u w:val="single"/>
        </w:rPr>
      </w:pPr>
    </w:p>
    <w:p w:rsidR="001D0AE3" w:rsidRDefault="001D0AE3" w:rsidP="001D0AE3">
      <w:pPr>
        <w:rPr>
          <w:b/>
          <w:u w:val="single"/>
        </w:rPr>
      </w:pPr>
    </w:p>
    <w:p w:rsidR="001D0AE3" w:rsidRDefault="001D0AE3" w:rsidP="001D0AE3">
      <w:pPr>
        <w:rPr>
          <w:b/>
          <w:u w:val="single"/>
        </w:rPr>
      </w:pPr>
    </w:p>
    <w:p w:rsidR="001D0AE3" w:rsidRDefault="001D0AE3" w:rsidP="001D0AE3">
      <w:pPr>
        <w:rPr>
          <w:b/>
          <w:u w:val="single"/>
        </w:rPr>
      </w:pPr>
    </w:p>
    <w:p w:rsidR="001D0AE3" w:rsidRDefault="001D0AE3" w:rsidP="001D0AE3">
      <w:pPr>
        <w:rPr>
          <w:b/>
          <w:u w:val="single"/>
        </w:rPr>
      </w:pPr>
    </w:p>
    <w:p w:rsidR="001D0AE3" w:rsidRDefault="001D0AE3" w:rsidP="001D0AE3">
      <w:pPr>
        <w:rPr>
          <w:b/>
          <w:u w:val="single"/>
        </w:rPr>
      </w:pPr>
    </w:p>
    <w:p w:rsidR="001D0AE3" w:rsidRDefault="001D0AE3" w:rsidP="001D0AE3">
      <w:pPr>
        <w:rPr>
          <w:b/>
          <w:u w:val="single"/>
        </w:rPr>
      </w:pPr>
    </w:p>
    <w:p w:rsidR="001D0AE3" w:rsidRDefault="001D0AE3" w:rsidP="001D0AE3">
      <w:pPr>
        <w:rPr>
          <w:b/>
          <w:u w:val="single"/>
        </w:rPr>
      </w:pPr>
    </w:p>
    <w:p w:rsidR="001D0AE3" w:rsidRDefault="001D0AE3" w:rsidP="001D0AE3">
      <w:pPr>
        <w:rPr>
          <w:b/>
          <w:u w:val="single"/>
        </w:rPr>
      </w:pPr>
    </w:p>
    <w:p w:rsidR="001D0AE3" w:rsidRDefault="001D0AE3" w:rsidP="001D0AE3">
      <w:pPr>
        <w:rPr>
          <w:b/>
          <w:u w:val="single"/>
        </w:rPr>
      </w:pPr>
    </w:p>
    <w:p w:rsidR="001D0AE3" w:rsidRDefault="001D0AE3" w:rsidP="001D0AE3">
      <w:pPr>
        <w:spacing w:line="360" w:lineRule="auto"/>
        <w:jc w:val="right"/>
        <w:rPr>
          <w:rFonts w:ascii="Arial" w:eastAsia="Cambria" w:hAnsi="Arial" w:cs="Arial"/>
          <w:b/>
          <w:i/>
          <w:sz w:val="24"/>
          <w:szCs w:val="24"/>
        </w:rPr>
      </w:pPr>
      <w:r w:rsidRPr="00B57F44">
        <w:rPr>
          <w:rFonts w:ascii="Arial" w:eastAsia="Cambria" w:hAnsi="Arial" w:cs="Arial"/>
          <w:b/>
          <w:i/>
          <w:sz w:val="24"/>
          <w:szCs w:val="24"/>
        </w:rPr>
        <w:t>Check against delivery</w:t>
      </w:r>
    </w:p>
    <w:p w:rsidR="001D0AE3" w:rsidRDefault="001D0AE3" w:rsidP="001D0AE3">
      <w:pPr>
        <w:spacing w:line="360" w:lineRule="auto"/>
        <w:rPr>
          <w:rFonts w:ascii="Arial" w:hAnsi="Arial" w:cs="Arial"/>
          <w:sz w:val="24"/>
          <w:szCs w:val="24"/>
        </w:rPr>
      </w:pPr>
      <w:r w:rsidRPr="00FC12F1">
        <w:rPr>
          <w:rFonts w:ascii="Arial" w:hAnsi="Arial" w:cs="Arial"/>
          <w:sz w:val="24"/>
          <w:szCs w:val="24"/>
        </w:rPr>
        <w:lastRenderedPageBreak/>
        <w:t>Chairperson,</w:t>
      </w:r>
    </w:p>
    <w:p w:rsidR="0024176E" w:rsidRPr="00FC12F1" w:rsidRDefault="0024176E" w:rsidP="001D0A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to you and</w:t>
      </w:r>
      <w:r w:rsidR="008431DC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panellists.</w:t>
      </w:r>
    </w:p>
    <w:p w:rsidR="0024176E" w:rsidRDefault="0024176E" w:rsidP="00A34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Article 3, m</w:t>
      </w:r>
      <w:r w:rsidR="001D0AE3" w:rsidRPr="00FC12F1">
        <w:rPr>
          <w:rFonts w:ascii="Arial" w:hAnsi="Arial" w:cs="Arial"/>
          <w:sz w:val="24"/>
          <w:szCs w:val="24"/>
        </w:rPr>
        <w:t>y delegation</w:t>
      </w:r>
      <w:r>
        <w:rPr>
          <w:rFonts w:ascii="Arial" w:hAnsi="Arial" w:cs="Arial"/>
          <w:sz w:val="24"/>
          <w:szCs w:val="24"/>
        </w:rPr>
        <w:t xml:space="preserve"> wishes to reiterate that this Intergovernmental Working Group as created by </w:t>
      </w:r>
      <w:r w:rsidR="008431DC">
        <w:rPr>
          <w:rFonts w:ascii="Arial" w:hAnsi="Arial" w:cs="Arial"/>
          <w:sz w:val="24"/>
          <w:szCs w:val="24"/>
        </w:rPr>
        <w:t xml:space="preserve">Resolution </w:t>
      </w:r>
      <w:r>
        <w:rPr>
          <w:rFonts w:ascii="Arial" w:hAnsi="Arial" w:cs="Arial"/>
          <w:sz w:val="24"/>
          <w:szCs w:val="24"/>
        </w:rPr>
        <w:t>26/9 was mandated to create a legally binding instrument for Transnational Corporations and Other Business Enterprises</w:t>
      </w:r>
      <w:r w:rsidR="00621A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 this regard the scope should clearly reflect this.</w:t>
      </w:r>
    </w:p>
    <w:p w:rsidR="001D0AE3" w:rsidRPr="008848C7" w:rsidRDefault="003E624C" w:rsidP="00A34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gramStart"/>
      <w:r>
        <w:rPr>
          <w:rFonts w:ascii="Arial" w:hAnsi="Arial" w:cs="Arial"/>
          <w:sz w:val="24"/>
          <w:szCs w:val="24"/>
        </w:rPr>
        <w:t>alluded</w:t>
      </w:r>
      <w:proofErr w:type="gramEnd"/>
      <w:r>
        <w:rPr>
          <w:rFonts w:ascii="Arial" w:hAnsi="Arial" w:cs="Arial"/>
          <w:sz w:val="24"/>
          <w:szCs w:val="24"/>
        </w:rPr>
        <w:t xml:space="preserve"> to yesterday</w:t>
      </w:r>
      <w:r w:rsidR="008431DC">
        <w:rPr>
          <w:rFonts w:ascii="Arial" w:hAnsi="Arial" w:cs="Arial"/>
          <w:sz w:val="24"/>
          <w:szCs w:val="24"/>
        </w:rPr>
        <w:t>, no business enterprise</w:t>
      </w:r>
      <w:r>
        <w:rPr>
          <w:rFonts w:ascii="Arial" w:hAnsi="Arial" w:cs="Arial"/>
          <w:sz w:val="24"/>
          <w:szCs w:val="24"/>
        </w:rPr>
        <w:t xml:space="preserve"> may violate human rights but at the same time the focus is on TNCs and OBEs</w:t>
      </w:r>
      <w:r w:rsidR="00286DC3">
        <w:rPr>
          <w:rFonts w:ascii="Arial" w:hAnsi="Arial" w:cs="Arial"/>
          <w:sz w:val="24"/>
          <w:szCs w:val="24"/>
        </w:rPr>
        <w:t xml:space="preserve"> (as mentioned by some delegations)</w:t>
      </w:r>
      <w:r>
        <w:rPr>
          <w:rFonts w:ascii="Arial" w:hAnsi="Arial" w:cs="Arial"/>
          <w:sz w:val="24"/>
          <w:szCs w:val="24"/>
        </w:rPr>
        <w:t xml:space="preserve">. </w:t>
      </w:r>
      <w:r w:rsidR="0024176E">
        <w:rPr>
          <w:rFonts w:ascii="Arial" w:hAnsi="Arial" w:cs="Arial"/>
          <w:sz w:val="24"/>
          <w:szCs w:val="24"/>
        </w:rPr>
        <w:t>The text in</w:t>
      </w:r>
      <w:r>
        <w:rPr>
          <w:rFonts w:ascii="Arial" w:hAnsi="Arial" w:cs="Arial"/>
          <w:sz w:val="24"/>
          <w:szCs w:val="24"/>
        </w:rPr>
        <w:t xml:space="preserve"> the</w:t>
      </w:r>
      <w:r w:rsidR="0024176E">
        <w:rPr>
          <w:rFonts w:ascii="Arial" w:hAnsi="Arial" w:cs="Arial"/>
          <w:sz w:val="24"/>
          <w:szCs w:val="24"/>
        </w:rPr>
        <w:t xml:space="preserve"> Zero Draft should therefore use the language as agr</w:t>
      </w:r>
      <w:r w:rsidR="008848C7">
        <w:rPr>
          <w:rFonts w:ascii="Arial" w:hAnsi="Arial" w:cs="Arial"/>
          <w:sz w:val="24"/>
          <w:szCs w:val="24"/>
        </w:rPr>
        <w:t>eed by replacing “</w:t>
      </w:r>
      <w:r w:rsidR="001D0AE3" w:rsidRPr="008848C7">
        <w:rPr>
          <w:rFonts w:ascii="Arial" w:hAnsi="Arial" w:cs="Arial"/>
          <w:sz w:val="24"/>
          <w:szCs w:val="24"/>
        </w:rPr>
        <w:t xml:space="preserve">business activities of a </w:t>
      </w:r>
      <w:r w:rsidR="008848C7">
        <w:rPr>
          <w:rFonts w:ascii="Arial" w:hAnsi="Arial" w:cs="Arial"/>
          <w:sz w:val="24"/>
          <w:szCs w:val="24"/>
        </w:rPr>
        <w:t>transnational character” with Transnational Corporations and Other Business Enterprises to read:</w:t>
      </w:r>
    </w:p>
    <w:p w:rsidR="001D0AE3" w:rsidRDefault="001D0AE3" w:rsidP="00A3481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12F1">
        <w:rPr>
          <w:rFonts w:ascii="Arial" w:hAnsi="Arial" w:cs="Arial"/>
          <w:sz w:val="24"/>
          <w:szCs w:val="24"/>
        </w:rPr>
        <w:t>This Convention shall apply to human rights violations occurring as a result of the operational activities of Transnational Corporations and Other Business Enterprises</w:t>
      </w:r>
    </w:p>
    <w:p w:rsidR="001D0AE3" w:rsidRPr="00FC12F1" w:rsidRDefault="001D0AE3" w:rsidP="001D0AE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1D0AE3" w:rsidRDefault="008848C7" w:rsidP="001D0A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the text should include </w:t>
      </w:r>
      <w:r w:rsidR="001D0AE3">
        <w:rPr>
          <w:rFonts w:ascii="Arial" w:hAnsi="Arial" w:cs="Arial"/>
          <w:sz w:val="24"/>
          <w:szCs w:val="24"/>
        </w:rPr>
        <w:t xml:space="preserve">fundamental freedoms </w:t>
      </w:r>
      <w:r w:rsidR="003E624C">
        <w:rPr>
          <w:rFonts w:ascii="Arial" w:hAnsi="Arial" w:cs="Arial"/>
          <w:sz w:val="24"/>
          <w:szCs w:val="24"/>
        </w:rPr>
        <w:t xml:space="preserve"> </w:t>
      </w:r>
      <w:r w:rsidR="001D0AE3">
        <w:rPr>
          <w:rFonts w:ascii="Arial" w:hAnsi="Arial" w:cs="Arial"/>
          <w:sz w:val="24"/>
          <w:szCs w:val="24"/>
        </w:rPr>
        <w:t xml:space="preserve">to read: </w:t>
      </w:r>
    </w:p>
    <w:p w:rsidR="001D0AE3" w:rsidRDefault="001D0AE3" w:rsidP="001D0AE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1D0AE3" w:rsidRDefault="001D0AE3" w:rsidP="00A3481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12F1">
        <w:rPr>
          <w:rFonts w:ascii="Arial" w:hAnsi="Arial" w:cs="Arial"/>
          <w:sz w:val="24"/>
          <w:szCs w:val="24"/>
        </w:rPr>
        <w:t>This Convention shall cover all internationally recognised human rights and fundamental freedoms</w:t>
      </w:r>
      <w:r>
        <w:rPr>
          <w:rFonts w:ascii="Arial" w:hAnsi="Arial" w:cs="Arial"/>
          <w:sz w:val="24"/>
          <w:szCs w:val="24"/>
        </w:rPr>
        <w:t xml:space="preserve"> and those further recognised under domestic law</w:t>
      </w:r>
      <w:r w:rsidR="003E624C">
        <w:rPr>
          <w:rFonts w:ascii="Arial" w:hAnsi="Arial" w:cs="Arial"/>
          <w:sz w:val="24"/>
          <w:szCs w:val="24"/>
        </w:rPr>
        <w:t xml:space="preserve">. </w:t>
      </w:r>
    </w:p>
    <w:p w:rsidR="003E624C" w:rsidRPr="003E624C" w:rsidRDefault="003E624C" w:rsidP="003E62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Furthermore, international humanitarian law including situations of occupation and armed conflict must be included.</w:t>
      </w:r>
    </w:p>
    <w:p w:rsidR="0024176E" w:rsidRDefault="0024176E" w:rsidP="000A1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Article 4, </w:t>
      </w:r>
    </w:p>
    <w:p w:rsidR="001D0AE3" w:rsidRDefault="001D0AE3" w:rsidP="000A1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 </w:t>
      </w:r>
      <w:r w:rsidR="00621ACC">
        <w:rPr>
          <w:rFonts w:ascii="Arial" w:hAnsi="Arial" w:cs="Arial"/>
          <w:sz w:val="24"/>
          <w:szCs w:val="24"/>
        </w:rPr>
        <w:t>victim should encapsulate</w:t>
      </w:r>
      <w:r>
        <w:rPr>
          <w:rFonts w:ascii="Arial" w:hAnsi="Arial" w:cs="Arial"/>
          <w:sz w:val="24"/>
          <w:szCs w:val="24"/>
        </w:rPr>
        <w:t xml:space="preserve"> the following:</w:t>
      </w:r>
    </w:p>
    <w:p w:rsidR="001D0AE3" w:rsidRDefault="001D0AE3" w:rsidP="000A1D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D1311">
        <w:rPr>
          <w:rFonts w:ascii="Arial" w:hAnsi="Arial" w:cs="Arial"/>
          <w:sz w:val="24"/>
          <w:szCs w:val="24"/>
        </w:rPr>
        <w:t xml:space="preserve">eoples or groups of peoples/ communities whose quality of life </w:t>
      </w:r>
      <w:proofErr w:type="gramStart"/>
      <w:r w:rsidRPr="00BD1311">
        <w:rPr>
          <w:rFonts w:ascii="Arial" w:hAnsi="Arial" w:cs="Arial"/>
          <w:sz w:val="24"/>
          <w:szCs w:val="24"/>
        </w:rPr>
        <w:t>is</w:t>
      </w:r>
      <w:proofErr w:type="gramEnd"/>
      <w:r w:rsidRPr="00BD1311">
        <w:rPr>
          <w:rFonts w:ascii="Arial" w:hAnsi="Arial" w:cs="Arial"/>
          <w:sz w:val="24"/>
          <w:szCs w:val="24"/>
        </w:rPr>
        <w:t xml:space="preserve"> affected/ has been affected by the activities of these entit</w:t>
      </w:r>
      <w:r>
        <w:rPr>
          <w:rFonts w:ascii="Arial" w:hAnsi="Arial" w:cs="Arial"/>
          <w:sz w:val="24"/>
          <w:szCs w:val="24"/>
        </w:rPr>
        <w:t>ies resulting in HR violations.</w:t>
      </w:r>
    </w:p>
    <w:p w:rsidR="001D0AE3" w:rsidRDefault="001D0AE3" w:rsidP="000A1D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D1311">
        <w:rPr>
          <w:rFonts w:ascii="Arial" w:hAnsi="Arial" w:cs="Arial"/>
          <w:sz w:val="24"/>
          <w:szCs w:val="24"/>
        </w:rPr>
        <w:t xml:space="preserve">eoples or groups of peoples/ communities </w:t>
      </w:r>
      <w:r>
        <w:rPr>
          <w:rFonts w:ascii="Arial" w:hAnsi="Arial" w:cs="Arial"/>
          <w:sz w:val="24"/>
          <w:szCs w:val="24"/>
        </w:rPr>
        <w:t>who are suffering</w:t>
      </w:r>
      <w:r w:rsidRPr="00BD1311">
        <w:rPr>
          <w:rFonts w:ascii="Arial" w:hAnsi="Arial" w:cs="Arial"/>
          <w:sz w:val="24"/>
          <w:szCs w:val="24"/>
        </w:rPr>
        <w:t>/ formerly suffered harm at the hand of these entities as a result of the operational</w:t>
      </w:r>
      <w:r>
        <w:rPr>
          <w:rFonts w:ascii="Arial" w:hAnsi="Arial" w:cs="Arial"/>
          <w:sz w:val="24"/>
          <w:szCs w:val="24"/>
        </w:rPr>
        <w:t xml:space="preserve"> activities</w:t>
      </w:r>
      <w:r w:rsidRPr="00BD1311">
        <w:rPr>
          <w:rFonts w:ascii="Arial" w:hAnsi="Arial" w:cs="Arial"/>
          <w:sz w:val="24"/>
          <w:szCs w:val="24"/>
        </w:rPr>
        <w:t>.</w:t>
      </w:r>
    </w:p>
    <w:p w:rsidR="00A0018E" w:rsidRDefault="00A0018E" w:rsidP="000A1D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Furthermore, the definition mus</w:t>
      </w:r>
      <w:r w:rsidR="003E624C">
        <w:rPr>
          <w:rFonts w:ascii="Arial" w:hAnsi="Arial" w:cs="Arial"/>
          <w:sz w:val="24"/>
          <w:szCs w:val="24"/>
        </w:rPr>
        <w:t>t include individuals/ groups/organs of society</w:t>
      </w:r>
      <w:r>
        <w:rPr>
          <w:rFonts w:ascii="Arial" w:hAnsi="Arial" w:cs="Arial"/>
          <w:sz w:val="24"/>
          <w:szCs w:val="24"/>
        </w:rPr>
        <w:t xml:space="preserve"> who also suffer at the hands of TNCs and OBEs</w:t>
      </w:r>
      <w:r w:rsidR="003E624C">
        <w:rPr>
          <w:rFonts w:ascii="Arial" w:hAnsi="Arial" w:cs="Arial"/>
          <w:sz w:val="24"/>
          <w:szCs w:val="24"/>
        </w:rPr>
        <w:t xml:space="preserve"> in line with the Declaration on the subject</w:t>
      </w:r>
    </w:p>
    <w:p w:rsidR="003118E1" w:rsidRDefault="003118E1" w:rsidP="003118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8E1">
        <w:rPr>
          <w:rFonts w:ascii="Arial" w:hAnsi="Arial" w:cs="Arial"/>
          <w:sz w:val="24"/>
          <w:szCs w:val="24"/>
        </w:rPr>
        <w:t>Chairperson,</w:t>
      </w:r>
    </w:p>
    <w:p w:rsidR="003118E1" w:rsidRPr="003118E1" w:rsidRDefault="003118E1" w:rsidP="003118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line with Resolution 26/9, the definition under Article 4.2 must be </w:t>
      </w:r>
      <w:proofErr w:type="gramStart"/>
      <w:r>
        <w:rPr>
          <w:rFonts w:ascii="Arial" w:hAnsi="Arial" w:cs="Arial"/>
          <w:sz w:val="24"/>
          <w:szCs w:val="24"/>
        </w:rPr>
        <w:t>specific  and</w:t>
      </w:r>
      <w:proofErr w:type="gramEnd"/>
      <w:r>
        <w:rPr>
          <w:rFonts w:ascii="Arial" w:hAnsi="Arial" w:cs="Arial"/>
          <w:sz w:val="24"/>
          <w:szCs w:val="24"/>
        </w:rPr>
        <w:t xml:space="preserve"> reworded to “Transnational Corporations and Other Business Enterprises”. As formulated the term “business activities of a transnational character” covers one part of the mandate.</w:t>
      </w:r>
    </w:p>
    <w:p w:rsidR="000A1D6B" w:rsidRDefault="000A1D6B" w:rsidP="000A1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limit the definition of TNCs and OBEs “for profit economic activity” may give TNCs a route to escape given the fact that some of their activities may include </w:t>
      </w:r>
      <w:r w:rsidR="003F62B9">
        <w:rPr>
          <w:rFonts w:ascii="Arial" w:hAnsi="Arial" w:cs="Arial"/>
          <w:sz w:val="24"/>
          <w:szCs w:val="24"/>
        </w:rPr>
        <w:t>non-profit activities</w:t>
      </w:r>
      <w:r>
        <w:rPr>
          <w:rFonts w:ascii="Arial" w:hAnsi="Arial" w:cs="Arial"/>
          <w:sz w:val="24"/>
          <w:szCs w:val="24"/>
        </w:rPr>
        <w:t xml:space="preserve">. </w:t>
      </w:r>
      <w:r w:rsidR="00621ACC">
        <w:rPr>
          <w:rFonts w:ascii="Arial" w:hAnsi="Arial" w:cs="Arial"/>
          <w:sz w:val="24"/>
          <w:szCs w:val="24"/>
        </w:rPr>
        <w:t>Therefore and i</w:t>
      </w:r>
      <w:r w:rsidR="003F4CA1">
        <w:rPr>
          <w:rFonts w:ascii="Arial" w:hAnsi="Arial" w:cs="Arial"/>
          <w:sz w:val="24"/>
          <w:szCs w:val="24"/>
        </w:rPr>
        <w:t>n addition to the above</w:t>
      </w:r>
      <w:r w:rsidR="00621ACC">
        <w:rPr>
          <w:rFonts w:ascii="Arial" w:hAnsi="Arial" w:cs="Arial"/>
          <w:sz w:val="24"/>
          <w:szCs w:val="24"/>
        </w:rPr>
        <w:t>,</w:t>
      </w:r>
      <w:r w:rsidR="003F4CA1">
        <w:rPr>
          <w:rFonts w:ascii="Arial" w:hAnsi="Arial" w:cs="Arial"/>
          <w:sz w:val="24"/>
          <w:szCs w:val="24"/>
        </w:rPr>
        <w:t xml:space="preserve"> the scope should include the methods in which the entity can be involved. In this regard, the definition for a transnational corporation should include: an</w:t>
      </w:r>
      <w:r w:rsidR="003F4CA1" w:rsidRPr="00BD1311">
        <w:rPr>
          <w:rFonts w:ascii="Arial" w:hAnsi="Arial" w:cs="Arial"/>
          <w:sz w:val="24"/>
          <w:szCs w:val="24"/>
        </w:rPr>
        <w:t xml:space="preserve"> entity</w:t>
      </w:r>
      <w:r w:rsidR="003F4CA1">
        <w:rPr>
          <w:rFonts w:ascii="Arial" w:hAnsi="Arial" w:cs="Arial"/>
          <w:sz w:val="24"/>
          <w:szCs w:val="24"/>
        </w:rPr>
        <w:t xml:space="preserve"> whether fully or partially state-owned or privately owned which own or controls production, distribution, services </w:t>
      </w:r>
      <w:r w:rsidR="003F4CA1" w:rsidRPr="00BD1311">
        <w:rPr>
          <w:rFonts w:ascii="Arial" w:hAnsi="Arial" w:cs="Arial"/>
          <w:sz w:val="24"/>
          <w:szCs w:val="24"/>
        </w:rPr>
        <w:t>that o</w:t>
      </w:r>
      <w:r w:rsidR="003F4CA1">
        <w:rPr>
          <w:rFonts w:ascii="Arial" w:hAnsi="Arial" w:cs="Arial"/>
          <w:sz w:val="24"/>
          <w:szCs w:val="24"/>
        </w:rPr>
        <w:t>perates across more than two jurisdictions including a partnership, association, joint venture or proprietorship</w:t>
      </w:r>
    </w:p>
    <w:p w:rsidR="000A1D6B" w:rsidRPr="00BD1311" w:rsidRDefault="000A1D6B" w:rsidP="000A1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AE3" w:rsidRDefault="001D0AE3" w:rsidP="000A1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4853" w:rsidRDefault="00214853"/>
    <w:sectPr w:rsidR="0021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CEC"/>
    <w:multiLevelType w:val="hybridMultilevel"/>
    <w:tmpl w:val="051C4336"/>
    <w:lvl w:ilvl="0" w:tplc="6DE6894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E3"/>
    <w:rsid w:val="000A1D6B"/>
    <w:rsid w:val="001D0AE3"/>
    <w:rsid w:val="00214853"/>
    <w:rsid w:val="0024176E"/>
    <w:rsid w:val="00286DC3"/>
    <w:rsid w:val="003118E1"/>
    <w:rsid w:val="003E624C"/>
    <w:rsid w:val="003F4CA1"/>
    <w:rsid w:val="003F62B9"/>
    <w:rsid w:val="00621ACC"/>
    <w:rsid w:val="008431DC"/>
    <w:rsid w:val="0087282F"/>
    <w:rsid w:val="008848C7"/>
    <w:rsid w:val="00A0018E"/>
    <w:rsid w:val="00A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E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E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E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E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67B223-27DA-4E5A-B5CB-2629D5B720CF}"/>
</file>

<file path=customXml/itemProps2.xml><?xml version="1.0" encoding="utf-8"?>
<ds:datastoreItem xmlns:ds="http://schemas.openxmlformats.org/officeDocument/2006/customXml" ds:itemID="{E586A3E8-047F-44A0-B17F-64629DD4D322}"/>
</file>

<file path=customXml/itemProps3.xml><?xml version="1.0" encoding="utf-8"?>
<ds:datastoreItem xmlns:ds="http://schemas.openxmlformats.org/officeDocument/2006/customXml" ds:itemID="{C5026C5B-F0B8-4C3E-994F-7A6858211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NaidooY</cp:lastModifiedBy>
  <cp:revision>2</cp:revision>
  <dcterms:created xsi:type="dcterms:W3CDTF">2018-10-19T08:34:00Z</dcterms:created>
  <dcterms:modified xsi:type="dcterms:W3CDTF">2018-10-19T08:34:00Z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