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3970"/>
        <w:gridCol w:w="1710"/>
        <w:gridCol w:w="3818"/>
      </w:tblGrid>
      <w:tr w:rsidR="003C39E2" w:rsidRPr="0015558C" w:rsidTr="001F7B60">
        <w:tc>
          <w:tcPr>
            <w:tcW w:w="3970" w:type="dxa"/>
          </w:tcPr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en-GB" w:eastAsia="fr-FR"/>
              </w:rPr>
              <w:t>PERMANENT MISSION OF THE</w:t>
            </w:r>
          </w:p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en-GB" w:eastAsia="fr-FR"/>
              </w:rPr>
              <w:t>REPUBLIC OF MOZAMBIQUE</w:t>
            </w:r>
          </w:p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en-GB" w:eastAsia="fr-FR"/>
              </w:rPr>
              <w:t>TO THE UNITED NATIONS OFFICE</w:t>
            </w:r>
          </w:p>
          <w:p w:rsidR="003C39E2" w:rsidRPr="0015558C" w:rsidRDefault="003C39E2" w:rsidP="001F7B60">
            <w:pPr>
              <w:tabs>
                <w:tab w:val="center" w:pos="2311"/>
                <w:tab w:val="left" w:pos="369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en-GB" w:eastAsia="fr-FR"/>
              </w:rPr>
              <w:t>GENEVA</w:t>
            </w:r>
          </w:p>
        </w:tc>
        <w:tc>
          <w:tcPr>
            <w:tcW w:w="1710" w:type="dxa"/>
          </w:tcPr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nl-NL" w:eastAsia="fr-FR"/>
              </w:rPr>
            </w:pPr>
            <w:r>
              <w:rPr>
                <w:rFonts w:ascii="Trebuchet MS" w:eastAsia="Times New Roman" w:hAnsi="Trebuchet MS"/>
                <w:noProof/>
                <w:sz w:val="18"/>
                <w:szCs w:val="18"/>
                <w:lang w:val="pt-BR" w:eastAsia="pt-BR"/>
              </w:rPr>
              <w:drawing>
                <wp:inline distT="0" distB="0" distL="0" distR="0">
                  <wp:extent cx="6667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nl-NL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nl-NL" w:eastAsia="fr-FR"/>
              </w:rPr>
              <w:t>MISSÃO PERMANENTE DA</w:t>
            </w:r>
          </w:p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nl-NL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nl-NL" w:eastAsia="fr-FR"/>
              </w:rPr>
              <w:t>REPÚBLICA DE MOÇAMBIQUE</w:t>
            </w:r>
          </w:p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nl-NL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nl-NL" w:eastAsia="fr-FR"/>
              </w:rPr>
              <w:t>JUNTO DAS NAÇÕES UNIDAS</w:t>
            </w:r>
          </w:p>
          <w:p w:rsidR="003C39E2" w:rsidRPr="0015558C" w:rsidRDefault="003C39E2" w:rsidP="001F7B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nl-NL" w:eastAsia="fr-FR"/>
              </w:rPr>
            </w:pPr>
            <w:r w:rsidRPr="0015558C">
              <w:rPr>
                <w:rFonts w:ascii="Times New Roman" w:eastAsia="Times New Roman" w:hAnsi="Times New Roman"/>
                <w:noProof/>
                <w:sz w:val="18"/>
                <w:szCs w:val="18"/>
                <w:lang w:val="nl-NL" w:eastAsia="fr-FR"/>
              </w:rPr>
              <w:t>GENEBRA</w:t>
            </w:r>
          </w:p>
        </w:tc>
      </w:tr>
    </w:tbl>
    <w:p w:rsidR="00333FC3" w:rsidRPr="003C39E2" w:rsidRDefault="00333FC3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nl-NL" w:eastAsia="pt-BR"/>
        </w:rPr>
      </w:pPr>
    </w:p>
    <w:p w:rsidR="004C07A0" w:rsidRPr="00612301" w:rsidRDefault="004C07A0" w:rsidP="00D44F8A">
      <w:pPr>
        <w:autoSpaceDN/>
        <w:spacing w:after="0" w:line="240" w:lineRule="auto"/>
        <w:jc w:val="center"/>
        <w:textAlignment w:val="auto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</w:p>
    <w:p w:rsidR="004C07A0" w:rsidRPr="00612301" w:rsidRDefault="004C07A0" w:rsidP="00D44F8A">
      <w:pPr>
        <w:autoSpaceDN/>
        <w:spacing w:after="0" w:line="240" w:lineRule="auto"/>
        <w:jc w:val="center"/>
        <w:textAlignment w:val="auto"/>
        <w:rPr>
          <w:rFonts w:ascii="Bookman Old Style" w:eastAsia="Times New Roman" w:hAnsi="Bookman Old Style"/>
          <w:b/>
          <w:sz w:val="28"/>
          <w:szCs w:val="28"/>
          <w:u w:val="single"/>
          <w:lang w:eastAsia="pt-BR"/>
        </w:rPr>
      </w:pPr>
    </w:p>
    <w:p w:rsidR="00D44F8A" w:rsidRDefault="00D44F8A" w:rsidP="00D44F8A">
      <w:pPr>
        <w:autoSpaceDN/>
        <w:spacing w:after="0" w:line="240" w:lineRule="auto"/>
        <w:jc w:val="center"/>
        <w:textAlignment w:val="auto"/>
        <w:rPr>
          <w:rFonts w:ascii="Bookman Old Style" w:eastAsia="Times New Roman" w:hAnsi="Bookman Old Style"/>
          <w:b/>
          <w:sz w:val="28"/>
          <w:szCs w:val="28"/>
          <w:u w:val="single"/>
          <w:lang w:val="en-US" w:eastAsia="pt-BR"/>
        </w:rPr>
      </w:pPr>
      <w:r w:rsidRPr="00D44F8A">
        <w:rPr>
          <w:rFonts w:ascii="Bookman Old Style" w:eastAsia="Times New Roman" w:hAnsi="Bookman Old Style"/>
          <w:b/>
          <w:sz w:val="28"/>
          <w:szCs w:val="28"/>
          <w:u w:val="single"/>
          <w:lang w:val="en-US" w:eastAsia="pt-BR"/>
        </w:rPr>
        <w:t xml:space="preserve">Statement by the delegation of Mozambique at the </w:t>
      </w:r>
      <w:r>
        <w:rPr>
          <w:rFonts w:ascii="Bookman Old Style" w:eastAsia="Times New Roman" w:hAnsi="Bookman Old Style"/>
          <w:b/>
          <w:sz w:val="28"/>
          <w:szCs w:val="28"/>
          <w:u w:val="single"/>
          <w:lang w:val="en-US" w:eastAsia="pt-BR"/>
        </w:rPr>
        <w:t>4</w:t>
      </w:r>
      <w:r w:rsidRPr="00D44F8A">
        <w:rPr>
          <w:rFonts w:ascii="Bookman Old Style" w:eastAsia="Times New Roman" w:hAnsi="Bookman Old Style"/>
          <w:b/>
          <w:sz w:val="28"/>
          <w:szCs w:val="28"/>
          <w:u w:val="single"/>
          <w:vertAlign w:val="superscript"/>
          <w:lang w:val="en-US" w:eastAsia="pt-BR"/>
        </w:rPr>
        <w:t>th</w:t>
      </w:r>
      <w:r>
        <w:rPr>
          <w:rFonts w:ascii="Bookman Old Style" w:eastAsia="Times New Roman" w:hAnsi="Bookman Old Style"/>
          <w:b/>
          <w:sz w:val="28"/>
          <w:szCs w:val="28"/>
          <w:u w:val="single"/>
          <w:lang w:val="en-US" w:eastAsia="pt-BR"/>
        </w:rPr>
        <w:t xml:space="preserve"> Session of the Intergovernmental Working Group on Business and Human Rights </w:t>
      </w:r>
    </w:p>
    <w:p w:rsidR="00D44F8A" w:rsidRPr="00D44F8A" w:rsidRDefault="00D44F8A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GB" w:eastAsia="pt-BR"/>
        </w:rPr>
      </w:pPr>
    </w:p>
    <w:p w:rsidR="00D44F8A" w:rsidRPr="00D44F8A" w:rsidRDefault="00D44F8A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GB" w:eastAsia="pt-BR"/>
        </w:rPr>
      </w:pPr>
    </w:p>
    <w:p w:rsidR="00324CBE" w:rsidRDefault="00324CBE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Thank you, Mr. Chair – rapporteur</w:t>
      </w:r>
      <w:r w:rsidR="005D1759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,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for giving us the floor!</w:t>
      </w:r>
    </w:p>
    <w:p w:rsidR="00185C38" w:rsidRDefault="00185C38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185C38" w:rsidRPr="00333FC3" w:rsidRDefault="00185C38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At the outset, we wish to congratulate you, Mr. Chair – </w:t>
      </w:r>
      <w:proofErr w:type="spellStart"/>
      <w:r>
        <w:rPr>
          <w:rFonts w:ascii="Bookman Old Style" w:eastAsia="Times New Roman" w:hAnsi="Bookman Old Style"/>
          <w:sz w:val="28"/>
          <w:szCs w:val="28"/>
          <w:lang w:val="en-US" w:eastAsia="pt-BR"/>
        </w:rPr>
        <w:t>repporteur</w:t>
      </w:r>
      <w:proofErr w:type="spellEnd"/>
      <w:r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upon your election to steer the proceedings of the 4</w:t>
      </w:r>
      <w:r w:rsidRPr="00185C38">
        <w:rPr>
          <w:rFonts w:ascii="Bookman Old Style" w:eastAsia="Times New Roman" w:hAnsi="Bookman Old Style"/>
          <w:sz w:val="28"/>
          <w:szCs w:val="28"/>
          <w:vertAlign w:val="superscript"/>
          <w:lang w:val="en-US" w:eastAsia="pt-BR"/>
        </w:rPr>
        <w:t>th</w:t>
      </w:r>
      <w:r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session of the Working Group. </w:t>
      </w:r>
    </w:p>
    <w:p w:rsidR="00324CBE" w:rsidRPr="00333FC3" w:rsidRDefault="00324CBE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324CBE" w:rsidRPr="00333FC3" w:rsidRDefault="00324CBE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We align ourselves to the statement delivered by the Africa</w:t>
      </w:r>
      <w:r w:rsidR="0055737E">
        <w:rPr>
          <w:rFonts w:ascii="Bookman Old Style" w:eastAsia="Times New Roman" w:hAnsi="Bookman Old Style"/>
          <w:sz w:val="28"/>
          <w:szCs w:val="28"/>
          <w:lang w:val="en-US" w:eastAsia="pt-BR"/>
        </w:rPr>
        <w:t>n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Group.</w:t>
      </w:r>
    </w:p>
    <w:p w:rsidR="00324CBE" w:rsidRPr="00333FC3" w:rsidRDefault="00324CBE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324CBE" w:rsidRPr="00333FC3" w:rsidRDefault="00185C38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>
        <w:rPr>
          <w:rFonts w:ascii="Bookman Old Style" w:eastAsia="Times New Roman" w:hAnsi="Bookman Old Style"/>
          <w:sz w:val="28"/>
          <w:szCs w:val="28"/>
          <w:lang w:val="en-US" w:eastAsia="pt-BR"/>
        </w:rPr>
        <w:t>W</w:t>
      </w:r>
      <w:r w:rsidR="005D1759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e </w:t>
      </w:r>
      <w:r w:rsidR="00324CBE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welcome the draft zero of the</w:t>
      </w:r>
      <w:r w:rsidR="0055737E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Legally</w:t>
      </w:r>
      <w:r w:rsidR="00FA0EB6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</w:t>
      </w:r>
      <w:r w:rsidR="00324CBE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Binding Instrument </w:t>
      </w:r>
      <w:r w:rsidR="0055737E">
        <w:rPr>
          <w:rFonts w:ascii="Bookman Old Style" w:eastAsia="Times New Roman" w:hAnsi="Bookman Old Style"/>
          <w:sz w:val="28"/>
          <w:szCs w:val="28"/>
          <w:lang w:val="en-US" w:eastAsia="pt-BR"/>
        </w:rPr>
        <w:t>to Regulate, in International Human Rights Law, the Activities of Transnational Corporations and other Business Enterprises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, </w:t>
      </w:r>
      <w:r w:rsidR="00324CBE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on which our delegation has been all along advocating for, in light of C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ouncil R</w:t>
      </w:r>
      <w:r w:rsidR="00324CBE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esoluti</w:t>
      </w:r>
      <w:r w:rsid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on 26/9.</w:t>
      </w:r>
    </w:p>
    <w:p w:rsidR="00324CBE" w:rsidRPr="00333FC3" w:rsidRDefault="00324CBE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2C34F1" w:rsidRDefault="00324CBE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We note, with 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apprecia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tion, that the draft before us has </w:t>
      </w:r>
      <w:r w:rsidR="00107F7C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sought to encapsulate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, </w:t>
      </w:r>
      <w:r w:rsidR="00333FC3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to the extent</w:t>
      </w:r>
      <w:r w:rsidR="00107F7C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possible,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the balk of the outcomes of various consultations the </w:t>
      </w:r>
      <w:bookmarkStart w:id="0" w:name="_Hlk527313892"/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C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hair – rapporteur</w:t>
      </w:r>
      <w:bookmarkEnd w:id="0"/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undert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ook</w:t>
      </w:r>
      <w:r w:rsidR="000D5919">
        <w:rPr>
          <w:rFonts w:ascii="Bookman Old Style" w:eastAsia="Times New Roman" w:hAnsi="Bookman Old Style"/>
          <w:sz w:val="28"/>
          <w:szCs w:val="28"/>
          <w:lang w:val="en-US" w:eastAsia="pt-BR"/>
        </w:rPr>
        <w:t>, in an open, comprehensive, transparent and inclusive manner</w:t>
      </w:r>
      <w:r w:rsidR="005D1759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, </w:t>
      </w:r>
      <w:r w:rsidR="00C123DA">
        <w:rPr>
          <w:rFonts w:ascii="Bookman Old Style" w:eastAsia="Times New Roman" w:hAnsi="Bookman Old Style"/>
          <w:sz w:val="28"/>
          <w:szCs w:val="28"/>
          <w:lang w:val="en-US" w:eastAsia="pt-BR"/>
        </w:rPr>
        <w:t>i</w:t>
      </w:r>
      <w:r w:rsidR="005D1759">
        <w:rPr>
          <w:rFonts w:ascii="Bookman Old Style" w:eastAsia="Times New Roman" w:hAnsi="Bookman Old Style"/>
          <w:sz w:val="28"/>
          <w:szCs w:val="28"/>
          <w:lang w:val="en-US" w:eastAsia="pt-BR"/>
        </w:rPr>
        <w:t>nvolving states and other stakeholders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.</w:t>
      </w:r>
      <w:r w:rsidR="005D1759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We highly commend the </w:t>
      </w:r>
      <w:r w:rsidR="002C34F1" w:rsidRP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Chair – rapporteur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for 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such remarkable work. </w:t>
      </w:r>
    </w:p>
    <w:p w:rsidR="00107F7C" w:rsidRPr="00333FC3" w:rsidRDefault="00107F7C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107F7C" w:rsidRPr="00333FC3" w:rsidRDefault="00107F7C" w:rsidP="00107F7C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Meanwhile, we are of the view that article 3, on the scope, instead of </w:t>
      </w:r>
      <w:proofErr w:type="gramStart"/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making</w:t>
      </w:r>
      <w:r w:rsidR="00D77D7F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reference</w:t>
      </w:r>
      <w:proofErr w:type="gramEnd"/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to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all international human </w:t>
      </w:r>
      <w:r w:rsidR="00CF5843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rights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>,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it should be more specific on the pressing rights the 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draft instrument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seeks to cover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and </w:t>
      </w:r>
      <w:r w:rsid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protect</w:t>
      </w:r>
      <w:r w:rsidR="002C34F1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. </w:t>
      </w:r>
    </w:p>
    <w:p w:rsidR="00107F7C" w:rsidRPr="00333FC3" w:rsidRDefault="00107F7C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107F7C" w:rsidRDefault="00CF5843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lastRenderedPageBreak/>
        <w:t>As for a</w:t>
      </w:r>
      <w:r w:rsidR="00107F7C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rticle 4, on definitions,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it </w:t>
      </w:r>
      <w:r w:rsidR="00107F7C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should be more exhaustive so as to co</w:t>
      </w:r>
      <w:r w:rsidR="00D77D7F">
        <w:rPr>
          <w:rFonts w:ascii="Bookman Old Style" w:eastAsia="Times New Roman" w:hAnsi="Bookman Old Style"/>
          <w:sz w:val="28"/>
          <w:szCs w:val="28"/>
          <w:lang w:val="en-US" w:eastAsia="pt-BR"/>
        </w:rPr>
        <w:t>ntemplate</w:t>
      </w:r>
      <w:r w:rsidR="00107F7C"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other relevant concepts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, </w:t>
      </w:r>
      <w:r w:rsidR="00D77D7F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in the context of the present draft instrument. </w:t>
      </w:r>
    </w:p>
    <w:p w:rsidR="00CF5843" w:rsidRPr="00333FC3" w:rsidRDefault="00CF5843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CF5843" w:rsidRPr="00333FC3" w:rsidRDefault="00333FC3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>
        <w:rPr>
          <w:rFonts w:ascii="Bookman Old Style" w:eastAsia="Times New Roman" w:hAnsi="Bookman Old Style"/>
          <w:sz w:val="28"/>
          <w:szCs w:val="28"/>
          <w:lang w:val="en-US" w:eastAsia="pt-BR"/>
        </w:rPr>
        <w:t>We also think that t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he Draft should </w:t>
      </w:r>
      <w:r w:rsidR="00085D7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expressly </w:t>
      </w:r>
      <w:proofErr w:type="gramStart"/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make</w:t>
      </w:r>
      <w:r w:rsidR="00085D7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reference</w:t>
      </w:r>
      <w:proofErr w:type="gramEnd"/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to the United Nations Guiding Principles on Business and Human Rights, </w:t>
      </w:r>
      <w:r w:rsidR="00111C5E">
        <w:rPr>
          <w:rFonts w:ascii="Bookman Old Style" w:eastAsia="Times New Roman" w:hAnsi="Bookman Old Style"/>
          <w:sz w:val="28"/>
          <w:szCs w:val="28"/>
          <w:lang w:val="en-US" w:eastAsia="pt-BR"/>
        </w:rPr>
        <w:t>endorsed by the Human Rights Council</w:t>
      </w:r>
      <w:r w:rsidR="00111C5E" w:rsidRPr="00085D73">
        <w:rPr>
          <w:rFonts w:ascii="Bookman Old Style" w:eastAsia="Times New Roman" w:hAnsi="Bookman Old Style"/>
          <w:color w:val="FF0000"/>
          <w:sz w:val="28"/>
          <w:szCs w:val="28"/>
          <w:lang w:val="en-US" w:eastAsia="pt-BR"/>
        </w:rPr>
        <w:t xml:space="preserve"> </w:t>
      </w:r>
      <w:r w:rsidR="00085D73" w:rsidRPr="00D24714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resolution </w:t>
      </w:r>
      <w:r w:rsidR="00085D73">
        <w:rPr>
          <w:rFonts w:ascii="Bookman Old Style" w:eastAsia="Times New Roman" w:hAnsi="Bookman Old Style"/>
          <w:sz w:val="28"/>
          <w:szCs w:val="28"/>
          <w:lang w:val="en-US" w:eastAsia="pt-BR"/>
        </w:rPr>
        <w:t>17/4, i</w:t>
      </w:r>
      <w:r w:rsidR="00111C5E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n 2011, </w:t>
      </w:r>
      <w:r w:rsidR="00624B37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and refereed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to since the inception of </w:t>
      </w:r>
      <w:r w:rsidR="00624B37" w:rsidRPr="00624B37">
        <w:rPr>
          <w:rFonts w:ascii="Bookman Old Style" w:eastAsia="Times New Roman" w:hAnsi="Bookman Old Style"/>
          <w:b/>
          <w:sz w:val="28"/>
          <w:szCs w:val="28"/>
          <w:lang w:val="en-US" w:eastAsia="pt-BR"/>
        </w:rPr>
        <w:t>IGWG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. Even th</w:t>
      </w:r>
      <w:r w:rsidR="005B3705">
        <w:rPr>
          <w:rFonts w:ascii="Bookman Old Style" w:eastAsia="Times New Roman" w:hAnsi="Bookman Old Style"/>
          <w:sz w:val="28"/>
          <w:szCs w:val="28"/>
          <w:lang w:val="en-US" w:eastAsia="pt-BR"/>
        </w:rPr>
        <w:t>ought termed soft law, the</w:t>
      </w:r>
      <w:r w:rsidR="00D77D7F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Guiding Principles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proved to be relevant in</w:t>
      </w:r>
      <w:r w:rsidR="00085D7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dealing with </w:t>
      </w:r>
      <w:r w:rsidR="00D77D7F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some of the </w:t>
      </w:r>
      <w:r w:rsidRPr="00333FC3">
        <w:rPr>
          <w:rFonts w:ascii="Bookman Old Style" w:eastAsia="Times New Roman" w:hAnsi="Bookman Old Style"/>
          <w:sz w:val="28"/>
          <w:szCs w:val="28"/>
          <w:lang w:val="en-US" w:eastAsia="pt-BR"/>
        </w:rPr>
        <w:t>issues</w:t>
      </w:r>
      <w:r w:rsidR="00D77D7F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 the draft, with its binding nature, seeks do address in detail to the benefit of the </w:t>
      </w:r>
      <w:r w:rsidR="00085D7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potential </w:t>
      </w:r>
      <w:r w:rsidR="00D77D7F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victims.  </w:t>
      </w:r>
    </w:p>
    <w:p w:rsidR="00324CBE" w:rsidRPr="00107F7C" w:rsidRDefault="00324CBE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4"/>
          <w:szCs w:val="24"/>
          <w:lang w:val="en-US" w:eastAsia="pt-BR"/>
        </w:rPr>
      </w:pPr>
      <w:bookmarkStart w:id="1" w:name="_GoBack"/>
      <w:bookmarkEnd w:id="1"/>
    </w:p>
    <w:p w:rsidR="00324CBE" w:rsidRPr="00FA0EB6" w:rsidRDefault="00FA0EB6" w:rsidP="00B971A1">
      <w:pPr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 w:rsidRPr="00FA0EB6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In fact, the draft at hand should also seek to build up on those </w:t>
      </w:r>
      <w:r w:rsidR="00640C5C">
        <w:rPr>
          <w:rFonts w:ascii="Bookman Old Style" w:eastAsia="Times New Roman" w:hAnsi="Bookman Old Style"/>
          <w:sz w:val="28"/>
          <w:szCs w:val="28"/>
          <w:lang w:val="en-US" w:eastAsia="pt-BR"/>
        </w:rPr>
        <w:t>principles, where possible and relevant</w:t>
      </w:r>
      <w:r w:rsidR="00085D73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. The Guiding Principles represent the first substantive attempt of the UN in addressing the concerns of the victims. </w:t>
      </w:r>
      <w:r w:rsidR="008B1077"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We should point out, that we have noticed these Principles figure in the list of documents consulted during the preparation of the draft. </w:t>
      </w:r>
    </w:p>
    <w:p w:rsidR="00324CBE" w:rsidRPr="005D093F" w:rsidRDefault="00324CBE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val="en-US" w:eastAsia="pt-BR"/>
        </w:rPr>
      </w:pPr>
    </w:p>
    <w:p w:rsidR="008830D6" w:rsidRDefault="008830D6" w:rsidP="008830D6">
      <w:pPr>
        <w:autoSpaceDN/>
        <w:spacing w:after="0" w:line="240" w:lineRule="auto"/>
        <w:jc w:val="right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</w:p>
    <w:p w:rsidR="00324CBE" w:rsidRPr="005D093F" w:rsidRDefault="008830D6" w:rsidP="008830D6">
      <w:pPr>
        <w:autoSpaceDN/>
        <w:spacing w:after="0" w:line="240" w:lineRule="auto"/>
        <w:jc w:val="right"/>
        <w:textAlignment w:val="auto"/>
        <w:rPr>
          <w:rFonts w:ascii="Bookman Old Style" w:eastAsia="Times New Roman" w:hAnsi="Bookman Old Style"/>
          <w:sz w:val="28"/>
          <w:szCs w:val="28"/>
          <w:lang w:val="en-US" w:eastAsia="pt-BR"/>
        </w:rPr>
      </w:pPr>
      <w:r>
        <w:rPr>
          <w:rFonts w:ascii="Bookman Old Style" w:eastAsia="Times New Roman" w:hAnsi="Bookman Old Style"/>
          <w:sz w:val="28"/>
          <w:szCs w:val="28"/>
          <w:lang w:val="en-US" w:eastAsia="pt-BR"/>
        </w:rPr>
        <w:t xml:space="preserve">Geneva, 15 October 2018 </w:t>
      </w:r>
    </w:p>
    <w:p w:rsidR="00647CBF" w:rsidRDefault="00647CBF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647CBF" w:rsidRDefault="00647CBF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647CBF" w:rsidRPr="00107F7C" w:rsidRDefault="00647CBF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333FC3" w:rsidRDefault="00333FC3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333FC3" w:rsidRDefault="00333FC3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333FC3" w:rsidRDefault="00333FC3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5D093F" w:rsidRDefault="005D093F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4"/>
          <w:lang w:val="pt-BR" w:eastAsia="pt-BR"/>
        </w:rPr>
      </w:pPr>
    </w:p>
    <w:p w:rsidR="005D093F" w:rsidRDefault="005D093F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7661E1" w:rsidRDefault="007661E1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EE548F" w:rsidRPr="005D093F" w:rsidRDefault="007661E1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093F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</w:t>
      </w:r>
    </w:p>
    <w:p w:rsidR="00EE548F" w:rsidRPr="005D093F" w:rsidRDefault="00EE548F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360AA" w:rsidRPr="00C360AA" w:rsidRDefault="00C360AA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B971A1" w:rsidRPr="00B971A1" w:rsidRDefault="00B971A1" w:rsidP="00B971A1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BF2932" w:rsidRPr="001948AF" w:rsidRDefault="00BF2932">
      <w:pPr>
        <w:rPr>
          <w:lang w:val="pt-BR"/>
        </w:rPr>
      </w:pPr>
    </w:p>
    <w:sectPr w:rsidR="00BF2932" w:rsidRPr="001948AF" w:rsidSect="00BF2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A1"/>
    <w:rsid w:val="0005727A"/>
    <w:rsid w:val="00085D73"/>
    <w:rsid w:val="000D5919"/>
    <w:rsid w:val="000E3F8D"/>
    <w:rsid w:val="00107F7C"/>
    <w:rsid w:val="00111C5E"/>
    <w:rsid w:val="00185C38"/>
    <w:rsid w:val="001948AF"/>
    <w:rsid w:val="001A710E"/>
    <w:rsid w:val="001C51DC"/>
    <w:rsid w:val="00236B24"/>
    <w:rsid w:val="00237698"/>
    <w:rsid w:val="00265C30"/>
    <w:rsid w:val="00297511"/>
    <w:rsid w:val="002B0752"/>
    <w:rsid w:val="002B5119"/>
    <w:rsid w:val="002C34F1"/>
    <w:rsid w:val="00324CBE"/>
    <w:rsid w:val="00333FC3"/>
    <w:rsid w:val="00341F50"/>
    <w:rsid w:val="00364B99"/>
    <w:rsid w:val="00375BE6"/>
    <w:rsid w:val="003C39E2"/>
    <w:rsid w:val="003E04F5"/>
    <w:rsid w:val="00424E90"/>
    <w:rsid w:val="004416EF"/>
    <w:rsid w:val="0044632B"/>
    <w:rsid w:val="004A3E25"/>
    <w:rsid w:val="004C07A0"/>
    <w:rsid w:val="0052709A"/>
    <w:rsid w:val="00551EC6"/>
    <w:rsid w:val="0055737E"/>
    <w:rsid w:val="00562199"/>
    <w:rsid w:val="00567C57"/>
    <w:rsid w:val="00573A84"/>
    <w:rsid w:val="00575C5F"/>
    <w:rsid w:val="005960EB"/>
    <w:rsid w:val="005B3705"/>
    <w:rsid w:val="005D03AA"/>
    <w:rsid w:val="005D093F"/>
    <w:rsid w:val="005D1759"/>
    <w:rsid w:val="005F1F35"/>
    <w:rsid w:val="00612301"/>
    <w:rsid w:val="0062406B"/>
    <w:rsid w:val="00624B37"/>
    <w:rsid w:val="00640C5C"/>
    <w:rsid w:val="00647CBF"/>
    <w:rsid w:val="006A2DDE"/>
    <w:rsid w:val="006D5BC2"/>
    <w:rsid w:val="007661E1"/>
    <w:rsid w:val="00787511"/>
    <w:rsid w:val="007B6C2D"/>
    <w:rsid w:val="008249A5"/>
    <w:rsid w:val="008830D6"/>
    <w:rsid w:val="008B1077"/>
    <w:rsid w:val="008E16C1"/>
    <w:rsid w:val="008F5616"/>
    <w:rsid w:val="00960DC3"/>
    <w:rsid w:val="00997823"/>
    <w:rsid w:val="00A127A9"/>
    <w:rsid w:val="00A25E00"/>
    <w:rsid w:val="00B25CA7"/>
    <w:rsid w:val="00B266EF"/>
    <w:rsid w:val="00B720DE"/>
    <w:rsid w:val="00B971A1"/>
    <w:rsid w:val="00BF2932"/>
    <w:rsid w:val="00C123DA"/>
    <w:rsid w:val="00C360AA"/>
    <w:rsid w:val="00C40F34"/>
    <w:rsid w:val="00C51F4B"/>
    <w:rsid w:val="00C66F79"/>
    <w:rsid w:val="00C84748"/>
    <w:rsid w:val="00CD4756"/>
    <w:rsid w:val="00CE30C4"/>
    <w:rsid w:val="00CF5843"/>
    <w:rsid w:val="00CF6A11"/>
    <w:rsid w:val="00D24714"/>
    <w:rsid w:val="00D26DE1"/>
    <w:rsid w:val="00D44F8A"/>
    <w:rsid w:val="00D73313"/>
    <w:rsid w:val="00D75609"/>
    <w:rsid w:val="00D77D7F"/>
    <w:rsid w:val="00DE2B05"/>
    <w:rsid w:val="00E10350"/>
    <w:rsid w:val="00E339A9"/>
    <w:rsid w:val="00E970F1"/>
    <w:rsid w:val="00ED3754"/>
    <w:rsid w:val="00EE548F"/>
    <w:rsid w:val="00F3429C"/>
    <w:rsid w:val="00FA0EB6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20A3"/>
  <w15:docId w15:val="{68E21F68-1274-4317-9B5C-C4BF720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2932"/>
    <w:rPr>
      <w:lang w:val="pt-PT"/>
    </w:rPr>
  </w:style>
  <w:style w:type="paragraph" w:styleId="Titre1">
    <w:name w:val="heading 1"/>
    <w:basedOn w:val="Normal"/>
    <w:link w:val="Titre1Car"/>
    <w:uiPriority w:val="9"/>
    <w:qFormat/>
    <w:rsid w:val="00F3429C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E10350"/>
    <w:rPr>
      <w:b/>
      <w:bCs/>
      <w:smallCaps/>
      <w:color w:val="C0504D" w:themeColor="accent2"/>
      <w:spacing w:val="5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4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B25CA7"/>
    <w:pPr>
      <w:autoSpaceDN/>
      <w:spacing w:after="200" w:line="276" w:lineRule="auto"/>
      <w:ind w:left="720"/>
      <w:contextualSpacing/>
      <w:textAlignment w:val="auto"/>
    </w:pPr>
    <w:rPr>
      <w:lang w:eastAsia="en-GB"/>
    </w:rPr>
  </w:style>
  <w:style w:type="character" w:customStyle="1" w:styleId="ParagraphedelisteCar">
    <w:name w:val="Paragraphe de liste Car"/>
    <w:link w:val="Paragraphedeliste"/>
    <w:uiPriority w:val="34"/>
    <w:locked/>
    <w:rsid w:val="00B25CA7"/>
    <w:rPr>
      <w:lang w:val="pt-PT" w:eastAsia="en-GB"/>
    </w:rPr>
  </w:style>
  <w:style w:type="paragraph" w:styleId="NormalWeb">
    <w:name w:val="Normal (Web)"/>
    <w:basedOn w:val="Normal"/>
    <w:uiPriority w:val="99"/>
    <w:semiHidden/>
    <w:unhideWhenUsed/>
    <w:rsid w:val="00B971A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Lienhypertexte">
    <w:name w:val="Hyperlink"/>
    <w:basedOn w:val="Policepardfaut"/>
    <w:uiPriority w:val="99"/>
    <w:semiHidden/>
    <w:unhideWhenUsed/>
    <w:rsid w:val="00B971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9E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22E703-9092-4ED2-8A3B-A5FD535397C9}"/>
</file>

<file path=customXml/itemProps2.xml><?xml version="1.0" encoding="utf-8"?>
<ds:datastoreItem xmlns:ds="http://schemas.openxmlformats.org/officeDocument/2006/customXml" ds:itemID="{027E5817-1EC2-4EEC-9499-CD46DC23BCC0}"/>
</file>

<file path=customXml/itemProps3.xml><?xml version="1.0" encoding="utf-8"?>
<ds:datastoreItem xmlns:ds="http://schemas.openxmlformats.org/officeDocument/2006/customXml" ds:itemID="{46DE4F5B-D224-4BF6-9CCE-5A349EB0B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27</cp:revision>
  <cp:lastPrinted>2018-06-14T12:39:00Z</cp:lastPrinted>
  <dcterms:created xsi:type="dcterms:W3CDTF">2018-10-15T08:10:00Z</dcterms:created>
  <dcterms:modified xsi:type="dcterms:W3CDTF">2018-10-15T09:15:00Z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