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403C" w14:textId="6A226C8F" w:rsidR="00C61DCB" w:rsidRPr="00C61DCB" w:rsidRDefault="00C61DCB" w:rsidP="00C61DCB">
      <w:pPr>
        <w:pStyle w:val="NormalWeb"/>
        <w:spacing w:after="450"/>
        <w:jc w:val="both"/>
        <w:rPr>
          <w:rFonts w:ascii="Helvetica" w:hAnsi="Helvetica"/>
          <w:color w:val="000000"/>
          <w:sz w:val="23"/>
          <w:szCs w:val="23"/>
        </w:rPr>
      </w:pPr>
      <w:r>
        <w:rPr>
          <w:rFonts w:ascii="Helvetica" w:hAnsi="Helvetica"/>
          <w:color w:val="000000"/>
          <w:sz w:val="23"/>
          <w:szCs w:val="23"/>
        </w:rPr>
        <w:t>M</w:t>
      </w:r>
      <w:r w:rsidR="007C23B6">
        <w:rPr>
          <w:rFonts w:ascii="Helvetica" w:hAnsi="Helvetica"/>
          <w:color w:val="000000"/>
          <w:sz w:val="23"/>
          <w:szCs w:val="23"/>
        </w:rPr>
        <w:t xml:space="preserve">r </w:t>
      </w:r>
      <w:r>
        <w:rPr>
          <w:rFonts w:ascii="Helvetica" w:hAnsi="Helvetica"/>
          <w:color w:val="000000"/>
          <w:sz w:val="23"/>
          <w:szCs w:val="23"/>
        </w:rPr>
        <w:t xml:space="preserve">Chairman, </w:t>
      </w:r>
    </w:p>
    <w:p w14:paraId="46C21BFB" w14:textId="418285B8" w:rsidR="00C61DCB" w:rsidRDefault="00C61DCB" w:rsidP="00C61DCB">
      <w:pPr>
        <w:pStyle w:val="NormalWeb"/>
        <w:spacing w:before="0" w:beforeAutospacing="0" w:after="450" w:afterAutospacing="0"/>
        <w:jc w:val="both"/>
        <w:rPr>
          <w:rFonts w:ascii="Helvetica" w:hAnsi="Helvetica"/>
          <w:color w:val="000000"/>
          <w:sz w:val="23"/>
          <w:szCs w:val="23"/>
        </w:rPr>
      </w:pPr>
      <w:r w:rsidRPr="0031178C">
        <w:rPr>
          <w:rFonts w:ascii="Helvetica" w:hAnsi="Helvetica"/>
          <w:color w:val="000000"/>
          <w:sz w:val="23"/>
          <w:szCs w:val="23"/>
        </w:rPr>
        <w:t xml:space="preserve">The International Commission of Jurists </w:t>
      </w:r>
      <w:r w:rsidR="00DC64AA" w:rsidRPr="0031178C">
        <w:rPr>
          <w:rFonts w:ascii="Helvetica" w:hAnsi="Helvetica"/>
          <w:color w:val="000000"/>
          <w:sz w:val="23"/>
          <w:szCs w:val="23"/>
        </w:rPr>
        <w:t xml:space="preserve">welcomes </w:t>
      </w:r>
      <w:r w:rsidR="00652C4C" w:rsidRPr="0031178C">
        <w:rPr>
          <w:rFonts w:ascii="Helvetica" w:hAnsi="Helvetica"/>
          <w:color w:val="000000"/>
          <w:sz w:val="23"/>
          <w:szCs w:val="23"/>
        </w:rPr>
        <w:t xml:space="preserve">the </w:t>
      </w:r>
      <w:r w:rsidR="007C23B6">
        <w:rPr>
          <w:rFonts w:ascii="Helvetica" w:hAnsi="Helvetica"/>
          <w:color w:val="000000"/>
          <w:sz w:val="23"/>
          <w:szCs w:val="23"/>
        </w:rPr>
        <w:t>inclusion of articles on</w:t>
      </w:r>
      <w:r w:rsidR="0031178C" w:rsidRPr="0031178C">
        <w:rPr>
          <w:rFonts w:ascii="Helvetica" w:hAnsi="Helvetica"/>
          <w:color w:val="000000"/>
          <w:sz w:val="23"/>
          <w:szCs w:val="23"/>
        </w:rPr>
        <w:t xml:space="preserve"> civil, criminal and administrative legal liability for abuses committed in the context of business activity as provided by Article 10 of the draft treaty. </w:t>
      </w:r>
      <w:r w:rsidR="007C23B6">
        <w:rPr>
          <w:rFonts w:ascii="Helvetica" w:hAnsi="Helvetica"/>
          <w:color w:val="000000"/>
          <w:sz w:val="23"/>
          <w:szCs w:val="23"/>
        </w:rPr>
        <w:t xml:space="preserve">The articles make appropriate distinction between </w:t>
      </w:r>
      <w:r w:rsidR="0031178C">
        <w:rPr>
          <w:rFonts w:ascii="Helvetica" w:hAnsi="Helvetica"/>
          <w:color w:val="000000"/>
          <w:sz w:val="23"/>
          <w:szCs w:val="23"/>
        </w:rPr>
        <w:t>legal liability for legal persons and for natu</w:t>
      </w:r>
      <w:bookmarkStart w:id="0" w:name="_GoBack"/>
      <w:bookmarkEnd w:id="0"/>
      <w:r w:rsidR="0031178C">
        <w:rPr>
          <w:rFonts w:ascii="Helvetica" w:hAnsi="Helvetica"/>
          <w:color w:val="000000"/>
          <w:sz w:val="23"/>
          <w:szCs w:val="23"/>
        </w:rPr>
        <w:t xml:space="preserve">ral persons. </w:t>
      </w:r>
    </w:p>
    <w:p w14:paraId="3C93D7E8" w14:textId="56E2BFF9" w:rsidR="00F67F5D" w:rsidRDefault="006D7C66" w:rsidP="00B96ACA">
      <w:pPr>
        <w:pStyle w:val="NormalWeb"/>
        <w:spacing w:before="0" w:beforeAutospacing="0" w:after="450" w:afterAutospacing="0"/>
        <w:jc w:val="both"/>
        <w:rPr>
          <w:rFonts w:ascii="Helvetica" w:hAnsi="Helvetica"/>
          <w:color w:val="000000"/>
          <w:sz w:val="23"/>
          <w:szCs w:val="23"/>
        </w:rPr>
      </w:pPr>
      <w:r w:rsidRPr="0072432D">
        <w:rPr>
          <w:rFonts w:ascii="Helvetica" w:hAnsi="Helvetica"/>
          <w:color w:val="000000"/>
          <w:sz w:val="23"/>
          <w:szCs w:val="23"/>
          <w:lang w:val="en-AU"/>
        </w:rPr>
        <w:t xml:space="preserve">Article 10.6 </w:t>
      </w:r>
      <w:r w:rsidRPr="00B96ACA">
        <w:rPr>
          <w:rFonts w:ascii="Helvetica" w:hAnsi="Helvetica"/>
          <w:color w:val="000000"/>
          <w:sz w:val="23"/>
          <w:szCs w:val="23"/>
        </w:rPr>
        <w:t xml:space="preserve">of the draft, on civil liability, </w:t>
      </w:r>
      <w:r w:rsidR="00851CC3" w:rsidRPr="00B96ACA">
        <w:rPr>
          <w:rFonts w:ascii="Helvetica" w:hAnsi="Helvetica"/>
          <w:color w:val="000000"/>
          <w:sz w:val="23"/>
          <w:szCs w:val="23"/>
        </w:rPr>
        <w:t xml:space="preserve">makes a commendable attempt to tackle the complex issue </w:t>
      </w:r>
      <w:r w:rsidR="00F67F5D">
        <w:rPr>
          <w:rFonts w:ascii="Helvetica" w:hAnsi="Helvetica"/>
          <w:color w:val="000000"/>
          <w:sz w:val="23"/>
          <w:szCs w:val="23"/>
        </w:rPr>
        <w:t>of the responsibility of one company for the wrongful acts of another, including</w:t>
      </w:r>
      <w:r w:rsidR="001F4A30" w:rsidRPr="00B96ACA">
        <w:rPr>
          <w:rFonts w:ascii="Helvetica" w:hAnsi="Helvetica"/>
          <w:color w:val="000000"/>
          <w:sz w:val="23"/>
          <w:szCs w:val="23"/>
        </w:rPr>
        <w:t xml:space="preserve"> </w:t>
      </w:r>
      <w:r w:rsidR="00851CC3" w:rsidRPr="00B96ACA">
        <w:rPr>
          <w:rFonts w:ascii="Helvetica" w:hAnsi="Helvetica"/>
          <w:color w:val="000000"/>
          <w:sz w:val="23"/>
          <w:szCs w:val="23"/>
        </w:rPr>
        <w:t>subsidiaries</w:t>
      </w:r>
      <w:r w:rsidR="00F67F5D">
        <w:rPr>
          <w:rFonts w:ascii="Helvetica" w:hAnsi="Helvetica"/>
          <w:color w:val="000000"/>
          <w:sz w:val="23"/>
          <w:szCs w:val="23"/>
        </w:rPr>
        <w:t xml:space="preserve"> and suppliers</w:t>
      </w:r>
      <w:r w:rsidR="00851CC3" w:rsidRPr="00B96ACA">
        <w:rPr>
          <w:rFonts w:ascii="Helvetica" w:hAnsi="Helvetica"/>
          <w:color w:val="000000"/>
          <w:sz w:val="23"/>
          <w:szCs w:val="23"/>
        </w:rPr>
        <w:t xml:space="preserve">. </w:t>
      </w:r>
      <w:r w:rsidR="00400671">
        <w:rPr>
          <w:rFonts w:ascii="Helvetica" w:hAnsi="Helvetica"/>
          <w:color w:val="000000"/>
          <w:sz w:val="23"/>
          <w:szCs w:val="23"/>
        </w:rPr>
        <w:t xml:space="preserve">However, </w:t>
      </w:r>
      <w:r w:rsidR="00391DDA">
        <w:rPr>
          <w:rFonts w:ascii="Helvetica" w:hAnsi="Helvetica"/>
          <w:color w:val="000000"/>
          <w:sz w:val="23"/>
          <w:szCs w:val="23"/>
        </w:rPr>
        <w:t xml:space="preserve">we consider that </w:t>
      </w:r>
      <w:r w:rsidR="00F67F5D">
        <w:rPr>
          <w:rFonts w:ascii="Helvetica" w:hAnsi="Helvetica"/>
          <w:color w:val="000000"/>
          <w:sz w:val="23"/>
          <w:szCs w:val="23"/>
        </w:rPr>
        <w:t xml:space="preserve">this </w:t>
      </w:r>
      <w:r w:rsidR="00391DDA">
        <w:rPr>
          <w:rFonts w:ascii="Helvetica" w:hAnsi="Helvetica"/>
          <w:color w:val="000000"/>
          <w:sz w:val="23"/>
          <w:szCs w:val="23"/>
        </w:rPr>
        <w:t xml:space="preserve">draft will require revision to </w:t>
      </w:r>
      <w:proofErr w:type="gramStart"/>
      <w:r w:rsidR="00391DDA">
        <w:rPr>
          <w:rFonts w:ascii="Helvetica" w:hAnsi="Helvetica"/>
          <w:color w:val="000000"/>
          <w:sz w:val="23"/>
          <w:szCs w:val="23"/>
        </w:rPr>
        <w:t xml:space="preserve">ensure </w:t>
      </w:r>
      <w:r w:rsidR="00F67F5D">
        <w:rPr>
          <w:rFonts w:ascii="Helvetica" w:hAnsi="Helvetica"/>
          <w:color w:val="000000"/>
          <w:sz w:val="23"/>
          <w:szCs w:val="23"/>
        </w:rPr>
        <w:t xml:space="preserve"> precision</w:t>
      </w:r>
      <w:proofErr w:type="gramEnd"/>
      <w:r w:rsidR="00F67F5D">
        <w:rPr>
          <w:rFonts w:ascii="Helvetica" w:hAnsi="Helvetica"/>
          <w:color w:val="000000"/>
          <w:sz w:val="23"/>
          <w:szCs w:val="23"/>
        </w:rPr>
        <w:t xml:space="preserve"> and clarity</w:t>
      </w:r>
      <w:r w:rsidR="00391DDA">
        <w:rPr>
          <w:rFonts w:ascii="Helvetica" w:hAnsi="Helvetica"/>
          <w:color w:val="000000"/>
          <w:sz w:val="23"/>
          <w:szCs w:val="23"/>
        </w:rPr>
        <w:t xml:space="preserve"> that will make it fit for purpose in </w:t>
      </w:r>
      <w:r w:rsidR="00D46C49">
        <w:rPr>
          <w:rFonts w:ascii="Helvetica" w:hAnsi="Helvetica"/>
          <w:color w:val="000000"/>
          <w:sz w:val="23"/>
          <w:szCs w:val="23"/>
        </w:rPr>
        <w:t xml:space="preserve">a treaty creating legal obligations. </w:t>
      </w:r>
      <w:r w:rsidR="00F67F5D">
        <w:rPr>
          <w:rFonts w:ascii="Helvetica" w:hAnsi="Helvetica"/>
          <w:color w:val="000000"/>
          <w:sz w:val="23"/>
          <w:szCs w:val="23"/>
        </w:rPr>
        <w:t>.</w:t>
      </w:r>
    </w:p>
    <w:p w14:paraId="43627339" w14:textId="53EB8A00" w:rsidR="00170DA7" w:rsidRDefault="00B96ACA" w:rsidP="007D79D9">
      <w:pPr>
        <w:pStyle w:val="NormalWeb"/>
        <w:spacing w:before="0" w:beforeAutospacing="0" w:after="450" w:afterAutospacing="0"/>
        <w:jc w:val="both"/>
        <w:rPr>
          <w:rFonts w:ascii="Helvetica" w:hAnsi="Helvetica"/>
          <w:color w:val="000000"/>
          <w:sz w:val="23"/>
          <w:szCs w:val="23"/>
        </w:rPr>
      </w:pPr>
      <w:r w:rsidRPr="00B96ACA">
        <w:rPr>
          <w:rFonts w:ascii="Helvetica" w:hAnsi="Helvetica"/>
          <w:color w:val="000000"/>
          <w:sz w:val="23"/>
          <w:szCs w:val="23"/>
        </w:rPr>
        <w:t xml:space="preserve">Its current formulation </w:t>
      </w:r>
      <w:r w:rsidR="00D46C49">
        <w:rPr>
          <w:rFonts w:ascii="Helvetica" w:hAnsi="Helvetica"/>
          <w:color w:val="000000"/>
          <w:sz w:val="23"/>
          <w:szCs w:val="23"/>
        </w:rPr>
        <w:t xml:space="preserve">would </w:t>
      </w:r>
      <w:r w:rsidR="00400671">
        <w:rPr>
          <w:rFonts w:ascii="Helvetica" w:hAnsi="Helvetica"/>
          <w:color w:val="000000"/>
          <w:sz w:val="23"/>
          <w:szCs w:val="23"/>
        </w:rPr>
        <w:t xml:space="preserve">entail the legal responsibility </w:t>
      </w:r>
      <w:r w:rsidR="00F67F5D">
        <w:rPr>
          <w:rFonts w:ascii="Helvetica" w:hAnsi="Helvetica"/>
          <w:color w:val="000000"/>
          <w:sz w:val="23"/>
          <w:szCs w:val="23"/>
        </w:rPr>
        <w:t xml:space="preserve">of one company for the wrongful acts </w:t>
      </w:r>
      <w:r w:rsidR="00400671">
        <w:rPr>
          <w:rFonts w:ascii="Helvetica" w:hAnsi="Helvetica"/>
          <w:color w:val="000000"/>
          <w:sz w:val="23"/>
          <w:szCs w:val="23"/>
        </w:rPr>
        <w:t>almost in every circumstance</w:t>
      </w:r>
      <w:r w:rsidR="0060034B">
        <w:rPr>
          <w:rFonts w:ascii="Helvetica" w:hAnsi="Helvetica"/>
          <w:color w:val="000000"/>
          <w:sz w:val="23"/>
          <w:szCs w:val="23"/>
        </w:rPr>
        <w:t>, which creates unnecessary risks and uncertainty, even for those whose rights have been violated</w:t>
      </w:r>
      <w:r w:rsidR="00400671">
        <w:rPr>
          <w:rFonts w:ascii="Helvetica" w:hAnsi="Helvetica"/>
          <w:color w:val="000000"/>
          <w:sz w:val="23"/>
          <w:szCs w:val="23"/>
        </w:rPr>
        <w:t xml:space="preserve">. </w:t>
      </w:r>
      <w:r w:rsidR="00EB73DC">
        <w:rPr>
          <w:rFonts w:ascii="Helvetica" w:hAnsi="Helvetica"/>
          <w:color w:val="000000"/>
          <w:sz w:val="23"/>
          <w:szCs w:val="23"/>
        </w:rPr>
        <w:t xml:space="preserve">The ICJ </w:t>
      </w:r>
      <w:r w:rsidR="007C23B6">
        <w:rPr>
          <w:rFonts w:ascii="Helvetica" w:hAnsi="Helvetica"/>
          <w:color w:val="000000"/>
          <w:sz w:val="23"/>
          <w:szCs w:val="23"/>
        </w:rPr>
        <w:t xml:space="preserve">considers that it </w:t>
      </w:r>
      <w:r w:rsidR="0060034B">
        <w:rPr>
          <w:rFonts w:ascii="Helvetica" w:hAnsi="Helvetica"/>
          <w:color w:val="000000"/>
          <w:sz w:val="23"/>
          <w:szCs w:val="23"/>
        </w:rPr>
        <w:t xml:space="preserve">may </w:t>
      </w:r>
      <w:r w:rsidR="007C23B6">
        <w:rPr>
          <w:rFonts w:ascii="Helvetica" w:hAnsi="Helvetica"/>
          <w:color w:val="000000"/>
          <w:sz w:val="23"/>
          <w:szCs w:val="23"/>
        </w:rPr>
        <w:t xml:space="preserve">be more appropriate to focus </w:t>
      </w:r>
      <w:r w:rsidR="00EB73DC">
        <w:rPr>
          <w:rFonts w:ascii="Helvetica" w:hAnsi="Helvetica"/>
          <w:color w:val="000000"/>
          <w:sz w:val="23"/>
          <w:szCs w:val="23"/>
        </w:rPr>
        <w:t xml:space="preserve">Article 10.6 on </w:t>
      </w:r>
      <w:r w:rsidR="0060034B">
        <w:rPr>
          <w:rFonts w:ascii="Helvetica" w:hAnsi="Helvetica"/>
          <w:color w:val="000000"/>
          <w:sz w:val="23"/>
          <w:szCs w:val="23"/>
        </w:rPr>
        <w:t xml:space="preserve">certain kind of relationships, adopting more precise and standard notions of causality and contribution, </w:t>
      </w:r>
      <w:r w:rsidR="00C03549">
        <w:rPr>
          <w:rFonts w:ascii="Helvetica" w:hAnsi="Helvetica"/>
          <w:color w:val="000000"/>
          <w:sz w:val="23"/>
          <w:szCs w:val="23"/>
        </w:rPr>
        <w:t xml:space="preserve">proximity and foreseeability, </w:t>
      </w:r>
      <w:r w:rsidR="00937431">
        <w:rPr>
          <w:rFonts w:ascii="Helvetica" w:hAnsi="Helvetica"/>
          <w:color w:val="000000"/>
          <w:sz w:val="23"/>
          <w:szCs w:val="23"/>
        </w:rPr>
        <w:t>[</w:t>
      </w:r>
      <w:r w:rsidR="0060034B" w:rsidRPr="00D6388A">
        <w:rPr>
          <w:rFonts w:ascii="Helvetica" w:hAnsi="Helvetica"/>
          <w:color w:val="000000"/>
          <w:sz w:val="23"/>
          <w:szCs w:val="23"/>
          <w:highlight w:val="yellow"/>
        </w:rPr>
        <w:t xml:space="preserve">but </w:t>
      </w:r>
      <w:r w:rsidR="00C03549" w:rsidRPr="00D6388A">
        <w:rPr>
          <w:rFonts w:ascii="Helvetica" w:hAnsi="Helvetica"/>
          <w:color w:val="000000"/>
          <w:sz w:val="23"/>
          <w:szCs w:val="23"/>
          <w:highlight w:val="yellow"/>
        </w:rPr>
        <w:t xml:space="preserve">adding an element of strict liability in the equation </w:t>
      </w:r>
      <w:r w:rsidR="00937431" w:rsidRPr="00D6388A">
        <w:rPr>
          <w:rFonts w:ascii="Helvetica" w:hAnsi="Helvetica"/>
          <w:color w:val="000000"/>
          <w:sz w:val="23"/>
          <w:szCs w:val="23"/>
          <w:highlight w:val="yellow"/>
        </w:rPr>
        <w:t>[</w:t>
      </w:r>
      <w:r w:rsidR="00C03549" w:rsidRPr="00D6388A">
        <w:rPr>
          <w:rFonts w:ascii="Helvetica" w:hAnsi="Helvetica"/>
          <w:color w:val="000000"/>
          <w:sz w:val="23"/>
          <w:szCs w:val="23"/>
          <w:highlight w:val="yellow"/>
        </w:rPr>
        <w:t xml:space="preserve">to more robustly encourage the </w:t>
      </w:r>
      <w:r w:rsidR="007C23B6" w:rsidRPr="00D6388A">
        <w:rPr>
          <w:rFonts w:ascii="Helvetica" w:hAnsi="Helvetica"/>
          <w:color w:val="000000"/>
          <w:sz w:val="23"/>
          <w:szCs w:val="23"/>
          <w:highlight w:val="yellow"/>
        </w:rPr>
        <w:t>adoption of strong human rights due diligence by the parent/controlling company</w:t>
      </w:r>
      <w:r w:rsidR="007D79D9" w:rsidRPr="00D6388A">
        <w:rPr>
          <w:rFonts w:ascii="Helvetica" w:hAnsi="Helvetica"/>
          <w:color w:val="000000"/>
          <w:sz w:val="23"/>
          <w:szCs w:val="23"/>
          <w:highlight w:val="yellow"/>
        </w:rPr>
        <w:t>.</w:t>
      </w:r>
      <w:r w:rsidR="00937431">
        <w:rPr>
          <w:rFonts w:ascii="Helvetica" w:hAnsi="Helvetica"/>
          <w:color w:val="000000"/>
          <w:sz w:val="23"/>
          <w:szCs w:val="23"/>
        </w:rPr>
        <w:t>]</w:t>
      </w:r>
    </w:p>
    <w:p w14:paraId="2C54D733" w14:textId="4BBADBEC" w:rsidR="00AB14A2" w:rsidRPr="00AB14A2" w:rsidRDefault="007D79D9" w:rsidP="00E11F4A">
      <w:pPr>
        <w:pStyle w:val="NormalWeb"/>
        <w:spacing w:after="450"/>
        <w:jc w:val="both"/>
        <w:rPr>
          <w:rFonts w:ascii="Helvetica" w:hAnsi="Helvetica"/>
          <w:color w:val="000000"/>
          <w:sz w:val="23"/>
          <w:szCs w:val="23"/>
        </w:rPr>
      </w:pPr>
      <w:r>
        <w:rPr>
          <w:rFonts w:ascii="Helvetica" w:hAnsi="Helvetica"/>
          <w:color w:val="000000"/>
          <w:sz w:val="23"/>
          <w:szCs w:val="23"/>
        </w:rPr>
        <w:t xml:space="preserve">On corporate </w:t>
      </w:r>
      <w:r w:rsidR="00B96ACA" w:rsidRPr="00AB14A2">
        <w:rPr>
          <w:rFonts w:ascii="Helvetica" w:hAnsi="Helvetica"/>
          <w:color w:val="000000"/>
          <w:sz w:val="23"/>
          <w:szCs w:val="23"/>
        </w:rPr>
        <w:t xml:space="preserve">criminal liability, </w:t>
      </w:r>
      <w:r w:rsidR="007E070D">
        <w:rPr>
          <w:rFonts w:ascii="Helvetica" w:hAnsi="Helvetica"/>
          <w:color w:val="000000"/>
          <w:sz w:val="23"/>
          <w:szCs w:val="23"/>
        </w:rPr>
        <w:t>[</w:t>
      </w:r>
      <w:r w:rsidR="00EB73DC" w:rsidRPr="00D6388A">
        <w:rPr>
          <w:rFonts w:ascii="Helvetica" w:hAnsi="Helvetica"/>
          <w:color w:val="000000"/>
          <w:sz w:val="23"/>
          <w:szCs w:val="23"/>
          <w:highlight w:val="yellow"/>
        </w:rPr>
        <w:t xml:space="preserve">the draft treaty </w:t>
      </w:r>
      <w:r w:rsidRPr="00D6388A">
        <w:rPr>
          <w:rFonts w:ascii="Helvetica" w:hAnsi="Helvetica"/>
          <w:color w:val="000000"/>
          <w:sz w:val="23"/>
          <w:szCs w:val="23"/>
          <w:highlight w:val="yellow"/>
        </w:rPr>
        <w:t xml:space="preserve">provisions are </w:t>
      </w:r>
      <w:r w:rsidR="00EB73DC" w:rsidRPr="00D6388A">
        <w:rPr>
          <w:rFonts w:ascii="Helvetica" w:hAnsi="Helvetica"/>
          <w:color w:val="000000"/>
          <w:sz w:val="23"/>
          <w:szCs w:val="23"/>
          <w:highlight w:val="yellow"/>
        </w:rPr>
        <w:t>a step forward</w:t>
      </w:r>
      <w:r w:rsidR="0060034B" w:rsidRPr="00D6388A">
        <w:rPr>
          <w:rFonts w:ascii="Helvetica" w:hAnsi="Helvetica"/>
          <w:color w:val="000000"/>
          <w:sz w:val="23"/>
          <w:szCs w:val="23"/>
          <w:highlight w:val="yellow"/>
        </w:rPr>
        <w:t xml:space="preserve"> in introducing this notion in the draft treaty</w:t>
      </w:r>
      <w:r w:rsidR="007C0819" w:rsidRPr="00D6388A">
        <w:rPr>
          <w:rFonts w:ascii="Helvetica" w:hAnsi="Helvetica"/>
          <w:color w:val="000000"/>
          <w:sz w:val="23"/>
          <w:szCs w:val="23"/>
          <w:highlight w:val="yellow"/>
        </w:rPr>
        <w:t>.</w:t>
      </w:r>
      <w:r w:rsidR="00AB14A2" w:rsidRPr="00D6388A">
        <w:rPr>
          <w:rFonts w:ascii="Helvetica" w:hAnsi="Helvetica"/>
          <w:color w:val="000000"/>
          <w:sz w:val="23"/>
          <w:szCs w:val="23"/>
          <w:highlight w:val="yellow"/>
        </w:rPr>
        <w:t xml:space="preserve"> </w:t>
      </w:r>
      <w:r w:rsidR="0060034B" w:rsidRPr="00D6388A">
        <w:rPr>
          <w:rFonts w:ascii="Helvetica" w:hAnsi="Helvetica"/>
          <w:color w:val="000000"/>
          <w:sz w:val="23"/>
          <w:szCs w:val="23"/>
          <w:highlight w:val="yellow"/>
        </w:rPr>
        <w:t>Bu</w:t>
      </w:r>
      <w:r w:rsidR="0060034B">
        <w:rPr>
          <w:rFonts w:ascii="Helvetica" w:hAnsi="Helvetica"/>
          <w:color w:val="000000"/>
          <w:sz w:val="23"/>
          <w:szCs w:val="23"/>
        </w:rPr>
        <w:t>t</w:t>
      </w:r>
      <w:r w:rsidR="007E070D">
        <w:rPr>
          <w:rFonts w:ascii="Helvetica" w:hAnsi="Helvetica"/>
          <w:color w:val="000000"/>
          <w:sz w:val="23"/>
          <w:szCs w:val="23"/>
        </w:rPr>
        <w:t>]</w:t>
      </w:r>
      <w:r w:rsidR="0060034B">
        <w:rPr>
          <w:rFonts w:ascii="Helvetica" w:hAnsi="Helvetica"/>
          <w:color w:val="000000"/>
          <w:sz w:val="23"/>
          <w:szCs w:val="23"/>
        </w:rPr>
        <w:t xml:space="preserve"> </w:t>
      </w:r>
      <w:r w:rsidR="00AB14A2" w:rsidRPr="00AB14A2">
        <w:rPr>
          <w:rFonts w:ascii="Helvetica" w:hAnsi="Helvetica"/>
          <w:color w:val="000000"/>
          <w:sz w:val="23"/>
          <w:szCs w:val="23"/>
        </w:rPr>
        <w:t xml:space="preserve">Article 10.8 calls for criminal liability for all human rights violations amounting to criminal offences under international law </w:t>
      </w:r>
      <w:r w:rsidR="00AB14A2" w:rsidRPr="00AB14A2">
        <w:rPr>
          <w:rFonts w:ascii="Helvetica" w:hAnsi="Helvetica"/>
          <w:color w:val="000000"/>
          <w:sz w:val="23"/>
          <w:szCs w:val="23"/>
          <w:u w:val="single"/>
        </w:rPr>
        <w:t>and</w:t>
      </w:r>
      <w:r w:rsidR="00AB14A2" w:rsidRPr="00AB14A2">
        <w:rPr>
          <w:rFonts w:ascii="Helvetica" w:hAnsi="Helvetica"/>
          <w:color w:val="000000"/>
          <w:sz w:val="23"/>
          <w:szCs w:val="23"/>
        </w:rPr>
        <w:t xml:space="preserve"> “domestic law”</w:t>
      </w:r>
      <w:r w:rsidR="0060034B">
        <w:rPr>
          <w:rFonts w:ascii="Helvetica" w:hAnsi="Helvetica"/>
          <w:color w:val="000000"/>
          <w:sz w:val="23"/>
          <w:szCs w:val="23"/>
        </w:rPr>
        <w:t>,</w:t>
      </w:r>
      <w:r w:rsidR="00AB14A2" w:rsidRPr="00AB14A2">
        <w:rPr>
          <w:rFonts w:ascii="Helvetica" w:hAnsi="Helvetica"/>
          <w:color w:val="000000"/>
          <w:sz w:val="23"/>
          <w:szCs w:val="23"/>
        </w:rPr>
        <w:t xml:space="preserve"> open</w:t>
      </w:r>
      <w:r w:rsidR="0060034B">
        <w:rPr>
          <w:rFonts w:ascii="Helvetica" w:hAnsi="Helvetica"/>
          <w:color w:val="000000"/>
          <w:sz w:val="23"/>
          <w:szCs w:val="23"/>
        </w:rPr>
        <w:t>ing</w:t>
      </w:r>
      <w:r w:rsidR="00AB14A2" w:rsidRPr="00AB14A2">
        <w:rPr>
          <w:rFonts w:ascii="Helvetica" w:hAnsi="Helvetica"/>
          <w:color w:val="000000"/>
          <w:sz w:val="23"/>
          <w:szCs w:val="23"/>
        </w:rPr>
        <w:t xml:space="preserve"> too large a window for divergent and potentially arbitrary approaches. </w:t>
      </w:r>
      <w:r w:rsidR="00446452">
        <w:rPr>
          <w:rFonts w:ascii="Helvetica" w:hAnsi="Helvetica"/>
          <w:color w:val="000000"/>
          <w:sz w:val="23"/>
          <w:szCs w:val="23"/>
        </w:rPr>
        <w:t>[</w:t>
      </w:r>
      <w:r w:rsidR="00446452" w:rsidRPr="00D6388A">
        <w:rPr>
          <w:rFonts w:ascii="Helvetica" w:hAnsi="Helvetica"/>
          <w:color w:val="000000"/>
          <w:sz w:val="23"/>
          <w:szCs w:val="23"/>
          <w:highlight w:val="yellow"/>
        </w:rPr>
        <w:t>In fact, the criminal law provisions of some domestic jurisdictions are not themselves always human rights compliant</w:t>
      </w:r>
      <w:r w:rsidR="00446452">
        <w:rPr>
          <w:rFonts w:ascii="Helvetica" w:hAnsi="Helvetica"/>
          <w:color w:val="000000"/>
          <w:sz w:val="23"/>
          <w:szCs w:val="23"/>
        </w:rPr>
        <w:t>]</w:t>
      </w:r>
    </w:p>
    <w:p w14:paraId="3C76158B" w14:textId="65AB3017" w:rsidR="00AB14A2" w:rsidRDefault="00AB14A2" w:rsidP="007C0819">
      <w:pPr>
        <w:jc w:val="both"/>
        <w:rPr>
          <w:rFonts w:ascii="Helvetica" w:hAnsi="Helvetica" w:cs="Times New Roman"/>
          <w:color w:val="000000"/>
          <w:sz w:val="23"/>
          <w:szCs w:val="23"/>
          <w:lang w:val="en-GB" w:eastAsia="en-GB"/>
        </w:rPr>
      </w:pPr>
      <w:r>
        <w:rPr>
          <w:rFonts w:ascii="Helvetica" w:hAnsi="Helvetica" w:cs="Times New Roman"/>
          <w:color w:val="000000"/>
          <w:sz w:val="23"/>
          <w:szCs w:val="23"/>
          <w:lang w:val="en-GB" w:eastAsia="en-GB"/>
        </w:rPr>
        <w:t xml:space="preserve">At the present </w:t>
      </w:r>
      <w:r w:rsidRPr="007C0819">
        <w:rPr>
          <w:rFonts w:ascii="Helvetica" w:hAnsi="Helvetica" w:cs="Times New Roman"/>
          <w:color w:val="000000"/>
          <w:sz w:val="23"/>
          <w:szCs w:val="23"/>
          <w:lang w:val="en-GB" w:eastAsia="en-GB"/>
        </w:rPr>
        <w:t>stage</w:t>
      </w:r>
      <w:r>
        <w:rPr>
          <w:rFonts w:ascii="Helvetica" w:hAnsi="Helvetica" w:cs="Times New Roman"/>
          <w:color w:val="000000"/>
          <w:sz w:val="23"/>
          <w:szCs w:val="23"/>
          <w:lang w:val="en-GB" w:eastAsia="en-GB"/>
        </w:rPr>
        <w:t xml:space="preserve">, the </w:t>
      </w:r>
      <w:r w:rsidRPr="007C0819">
        <w:rPr>
          <w:rFonts w:ascii="Helvetica" w:hAnsi="Helvetica" w:cs="Times New Roman"/>
          <w:color w:val="000000"/>
          <w:sz w:val="23"/>
          <w:szCs w:val="23"/>
          <w:lang w:val="en-GB" w:eastAsia="en-GB"/>
        </w:rPr>
        <w:t>mo</w:t>
      </w:r>
      <w:r>
        <w:rPr>
          <w:rFonts w:ascii="Helvetica" w:hAnsi="Helvetica" w:cs="Times New Roman"/>
          <w:color w:val="000000"/>
          <w:sz w:val="23"/>
          <w:szCs w:val="23"/>
          <w:lang w:val="en-GB" w:eastAsia="en-GB"/>
        </w:rPr>
        <w:t xml:space="preserve">st practical option would be allowing states a certain degree of flexibility, while ensuring that all offences are defined with </w:t>
      </w:r>
      <w:r w:rsidRPr="007C0819">
        <w:rPr>
          <w:rFonts w:ascii="Helvetica" w:hAnsi="Helvetica" w:cs="Times New Roman"/>
          <w:color w:val="000000"/>
          <w:sz w:val="23"/>
          <w:szCs w:val="23"/>
          <w:lang w:val="en-GB" w:eastAsia="en-GB"/>
        </w:rPr>
        <w:t>sufficient clarity to meet the requirements of legality</w:t>
      </w:r>
      <w:r>
        <w:rPr>
          <w:rFonts w:ascii="Helvetica" w:hAnsi="Helvetica" w:cs="Times New Roman"/>
          <w:color w:val="000000"/>
          <w:sz w:val="23"/>
          <w:szCs w:val="23"/>
          <w:lang w:val="en-GB" w:eastAsia="en-GB"/>
        </w:rPr>
        <w:t xml:space="preserve">. </w:t>
      </w:r>
      <w:r w:rsidR="00937431">
        <w:rPr>
          <w:rFonts w:ascii="Helvetica" w:hAnsi="Helvetica" w:cs="Times New Roman"/>
          <w:color w:val="000000"/>
          <w:sz w:val="23"/>
          <w:szCs w:val="23"/>
          <w:lang w:val="en-GB" w:eastAsia="en-GB"/>
        </w:rPr>
        <w:t>[</w:t>
      </w:r>
      <w:r w:rsidRPr="00D6388A">
        <w:rPr>
          <w:rFonts w:ascii="Helvetica" w:hAnsi="Helvetica" w:cs="Times New Roman"/>
          <w:color w:val="000000"/>
          <w:sz w:val="23"/>
          <w:szCs w:val="23"/>
          <w:highlight w:val="yellow"/>
          <w:lang w:val="en-GB" w:eastAsia="en-GB"/>
        </w:rPr>
        <w:t>International practice offers several good example</w:t>
      </w:r>
      <w:r w:rsidR="00C03549" w:rsidRPr="00D6388A">
        <w:rPr>
          <w:rFonts w:ascii="Helvetica" w:hAnsi="Helvetica" w:cs="Times New Roman"/>
          <w:color w:val="000000"/>
          <w:sz w:val="23"/>
          <w:szCs w:val="23"/>
          <w:highlight w:val="yellow"/>
          <w:lang w:val="en-GB" w:eastAsia="en-GB"/>
        </w:rPr>
        <w:t>s</w:t>
      </w:r>
      <w:r w:rsidRPr="00D6388A">
        <w:rPr>
          <w:rFonts w:ascii="Helvetica" w:hAnsi="Helvetica" w:cs="Times New Roman"/>
          <w:color w:val="000000"/>
          <w:sz w:val="23"/>
          <w:szCs w:val="23"/>
          <w:highlight w:val="yellow"/>
          <w:lang w:val="en-GB" w:eastAsia="en-GB"/>
        </w:rPr>
        <w:t xml:space="preserve"> in terms of the degree of flexibility for ensuring legal accountability of businesses enterprises</w:t>
      </w:r>
      <w:r w:rsidR="00C03549" w:rsidRPr="00D6388A">
        <w:rPr>
          <w:rFonts w:ascii="Helvetica" w:hAnsi="Helvetica" w:cs="Times New Roman"/>
          <w:color w:val="000000"/>
          <w:sz w:val="23"/>
          <w:szCs w:val="23"/>
          <w:highlight w:val="yellow"/>
          <w:lang w:val="en-GB" w:eastAsia="en-GB"/>
        </w:rPr>
        <w:t>, which may be seen in the extended statement in our website</w:t>
      </w:r>
      <w:proofErr w:type="gramStart"/>
      <w:r w:rsidR="00C03549">
        <w:rPr>
          <w:rFonts w:ascii="Helvetica" w:hAnsi="Helvetica" w:cs="Times New Roman"/>
          <w:color w:val="000000"/>
          <w:sz w:val="23"/>
          <w:szCs w:val="23"/>
          <w:lang w:val="en-GB" w:eastAsia="en-GB"/>
        </w:rPr>
        <w:t>.</w:t>
      </w:r>
      <w:r>
        <w:rPr>
          <w:rFonts w:ascii="Helvetica" w:hAnsi="Helvetica" w:cs="Times New Roman"/>
          <w:color w:val="000000"/>
          <w:sz w:val="23"/>
          <w:szCs w:val="23"/>
          <w:lang w:val="en-GB" w:eastAsia="en-GB"/>
        </w:rPr>
        <w:t xml:space="preserve"> </w:t>
      </w:r>
      <w:r w:rsidR="00937431">
        <w:rPr>
          <w:rFonts w:ascii="Helvetica" w:hAnsi="Helvetica" w:cs="Times New Roman"/>
          <w:color w:val="000000"/>
          <w:sz w:val="23"/>
          <w:szCs w:val="23"/>
          <w:lang w:val="en-GB" w:eastAsia="en-GB"/>
        </w:rPr>
        <w:t>]</w:t>
      </w:r>
      <w:proofErr w:type="gramEnd"/>
    </w:p>
    <w:p w14:paraId="70D5A461" w14:textId="77777777" w:rsidR="00FE0F2A" w:rsidRPr="007C0819" w:rsidRDefault="00FE0F2A" w:rsidP="00401DB1">
      <w:pPr>
        <w:jc w:val="both"/>
        <w:rPr>
          <w:rFonts w:ascii="Helvetica" w:hAnsi="Helvetica" w:cs="Times New Roman"/>
          <w:color w:val="000000"/>
          <w:sz w:val="23"/>
          <w:szCs w:val="23"/>
          <w:lang w:val="en-GB" w:eastAsia="en-GB"/>
        </w:rPr>
      </w:pPr>
    </w:p>
    <w:p w14:paraId="4F101C64" w14:textId="31BC248E" w:rsidR="00FE0F2A" w:rsidRPr="007C0819" w:rsidRDefault="00C03549" w:rsidP="00401DB1">
      <w:pPr>
        <w:jc w:val="both"/>
        <w:rPr>
          <w:rFonts w:ascii="Helvetica" w:hAnsi="Helvetica" w:cs="Times New Roman"/>
          <w:color w:val="000000"/>
          <w:sz w:val="23"/>
          <w:szCs w:val="23"/>
          <w:lang w:val="en-GB" w:eastAsia="en-GB"/>
        </w:rPr>
      </w:pPr>
      <w:r>
        <w:rPr>
          <w:rFonts w:ascii="Helvetica" w:hAnsi="Helvetica" w:cs="Times New Roman"/>
          <w:color w:val="000000"/>
          <w:sz w:val="23"/>
          <w:szCs w:val="23"/>
          <w:lang w:val="en-GB" w:eastAsia="en-GB"/>
        </w:rPr>
        <w:t>To provide legal certainty and due process, t</w:t>
      </w:r>
      <w:r w:rsidR="00FE0F2A" w:rsidRPr="007C0819">
        <w:rPr>
          <w:rFonts w:ascii="Helvetica" w:hAnsi="Helvetica" w:cs="Times New Roman"/>
          <w:color w:val="000000"/>
          <w:sz w:val="23"/>
          <w:szCs w:val="23"/>
          <w:lang w:val="en-GB" w:eastAsia="en-GB"/>
        </w:rPr>
        <w:t xml:space="preserve">he following crimes </w:t>
      </w:r>
      <w:r w:rsidR="00E92A1A">
        <w:rPr>
          <w:rFonts w:ascii="Helvetica" w:hAnsi="Helvetica" w:cs="Times New Roman"/>
          <w:color w:val="000000"/>
          <w:sz w:val="23"/>
          <w:szCs w:val="23"/>
          <w:lang w:val="en-GB" w:eastAsia="en-GB"/>
        </w:rPr>
        <w:t xml:space="preserve">recognised </w:t>
      </w:r>
      <w:r w:rsidR="00FE0F2A" w:rsidRPr="007C0819">
        <w:rPr>
          <w:rFonts w:ascii="Helvetica" w:hAnsi="Helvetica" w:cs="Times New Roman"/>
          <w:color w:val="000000"/>
          <w:sz w:val="23"/>
          <w:szCs w:val="23"/>
          <w:lang w:val="en-GB" w:eastAsia="en-GB"/>
        </w:rPr>
        <w:t xml:space="preserve">under international law </w:t>
      </w:r>
      <w:r w:rsidR="00E92A1A">
        <w:rPr>
          <w:rFonts w:ascii="Helvetica" w:hAnsi="Helvetica" w:cs="Times New Roman"/>
          <w:color w:val="000000"/>
          <w:sz w:val="23"/>
          <w:szCs w:val="23"/>
          <w:lang w:val="en-GB" w:eastAsia="en-GB"/>
        </w:rPr>
        <w:t xml:space="preserve">or </w:t>
      </w:r>
      <w:r w:rsidR="00FE0F2A" w:rsidRPr="007C0819">
        <w:rPr>
          <w:rFonts w:ascii="Helvetica" w:hAnsi="Helvetica" w:cs="Times New Roman"/>
          <w:color w:val="000000"/>
          <w:sz w:val="23"/>
          <w:szCs w:val="23"/>
          <w:lang w:val="en-GB" w:eastAsia="en-GB"/>
        </w:rPr>
        <w:t xml:space="preserve">for which international law require the imposition of criminal sanctions should be incorporated </w:t>
      </w:r>
      <w:r w:rsidR="00E92A1A">
        <w:rPr>
          <w:rFonts w:ascii="Helvetica" w:hAnsi="Helvetica" w:cs="Times New Roman"/>
          <w:color w:val="000000"/>
          <w:sz w:val="23"/>
          <w:szCs w:val="23"/>
          <w:lang w:val="en-GB" w:eastAsia="en-GB"/>
        </w:rPr>
        <w:t>as part of</w:t>
      </w:r>
      <w:r w:rsidR="00FE0F2A" w:rsidRPr="007C0819">
        <w:rPr>
          <w:rFonts w:ascii="Helvetica" w:hAnsi="Helvetica" w:cs="Times New Roman"/>
          <w:color w:val="000000"/>
          <w:sz w:val="23"/>
          <w:szCs w:val="23"/>
          <w:lang w:val="en-GB" w:eastAsia="en-GB"/>
        </w:rPr>
        <w:t xml:space="preserve"> national criminal law</w:t>
      </w:r>
      <w:r w:rsidR="00E92A1A">
        <w:rPr>
          <w:rFonts w:ascii="Helvetica" w:hAnsi="Helvetica" w:cs="Times New Roman"/>
          <w:color w:val="000000"/>
          <w:sz w:val="23"/>
          <w:szCs w:val="23"/>
          <w:lang w:val="en-GB" w:eastAsia="en-GB"/>
        </w:rPr>
        <w:t xml:space="preserve"> applicable to business corporations</w:t>
      </w:r>
      <w:r w:rsidR="00FE0F2A" w:rsidRPr="007C0819">
        <w:rPr>
          <w:rFonts w:ascii="Helvetica" w:hAnsi="Helvetica" w:cs="Times New Roman"/>
          <w:color w:val="000000"/>
          <w:sz w:val="23"/>
          <w:szCs w:val="23"/>
          <w:lang w:val="en-GB" w:eastAsia="en-GB"/>
        </w:rPr>
        <w:t>:</w:t>
      </w:r>
    </w:p>
    <w:p w14:paraId="381E0B9C" w14:textId="21064783"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 xml:space="preserve">war crimes, crimes against humanity and genocide </w:t>
      </w:r>
      <w:r w:rsidR="005F649D" w:rsidRPr="00D6388A">
        <w:rPr>
          <w:rFonts w:ascii="Helvetica" w:hAnsi="Helvetica" w:cs="Times New Roman"/>
          <w:color w:val="000000"/>
          <w:sz w:val="23"/>
          <w:szCs w:val="23"/>
          <w:highlight w:val="yellow"/>
          <w:lang w:val="en-GB" w:eastAsia="en-GB"/>
        </w:rPr>
        <w:t>[</w:t>
      </w:r>
      <w:r w:rsidRPr="00D6388A">
        <w:rPr>
          <w:rFonts w:ascii="Helvetica" w:hAnsi="Helvetica" w:cs="Times New Roman"/>
          <w:color w:val="000000"/>
          <w:sz w:val="23"/>
          <w:szCs w:val="23"/>
          <w:highlight w:val="yellow"/>
          <w:lang w:val="en-GB" w:eastAsia="en-GB"/>
        </w:rPr>
        <w:t>(as defined under international law in such sources as the grave breach provisions of the 1949 Geneva Conventions and 1977 Additional Protocols, the Rome Statute for the International Criminal Court, and customary international humanitarian and human rights law)</w:t>
      </w:r>
      <w:proofErr w:type="gramStart"/>
      <w:r w:rsidRPr="00D6388A">
        <w:rPr>
          <w:rFonts w:ascii="Helvetica" w:hAnsi="Helvetica" w:cs="Times New Roman"/>
          <w:color w:val="000000"/>
          <w:sz w:val="23"/>
          <w:szCs w:val="23"/>
          <w:highlight w:val="yellow"/>
          <w:lang w:val="en-GB" w:eastAsia="en-GB"/>
        </w:rPr>
        <w:t>.</w:t>
      </w:r>
      <w:r w:rsidRPr="007C0819">
        <w:rPr>
          <w:rFonts w:ascii="Helvetica" w:hAnsi="Helvetica" w:cs="Times New Roman"/>
          <w:color w:val="000000"/>
          <w:sz w:val="23"/>
          <w:szCs w:val="23"/>
          <w:lang w:val="en-GB" w:eastAsia="en-GB"/>
        </w:rPr>
        <w:t xml:space="preserve"> </w:t>
      </w:r>
      <w:r w:rsidR="005F649D">
        <w:rPr>
          <w:rFonts w:ascii="Helvetica" w:hAnsi="Helvetica" w:cs="Times New Roman"/>
          <w:color w:val="000000"/>
          <w:sz w:val="23"/>
          <w:szCs w:val="23"/>
          <w:lang w:val="en-GB" w:eastAsia="en-GB"/>
        </w:rPr>
        <w:t>]</w:t>
      </w:r>
      <w:proofErr w:type="gramEnd"/>
    </w:p>
    <w:p w14:paraId="73B02CFF"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torture,</w:t>
      </w:r>
    </w:p>
    <w:p w14:paraId="48BB1DDC"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 xml:space="preserve">cruel, inhuman or degrading treatment, </w:t>
      </w:r>
    </w:p>
    <w:p w14:paraId="4D755810"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 xml:space="preserve">enforced disappearance, </w:t>
      </w:r>
    </w:p>
    <w:p w14:paraId="29C0412B"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 xml:space="preserve">extrajudicial execution, </w:t>
      </w:r>
    </w:p>
    <w:p w14:paraId="4F90E2EA"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 xml:space="preserve">slavery and slavery-like offences, </w:t>
      </w:r>
    </w:p>
    <w:p w14:paraId="045E121D"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forced labour and similar forms of forced labour,</w:t>
      </w:r>
    </w:p>
    <w:p w14:paraId="27E9939D"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forced displacement of people,</w:t>
      </w:r>
    </w:p>
    <w:p w14:paraId="46D0C6E6"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lastRenderedPageBreak/>
        <w:t>forced eviction,</w:t>
      </w:r>
    </w:p>
    <w:p w14:paraId="526B4FBA" w14:textId="77777777"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the use of child soldiers</w:t>
      </w:r>
    </w:p>
    <w:p w14:paraId="79DE7B2B" w14:textId="0D18DB88" w:rsidR="00FE0F2A" w:rsidRPr="007C0819" w:rsidRDefault="00FE0F2A" w:rsidP="007C0819">
      <w:pPr>
        <w:numPr>
          <w:ilvl w:val="0"/>
          <w:numId w:val="1"/>
        </w:numPr>
        <w:ind w:left="1440"/>
        <w:jc w:val="both"/>
        <w:rPr>
          <w:rFonts w:ascii="Helvetica" w:hAnsi="Helvetica" w:cs="Times New Roman"/>
          <w:color w:val="000000"/>
          <w:sz w:val="23"/>
          <w:szCs w:val="23"/>
          <w:lang w:val="en-GB" w:eastAsia="en-GB"/>
        </w:rPr>
      </w:pPr>
      <w:r w:rsidRPr="007C0819">
        <w:rPr>
          <w:rFonts w:ascii="Helvetica" w:hAnsi="Helvetica" w:cs="Times New Roman"/>
          <w:color w:val="000000"/>
          <w:sz w:val="23"/>
          <w:szCs w:val="23"/>
          <w:lang w:val="en-GB" w:eastAsia="en-GB"/>
        </w:rPr>
        <w:t>sexual violence.</w:t>
      </w:r>
    </w:p>
    <w:p w14:paraId="4C7EF977" w14:textId="77777777" w:rsidR="00FE0F2A" w:rsidRPr="007C0819" w:rsidRDefault="00FE0F2A" w:rsidP="00400671">
      <w:pPr>
        <w:jc w:val="both"/>
        <w:rPr>
          <w:rFonts w:ascii="Helvetica" w:hAnsi="Helvetica" w:cs="Times New Roman"/>
          <w:color w:val="000000"/>
          <w:sz w:val="23"/>
          <w:szCs w:val="23"/>
          <w:lang w:val="en-GB" w:eastAsia="en-GB"/>
        </w:rPr>
      </w:pPr>
    </w:p>
    <w:p w14:paraId="3E353501" w14:textId="3B14D40E" w:rsidR="00FE0F2A" w:rsidRPr="007C0819" w:rsidRDefault="00C03549" w:rsidP="00401DB1">
      <w:pPr>
        <w:jc w:val="both"/>
        <w:rPr>
          <w:rFonts w:ascii="Helvetica" w:hAnsi="Helvetica" w:cs="Times New Roman"/>
          <w:color w:val="000000"/>
          <w:sz w:val="23"/>
          <w:szCs w:val="23"/>
          <w:lang w:val="en-GB" w:eastAsia="en-GB"/>
        </w:rPr>
      </w:pPr>
      <w:r>
        <w:rPr>
          <w:rFonts w:ascii="Helvetica" w:hAnsi="Helvetica" w:cs="Times New Roman"/>
          <w:color w:val="000000"/>
          <w:sz w:val="23"/>
          <w:szCs w:val="23"/>
          <w:lang w:val="en-GB" w:eastAsia="en-GB"/>
        </w:rPr>
        <w:t xml:space="preserve">This Article should also provide for </w:t>
      </w:r>
      <w:r w:rsidR="00FE0F2A" w:rsidRPr="007C0819">
        <w:rPr>
          <w:rFonts w:ascii="Helvetica" w:hAnsi="Helvetica" w:cs="Times New Roman"/>
          <w:color w:val="000000"/>
          <w:sz w:val="23"/>
          <w:szCs w:val="23"/>
          <w:lang w:val="en-GB" w:eastAsia="en-GB"/>
        </w:rPr>
        <w:t xml:space="preserve">adequate, thorough, impartial and independent, </w:t>
      </w:r>
      <w:r>
        <w:rPr>
          <w:rFonts w:ascii="Helvetica" w:hAnsi="Helvetica" w:cs="Times New Roman"/>
          <w:color w:val="000000"/>
          <w:sz w:val="23"/>
          <w:szCs w:val="23"/>
          <w:lang w:val="en-GB" w:eastAsia="en-GB"/>
        </w:rPr>
        <w:t>investigations and sanctions following standards suggested in the full version of this statement in our website and to be handed to the Chair.</w:t>
      </w:r>
    </w:p>
    <w:p w14:paraId="1A3F3AFC" w14:textId="77777777" w:rsidR="00FE0F2A" w:rsidRPr="007C0819" w:rsidRDefault="00FE0F2A" w:rsidP="007C0819">
      <w:pPr>
        <w:ind w:left="720"/>
        <w:jc w:val="both"/>
        <w:rPr>
          <w:rFonts w:ascii="Helvetica" w:hAnsi="Helvetica" w:cs="Times New Roman"/>
          <w:color w:val="000000"/>
          <w:sz w:val="23"/>
          <w:szCs w:val="23"/>
          <w:lang w:val="en-GB" w:eastAsia="en-GB"/>
        </w:rPr>
      </w:pPr>
    </w:p>
    <w:p w14:paraId="09445995" w14:textId="118F6DBF" w:rsidR="00EB73DC" w:rsidRPr="00401DB1" w:rsidRDefault="00401DB1" w:rsidP="00401DB1">
      <w:pPr>
        <w:jc w:val="both"/>
        <w:rPr>
          <w:rFonts w:ascii="Helvetica" w:hAnsi="Helvetica" w:cs="Times New Roman"/>
          <w:color w:val="000000"/>
          <w:sz w:val="23"/>
          <w:szCs w:val="23"/>
          <w:lang w:val="en-GB" w:eastAsia="en-GB"/>
        </w:rPr>
      </w:pPr>
      <w:r>
        <w:rPr>
          <w:rFonts w:ascii="Helvetica" w:hAnsi="Helvetica"/>
          <w:color w:val="000000"/>
          <w:sz w:val="23"/>
          <w:szCs w:val="23"/>
        </w:rPr>
        <w:t>T</w:t>
      </w:r>
      <w:r w:rsidR="00EB73DC" w:rsidRPr="00EB73DC">
        <w:rPr>
          <w:rFonts w:ascii="Helvetica" w:hAnsi="Helvetica"/>
          <w:color w:val="000000"/>
          <w:sz w:val="23"/>
          <w:szCs w:val="23"/>
        </w:rPr>
        <w:t>he ICJ suggests</w:t>
      </w:r>
      <w:r w:rsidR="00EB73DC">
        <w:rPr>
          <w:rFonts w:ascii="Helvetica" w:hAnsi="Helvetica"/>
          <w:color w:val="000000"/>
          <w:sz w:val="23"/>
          <w:szCs w:val="23"/>
        </w:rPr>
        <w:t xml:space="preserve"> </w:t>
      </w:r>
      <w:r w:rsidR="005F649D">
        <w:rPr>
          <w:rFonts w:ascii="Helvetica" w:hAnsi="Helvetica"/>
          <w:color w:val="000000"/>
          <w:sz w:val="23"/>
          <w:szCs w:val="23"/>
        </w:rPr>
        <w:t>retaining</w:t>
      </w:r>
      <w:r w:rsidR="00EB73DC">
        <w:rPr>
          <w:rFonts w:ascii="Helvetica" w:hAnsi="Helvetica"/>
          <w:color w:val="000000"/>
          <w:sz w:val="23"/>
          <w:szCs w:val="23"/>
        </w:rPr>
        <w:t xml:space="preserve"> </w:t>
      </w:r>
      <w:r w:rsidR="00EB73DC" w:rsidRPr="00EB73DC">
        <w:rPr>
          <w:rFonts w:ascii="Helvetica" w:hAnsi="Helvetica"/>
          <w:color w:val="000000"/>
          <w:sz w:val="23"/>
          <w:szCs w:val="23"/>
        </w:rPr>
        <w:t>Articles 10.9, 10.10, and 10.12 in their current form</w:t>
      </w:r>
      <w:r w:rsidR="00EB73DC">
        <w:rPr>
          <w:rFonts w:ascii="Helvetica" w:hAnsi="Helvetica"/>
          <w:color w:val="000000"/>
          <w:sz w:val="23"/>
          <w:szCs w:val="23"/>
        </w:rPr>
        <w:t xml:space="preserve"> and t</w:t>
      </w:r>
      <w:r w:rsidR="005F649D">
        <w:rPr>
          <w:rFonts w:ascii="Helvetica" w:hAnsi="Helvetica"/>
          <w:color w:val="000000"/>
          <w:sz w:val="23"/>
          <w:szCs w:val="23"/>
        </w:rPr>
        <w:t>he</w:t>
      </w:r>
      <w:r w:rsidR="00EB73DC">
        <w:rPr>
          <w:rFonts w:ascii="Helvetica" w:hAnsi="Helvetica"/>
          <w:color w:val="000000"/>
          <w:sz w:val="23"/>
          <w:szCs w:val="23"/>
        </w:rPr>
        <w:t xml:space="preserve"> delet</w:t>
      </w:r>
      <w:r w:rsidR="005F649D">
        <w:rPr>
          <w:rFonts w:ascii="Helvetica" w:hAnsi="Helvetica"/>
          <w:color w:val="000000"/>
          <w:sz w:val="23"/>
          <w:szCs w:val="23"/>
        </w:rPr>
        <w:t>ion of</w:t>
      </w:r>
      <w:r w:rsidR="00EB73DC">
        <w:rPr>
          <w:rFonts w:ascii="Helvetica" w:hAnsi="Helvetica"/>
          <w:color w:val="000000"/>
          <w:sz w:val="23"/>
          <w:szCs w:val="23"/>
        </w:rPr>
        <w:t xml:space="preserve"> </w:t>
      </w:r>
      <w:r w:rsidR="00EB73DC" w:rsidRPr="00EB73DC">
        <w:rPr>
          <w:rFonts w:ascii="Helvetica" w:hAnsi="Helvetica"/>
          <w:color w:val="000000"/>
          <w:sz w:val="23"/>
          <w:szCs w:val="23"/>
        </w:rPr>
        <w:t>Article 10.11.</w:t>
      </w:r>
      <w:r w:rsidR="00EB73DC">
        <w:rPr>
          <w:rFonts w:ascii="Helvetica" w:hAnsi="Helvetica"/>
          <w:color w:val="000000"/>
          <w:sz w:val="23"/>
          <w:szCs w:val="23"/>
        </w:rPr>
        <w:t xml:space="preserve"> </w:t>
      </w:r>
    </w:p>
    <w:p w14:paraId="597BA4F3" w14:textId="7773DA10" w:rsidR="007C0819" w:rsidRPr="00EB73DC" w:rsidRDefault="007C0819" w:rsidP="00EB73DC">
      <w:pPr>
        <w:pStyle w:val="NormalWeb"/>
        <w:spacing w:after="450"/>
        <w:jc w:val="both"/>
        <w:rPr>
          <w:rFonts w:ascii="Helvetica" w:hAnsi="Helvetica"/>
          <w:color w:val="000000"/>
          <w:sz w:val="23"/>
          <w:szCs w:val="23"/>
        </w:rPr>
      </w:pPr>
      <w:r>
        <w:rPr>
          <w:rFonts w:ascii="Helvetica" w:hAnsi="Helvetica"/>
          <w:color w:val="000000"/>
          <w:sz w:val="23"/>
          <w:szCs w:val="23"/>
        </w:rPr>
        <w:t xml:space="preserve">Thank you. </w:t>
      </w:r>
    </w:p>
    <w:p w14:paraId="3D1F4A1D" w14:textId="77777777" w:rsidR="004810D0" w:rsidRDefault="004810D0"/>
    <w:sectPr w:rsidR="004810D0" w:rsidSect="008E7847">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FBB9" w14:textId="77777777" w:rsidR="00E776C3" w:rsidRDefault="00E776C3" w:rsidP="00C61DCB">
      <w:r>
        <w:separator/>
      </w:r>
    </w:p>
  </w:endnote>
  <w:endnote w:type="continuationSeparator" w:id="0">
    <w:p w14:paraId="62FECD50" w14:textId="77777777" w:rsidR="00E776C3" w:rsidRDefault="00E776C3" w:rsidP="00C6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0BA6" w14:textId="77777777" w:rsidR="00E776C3" w:rsidRDefault="00E776C3" w:rsidP="00C61DCB">
      <w:r>
        <w:separator/>
      </w:r>
    </w:p>
  </w:footnote>
  <w:footnote w:type="continuationSeparator" w:id="0">
    <w:p w14:paraId="1DA66CDF" w14:textId="77777777" w:rsidR="00E776C3" w:rsidRDefault="00E776C3" w:rsidP="00C6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681E" w14:textId="77777777" w:rsidR="00937431" w:rsidRDefault="00937431" w:rsidP="00C61DCB">
    <w:pPr>
      <w:pStyle w:val="NormalWeb"/>
      <w:spacing w:before="0" w:beforeAutospacing="0" w:after="450" w:afterAutospacing="0"/>
      <w:jc w:val="both"/>
      <w:rPr>
        <w:rFonts w:ascii="Helvetica" w:hAnsi="Helvetica"/>
        <w:color w:val="000000"/>
        <w:sz w:val="23"/>
        <w:szCs w:val="23"/>
      </w:rPr>
    </w:pPr>
    <w:r>
      <w:rPr>
        <w:rFonts w:ascii="Helvetica" w:hAnsi="Helvetica"/>
        <w:color w:val="000000"/>
        <w:sz w:val="23"/>
        <w:szCs w:val="23"/>
      </w:rPr>
      <w:t>Draft Statement, International Commission of Jurists, Fourth Session of the IWG on TNCs</w:t>
    </w:r>
  </w:p>
  <w:p w14:paraId="16722D54" w14:textId="77777777" w:rsidR="00937431" w:rsidRPr="00FE0F2A" w:rsidRDefault="00937431" w:rsidP="00C61DCB">
    <w:pPr>
      <w:pStyle w:val="NormalWeb"/>
      <w:spacing w:before="0" w:beforeAutospacing="0" w:after="450" w:afterAutospacing="0"/>
      <w:jc w:val="both"/>
      <w:rPr>
        <w:rFonts w:ascii="Helvetica" w:hAnsi="Helvetica"/>
        <w:b/>
        <w:color w:val="000000"/>
        <w:sz w:val="23"/>
        <w:szCs w:val="23"/>
      </w:rPr>
    </w:pPr>
    <w:r w:rsidRPr="00FE0F2A">
      <w:rPr>
        <w:rFonts w:ascii="Helvetica" w:hAnsi="Helvetica"/>
        <w:b/>
        <w:color w:val="000000"/>
        <w:sz w:val="23"/>
        <w:szCs w:val="23"/>
      </w:rPr>
      <w:t>Legal liability</w:t>
    </w:r>
  </w:p>
  <w:p w14:paraId="3541AE9B" w14:textId="77777777" w:rsidR="00937431" w:rsidRDefault="0093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20D2"/>
    <w:multiLevelType w:val="hybridMultilevel"/>
    <w:tmpl w:val="BD9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0036A"/>
    <w:multiLevelType w:val="hybridMultilevel"/>
    <w:tmpl w:val="4FA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CB"/>
    <w:rsid w:val="00020B6A"/>
    <w:rsid w:val="000866FF"/>
    <w:rsid w:val="000C0930"/>
    <w:rsid w:val="00170DA7"/>
    <w:rsid w:val="001A6401"/>
    <w:rsid w:val="001F4A30"/>
    <w:rsid w:val="002112D3"/>
    <w:rsid w:val="003022FE"/>
    <w:rsid w:val="0031178C"/>
    <w:rsid w:val="00391DDA"/>
    <w:rsid w:val="00400671"/>
    <w:rsid w:val="00401DB1"/>
    <w:rsid w:val="00446452"/>
    <w:rsid w:val="004810D0"/>
    <w:rsid w:val="005F649D"/>
    <w:rsid w:val="0060034B"/>
    <w:rsid w:val="00652C4C"/>
    <w:rsid w:val="006D7C66"/>
    <w:rsid w:val="0072432D"/>
    <w:rsid w:val="007C0819"/>
    <w:rsid w:val="007C23B6"/>
    <w:rsid w:val="007C66F7"/>
    <w:rsid w:val="007D79D9"/>
    <w:rsid w:val="007E070D"/>
    <w:rsid w:val="00851CC3"/>
    <w:rsid w:val="008A0926"/>
    <w:rsid w:val="008E7847"/>
    <w:rsid w:val="008F5FFB"/>
    <w:rsid w:val="00937431"/>
    <w:rsid w:val="00AB14A2"/>
    <w:rsid w:val="00B96ACA"/>
    <w:rsid w:val="00C03549"/>
    <w:rsid w:val="00C61DCB"/>
    <w:rsid w:val="00C74F8E"/>
    <w:rsid w:val="00D46C49"/>
    <w:rsid w:val="00D6388A"/>
    <w:rsid w:val="00DC64AA"/>
    <w:rsid w:val="00E11F4A"/>
    <w:rsid w:val="00E6677B"/>
    <w:rsid w:val="00E776C3"/>
    <w:rsid w:val="00E92A1A"/>
    <w:rsid w:val="00EB73DC"/>
    <w:rsid w:val="00F65938"/>
    <w:rsid w:val="00F67F5D"/>
    <w:rsid w:val="00F76A92"/>
    <w:rsid w:val="00FE0F2A"/>
    <w:rsid w:val="00FE62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2503C"/>
  <w15:docId w15:val="{C6B1A4D5-B032-4C50-AB82-C5D5E9F1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1DCB"/>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CB"/>
    <w:pPr>
      <w:tabs>
        <w:tab w:val="center" w:pos="4680"/>
        <w:tab w:val="right" w:pos="9360"/>
      </w:tabs>
    </w:pPr>
  </w:style>
  <w:style w:type="character" w:customStyle="1" w:styleId="HeaderChar">
    <w:name w:val="Header Char"/>
    <w:basedOn w:val="DefaultParagraphFont"/>
    <w:link w:val="Header"/>
    <w:uiPriority w:val="99"/>
    <w:rsid w:val="00C61DCB"/>
  </w:style>
  <w:style w:type="paragraph" w:styleId="Footer">
    <w:name w:val="footer"/>
    <w:basedOn w:val="Normal"/>
    <w:link w:val="FooterChar"/>
    <w:uiPriority w:val="99"/>
    <w:unhideWhenUsed/>
    <w:rsid w:val="00C61DCB"/>
    <w:pPr>
      <w:tabs>
        <w:tab w:val="center" w:pos="4680"/>
        <w:tab w:val="right" w:pos="9360"/>
      </w:tabs>
    </w:pPr>
  </w:style>
  <w:style w:type="character" w:customStyle="1" w:styleId="FooterChar">
    <w:name w:val="Footer Char"/>
    <w:basedOn w:val="DefaultParagraphFont"/>
    <w:link w:val="Footer"/>
    <w:uiPriority w:val="99"/>
    <w:rsid w:val="00C61DCB"/>
  </w:style>
  <w:style w:type="paragraph" w:styleId="NormalWeb">
    <w:name w:val="Normal (Web)"/>
    <w:basedOn w:val="Normal"/>
    <w:uiPriority w:val="99"/>
    <w:unhideWhenUsed/>
    <w:rsid w:val="00C61DCB"/>
    <w:pPr>
      <w:spacing w:before="100" w:beforeAutospacing="1" w:after="100" w:afterAutospacing="1"/>
    </w:pPr>
    <w:rPr>
      <w:rFonts w:ascii="Times New Roman" w:hAnsi="Times New Roman" w:cs="Times New Roman"/>
      <w:lang w:val="en-GB" w:eastAsia="en-GB"/>
    </w:rPr>
  </w:style>
  <w:style w:type="character" w:customStyle="1" w:styleId="Heading1Char">
    <w:name w:val="Heading 1 Char"/>
    <w:basedOn w:val="DefaultParagraphFont"/>
    <w:link w:val="Heading1"/>
    <w:uiPriority w:val="9"/>
    <w:rsid w:val="00C61DCB"/>
    <w:rPr>
      <w:rFonts w:ascii="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FE0F2A"/>
    <w:rPr>
      <w:color w:val="0000FF"/>
      <w:u w:val="single"/>
    </w:rPr>
  </w:style>
  <w:style w:type="paragraph" w:styleId="FootnoteText">
    <w:name w:val="footnote text"/>
    <w:basedOn w:val="Normal"/>
    <w:link w:val="FootnoteTextChar"/>
    <w:uiPriority w:val="99"/>
    <w:semiHidden/>
    <w:unhideWhenUsed/>
    <w:rsid w:val="00FE0F2A"/>
    <w:rPr>
      <w:rFonts w:eastAsiaTheme="minorEastAsia"/>
      <w:lang w:val="en-US"/>
    </w:rPr>
  </w:style>
  <w:style w:type="character" w:customStyle="1" w:styleId="FootnoteTextChar">
    <w:name w:val="Footnote Text Char"/>
    <w:basedOn w:val="DefaultParagraphFont"/>
    <w:link w:val="FootnoteText"/>
    <w:uiPriority w:val="99"/>
    <w:semiHidden/>
    <w:rsid w:val="00FE0F2A"/>
    <w:rPr>
      <w:rFonts w:eastAsiaTheme="minorEastAsia"/>
      <w:lang w:val="en-US"/>
    </w:rPr>
  </w:style>
  <w:style w:type="character" w:styleId="FootnoteReference">
    <w:name w:val="footnote reference"/>
    <w:aliases w:val="4_G"/>
    <w:basedOn w:val="DefaultParagraphFont"/>
    <w:uiPriority w:val="99"/>
    <w:unhideWhenUsed/>
    <w:rsid w:val="00FE0F2A"/>
    <w:rPr>
      <w:vertAlign w:val="superscript"/>
    </w:rPr>
  </w:style>
  <w:style w:type="paragraph" w:styleId="BalloonText">
    <w:name w:val="Balloon Text"/>
    <w:basedOn w:val="Normal"/>
    <w:link w:val="BalloonTextChar"/>
    <w:uiPriority w:val="99"/>
    <w:semiHidden/>
    <w:unhideWhenUsed/>
    <w:rsid w:val="008A0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9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0926"/>
    <w:rPr>
      <w:sz w:val="18"/>
      <w:szCs w:val="18"/>
    </w:rPr>
  </w:style>
  <w:style w:type="paragraph" w:styleId="CommentText">
    <w:name w:val="annotation text"/>
    <w:basedOn w:val="Normal"/>
    <w:link w:val="CommentTextChar"/>
    <w:uiPriority w:val="99"/>
    <w:semiHidden/>
    <w:unhideWhenUsed/>
    <w:rsid w:val="008A0926"/>
  </w:style>
  <w:style w:type="character" w:customStyle="1" w:styleId="CommentTextChar">
    <w:name w:val="Comment Text Char"/>
    <w:basedOn w:val="DefaultParagraphFont"/>
    <w:link w:val="CommentText"/>
    <w:uiPriority w:val="99"/>
    <w:semiHidden/>
    <w:rsid w:val="008A0926"/>
  </w:style>
  <w:style w:type="paragraph" w:styleId="CommentSubject">
    <w:name w:val="annotation subject"/>
    <w:basedOn w:val="CommentText"/>
    <w:next w:val="CommentText"/>
    <w:link w:val="CommentSubjectChar"/>
    <w:uiPriority w:val="99"/>
    <w:semiHidden/>
    <w:unhideWhenUsed/>
    <w:rsid w:val="008A0926"/>
    <w:rPr>
      <w:b/>
      <w:bCs/>
      <w:sz w:val="20"/>
      <w:szCs w:val="20"/>
    </w:rPr>
  </w:style>
  <w:style w:type="character" w:customStyle="1" w:styleId="CommentSubjectChar">
    <w:name w:val="Comment Subject Char"/>
    <w:basedOn w:val="CommentTextChar"/>
    <w:link w:val="CommentSubject"/>
    <w:uiPriority w:val="99"/>
    <w:semiHidden/>
    <w:rsid w:val="008A0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000">
      <w:bodyDiv w:val="1"/>
      <w:marLeft w:val="0"/>
      <w:marRight w:val="0"/>
      <w:marTop w:val="0"/>
      <w:marBottom w:val="0"/>
      <w:divBdr>
        <w:top w:val="none" w:sz="0" w:space="0" w:color="auto"/>
        <w:left w:val="none" w:sz="0" w:space="0" w:color="auto"/>
        <w:bottom w:val="none" w:sz="0" w:space="0" w:color="auto"/>
        <w:right w:val="none" w:sz="0" w:space="0" w:color="auto"/>
      </w:divBdr>
    </w:div>
    <w:div w:id="205803310">
      <w:bodyDiv w:val="1"/>
      <w:marLeft w:val="0"/>
      <w:marRight w:val="0"/>
      <w:marTop w:val="0"/>
      <w:marBottom w:val="0"/>
      <w:divBdr>
        <w:top w:val="none" w:sz="0" w:space="0" w:color="auto"/>
        <w:left w:val="none" w:sz="0" w:space="0" w:color="auto"/>
        <w:bottom w:val="none" w:sz="0" w:space="0" w:color="auto"/>
        <w:right w:val="none" w:sz="0" w:space="0" w:color="auto"/>
      </w:divBdr>
    </w:div>
    <w:div w:id="337388401">
      <w:bodyDiv w:val="1"/>
      <w:marLeft w:val="0"/>
      <w:marRight w:val="0"/>
      <w:marTop w:val="0"/>
      <w:marBottom w:val="0"/>
      <w:divBdr>
        <w:top w:val="none" w:sz="0" w:space="0" w:color="auto"/>
        <w:left w:val="none" w:sz="0" w:space="0" w:color="auto"/>
        <w:bottom w:val="none" w:sz="0" w:space="0" w:color="auto"/>
        <w:right w:val="none" w:sz="0" w:space="0" w:color="auto"/>
      </w:divBdr>
    </w:div>
    <w:div w:id="563102206">
      <w:bodyDiv w:val="1"/>
      <w:marLeft w:val="0"/>
      <w:marRight w:val="0"/>
      <w:marTop w:val="0"/>
      <w:marBottom w:val="0"/>
      <w:divBdr>
        <w:top w:val="none" w:sz="0" w:space="0" w:color="auto"/>
        <w:left w:val="none" w:sz="0" w:space="0" w:color="auto"/>
        <w:bottom w:val="none" w:sz="0" w:space="0" w:color="auto"/>
        <w:right w:val="none" w:sz="0" w:space="0" w:color="auto"/>
      </w:divBdr>
    </w:div>
    <w:div w:id="847059182">
      <w:bodyDiv w:val="1"/>
      <w:marLeft w:val="0"/>
      <w:marRight w:val="0"/>
      <w:marTop w:val="0"/>
      <w:marBottom w:val="0"/>
      <w:divBdr>
        <w:top w:val="none" w:sz="0" w:space="0" w:color="auto"/>
        <w:left w:val="none" w:sz="0" w:space="0" w:color="auto"/>
        <w:bottom w:val="none" w:sz="0" w:space="0" w:color="auto"/>
        <w:right w:val="none" w:sz="0" w:space="0" w:color="auto"/>
      </w:divBdr>
    </w:div>
    <w:div w:id="868226097">
      <w:bodyDiv w:val="1"/>
      <w:marLeft w:val="0"/>
      <w:marRight w:val="0"/>
      <w:marTop w:val="0"/>
      <w:marBottom w:val="0"/>
      <w:divBdr>
        <w:top w:val="none" w:sz="0" w:space="0" w:color="auto"/>
        <w:left w:val="none" w:sz="0" w:space="0" w:color="auto"/>
        <w:bottom w:val="none" w:sz="0" w:space="0" w:color="auto"/>
        <w:right w:val="none" w:sz="0" w:space="0" w:color="auto"/>
      </w:divBdr>
    </w:div>
    <w:div w:id="934827519">
      <w:bodyDiv w:val="1"/>
      <w:marLeft w:val="0"/>
      <w:marRight w:val="0"/>
      <w:marTop w:val="0"/>
      <w:marBottom w:val="0"/>
      <w:divBdr>
        <w:top w:val="none" w:sz="0" w:space="0" w:color="auto"/>
        <w:left w:val="none" w:sz="0" w:space="0" w:color="auto"/>
        <w:bottom w:val="none" w:sz="0" w:space="0" w:color="auto"/>
        <w:right w:val="none" w:sz="0" w:space="0" w:color="auto"/>
      </w:divBdr>
    </w:div>
    <w:div w:id="979724369">
      <w:bodyDiv w:val="1"/>
      <w:marLeft w:val="0"/>
      <w:marRight w:val="0"/>
      <w:marTop w:val="0"/>
      <w:marBottom w:val="0"/>
      <w:divBdr>
        <w:top w:val="none" w:sz="0" w:space="0" w:color="auto"/>
        <w:left w:val="none" w:sz="0" w:space="0" w:color="auto"/>
        <w:bottom w:val="none" w:sz="0" w:space="0" w:color="auto"/>
        <w:right w:val="none" w:sz="0" w:space="0" w:color="auto"/>
      </w:divBdr>
    </w:div>
    <w:div w:id="1999380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35A05-AF10-45BC-8857-7C9EBD79401E}"/>
</file>

<file path=customXml/itemProps2.xml><?xml version="1.0" encoding="utf-8"?>
<ds:datastoreItem xmlns:ds="http://schemas.openxmlformats.org/officeDocument/2006/customXml" ds:itemID="{62CA5C21-F6E7-442D-A905-5AC014457BB9}"/>
</file>

<file path=customXml/itemProps3.xml><?xml version="1.0" encoding="utf-8"?>
<ds:datastoreItem xmlns:ds="http://schemas.openxmlformats.org/officeDocument/2006/customXml" ds:itemID="{3FBA6AC0-FFFD-4A4D-8F6F-84239A8CE14C}"/>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carlos.lopez</cp:lastModifiedBy>
  <cp:revision>3</cp:revision>
  <dcterms:created xsi:type="dcterms:W3CDTF">2018-10-17T08:45:00Z</dcterms:created>
  <dcterms:modified xsi:type="dcterms:W3CDTF">2018-10-17T08:50:00Z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