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正文"/>
        <w:bidi w:val="0"/>
      </w:pPr>
    </w:p>
    <w:p>
      <w:pPr>
        <w:pStyle w:val="正文"/>
        <w:bidi w:val="0"/>
      </w:pPr>
    </w:p>
    <w:p>
      <w:pPr>
        <w:pStyle w:val="正文"/>
        <w:bidi w:val="0"/>
      </w:pPr>
    </w:p>
    <w:p>
      <w:pPr>
        <w:pStyle w:val="正文"/>
        <w:rPr>
          <w:rFonts w:ascii="Times New Roman" w:cs="Times New Roman" w:hAnsi="Times New Roman" w:eastAsia="Times New Roman"/>
          <w:sz w:val="28"/>
          <w:szCs w:val="28"/>
        </w:rPr>
      </w:pPr>
      <w:r>
        <w:rPr>
          <w:rFonts w:ascii="Times New Roman" w:hAnsi="Times New Roman"/>
          <w:sz w:val="28"/>
          <w:szCs w:val="28"/>
          <w:rtl w:val="0"/>
          <w:lang w:val="en-US"/>
        </w:rPr>
        <w:t>Translation for Reference</w:t>
      </w:r>
    </w:p>
    <w:p>
      <w:pPr>
        <w:pStyle w:val="正文"/>
        <w:rPr>
          <w:rFonts w:ascii="Times New Roman" w:cs="Times New Roman" w:hAnsi="Times New Roman" w:eastAsia="Times New Roman"/>
          <w:sz w:val="28"/>
          <w:szCs w:val="28"/>
        </w:rPr>
      </w:pPr>
    </w:p>
    <w:p>
      <w:pPr>
        <w:pStyle w:val="正文"/>
        <w:rPr>
          <w:rFonts w:ascii="Times New Roman" w:cs="Times New Roman" w:hAnsi="Times New Roman" w:eastAsia="Times New Roman"/>
          <w:sz w:val="28"/>
          <w:szCs w:val="28"/>
        </w:rPr>
      </w:pPr>
      <w:r>
        <w:rPr>
          <w:rFonts w:ascii="Times New Roman" w:hAnsi="Times New Roman"/>
          <w:sz w:val="28"/>
          <w:szCs w:val="28"/>
          <w:rtl w:val="0"/>
          <w:lang w:val="en-US"/>
        </w:rPr>
        <w:t xml:space="preserve">General Comment by Delegation of China </w:t>
      </w:r>
    </w:p>
    <w:p>
      <w:pPr>
        <w:pStyle w:val="正文"/>
        <w:rPr>
          <w:rFonts w:ascii="Times New Roman" w:cs="Times New Roman" w:hAnsi="Times New Roman" w:eastAsia="Times New Roman"/>
          <w:sz w:val="28"/>
          <w:szCs w:val="28"/>
        </w:rPr>
      </w:pPr>
      <w:r>
        <w:rPr>
          <w:rFonts w:ascii="Times New Roman" w:hAnsi="Times New Roman"/>
          <w:sz w:val="28"/>
          <w:szCs w:val="28"/>
          <w:rtl w:val="0"/>
          <w:lang w:val="en-US"/>
        </w:rPr>
        <w:t xml:space="preserve">At the Fourth Session of the OEIGWG on TNCs and OBEs </w:t>
      </w:r>
    </w:p>
    <w:p>
      <w:pPr>
        <w:pStyle w:val="正文"/>
        <w:rPr>
          <w:rFonts w:ascii="Times New Roman" w:cs="Times New Roman" w:hAnsi="Times New Roman" w:eastAsia="Times New Roman"/>
          <w:sz w:val="28"/>
          <w:szCs w:val="28"/>
        </w:rPr>
      </w:pPr>
    </w:p>
    <w:p>
      <w:pPr>
        <w:pStyle w:val="正文"/>
        <w:rPr>
          <w:rFonts w:ascii="Times New Roman" w:cs="Times New Roman" w:hAnsi="Times New Roman" w:eastAsia="Times New Roman"/>
          <w:sz w:val="28"/>
          <w:szCs w:val="28"/>
        </w:rPr>
      </w:pPr>
      <w:r>
        <w:rPr>
          <w:rFonts w:ascii="Times New Roman" w:hAnsi="Times New Roman"/>
          <w:sz w:val="28"/>
          <w:szCs w:val="28"/>
          <w:rtl w:val="0"/>
          <w:lang w:val="en-US"/>
        </w:rPr>
        <w:t>Mr. Chairperson,</w:t>
      </w:r>
    </w:p>
    <w:p>
      <w:pPr>
        <w:pStyle w:val="正文"/>
        <w:rPr>
          <w:rFonts w:ascii="Times New Roman" w:cs="Times New Roman" w:hAnsi="Times New Roman" w:eastAsia="Times New Roman"/>
          <w:sz w:val="28"/>
          <w:szCs w:val="28"/>
        </w:rPr>
      </w:pPr>
      <w:r>
        <w:rPr>
          <w:rFonts w:ascii="Times New Roman" w:hAnsi="Times New Roman"/>
          <w:sz w:val="28"/>
          <w:szCs w:val="28"/>
          <w:rtl w:val="0"/>
          <w:lang w:val="en-US"/>
        </w:rPr>
        <w:t xml:space="preserve">      </w:t>
      </w:r>
      <w:r>
        <w:rPr>
          <w:rFonts w:ascii="Times New Roman" w:hAnsi="Times New Roman"/>
          <w:sz w:val="28"/>
          <w:szCs w:val="28"/>
          <w:rtl w:val="0"/>
          <w:lang w:val="en-US"/>
        </w:rPr>
        <w:t>The Chinese delegation thanks the current and previous chairpersons of the Working Group and the Government of Equator and its permanent mission for the huge amount of efforts and contribution they have made to promote deliberations within the Working Group. The current session of the WG will focus on discussing the zero draft</w:t>
      </w:r>
      <w:r>
        <w:rPr>
          <w:rFonts w:ascii="Times New Roman" w:hAnsi="Times New Roman"/>
          <w:sz w:val="28"/>
          <w:szCs w:val="28"/>
          <w:rtl w:val="0"/>
          <w:lang w:val="en-US"/>
        </w:rPr>
        <w:t>, t</w:t>
      </w:r>
      <w:r>
        <w:rPr>
          <w:rFonts w:ascii="Times New Roman" w:hAnsi="Times New Roman"/>
          <w:sz w:val="28"/>
          <w:szCs w:val="28"/>
          <w:rtl w:val="0"/>
          <w:lang w:val="en-US"/>
        </w:rPr>
        <w:t xml:space="preserve">he Chinese delegation wishes to make the following </w:t>
      </w:r>
      <w:r>
        <w:rPr>
          <w:rFonts w:ascii="Times New Roman" w:hAnsi="Times New Roman"/>
          <w:sz w:val="28"/>
          <w:szCs w:val="28"/>
          <w:rtl w:val="0"/>
          <w:lang w:val="en-US"/>
        </w:rPr>
        <w:t xml:space="preserve">preliminary </w:t>
      </w:r>
      <w:r>
        <w:rPr>
          <w:rFonts w:ascii="Times New Roman" w:hAnsi="Times New Roman"/>
          <w:sz w:val="28"/>
          <w:szCs w:val="28"/>
          <w:rtl w:val="0"/>
          <w:lang w:val="fr-FR"/>
        </w:rPr>
        <w:t>general observations</w:t>
      </w:r>
      <w:r>
        <w:rPr>
          <w:rFonts w:ascii="Times New Roman" w:hAnsi="Times New Roman"/>
          <w:sz w:val="28"/>
          <w:szCs w:val="28"/>
          <w:rtl w:val="0"/>
          <w:lang w:val="en-US"/>
        </w:rPr>
        <w:t xml:space="preserve"> in this regard</w:t>
      </w:r>
      <w:r>
        <w:rPr>
          <w:rFonts w:ascii="Times New Roman" w:hAnsi="Times New Roman"/>
          <w:sz w:val="28"/>
          <w:szCs w:val="28"/>
          <w:rtl w:val="0"/>
        </w:rPr>
        <w:t>.</w:t>
      </w:r>
    </w:p>
    <w:p>
      <w:pPr>
        <w:pStyle w:val="正文"/>
        <w:rPr>
          <w:rFonts w:ascii="Times New Roman" w:cs="Times New Roman" w:hAnsi="Times New Roman" w:eastAsia="Times New Roman"/>
          <w:sz w:val="28"/>
          <w:szCs w:val="28"/>
        </w:rPr>
      </w:pPr>
    </w:p>
    <w:p>
      <w:pPr>
        <w:pStyle w:val="正文"/>
        <w:rPr>
          <w:rFonts w:ascii="Times New Roman" w:cs="Times New Roman" w:hAnsi="Times New Roman" w:eastAsia="Times New Roman"/>
          <w:sz w:val="28"/>
          <w:szCs w:val="28"/>
        </w:rPr>
      </w:pPr>
      <w:r>
        <w:rPr>
          <w:rFonts w:ascii="Times New Roman" w:hAnsi="Times New Roman"/>
          <w:sz w:val="28"/>
          <w:szCs w:val="28"/>
          <w:rtl w:val="0"/>
          <w:lang w:val="en-US"/>
        </w:rPr>
        <w:t>I.</w:t>
        <w:tab/>
        <w:t xml:space="preserve">Human rights and development should be promoted. Human Rights Council resolution 26/9 mandated this Working Group to regulate the activities of TNCs from the perspective of international human rights law. The same resolution also acknowledges that </w:t>
      </w:r>
      <w:r>
        <w:rPr>
          <w:rFonts w:ascii="Times New Roman" w:hAnsi="Times New Roman" w:hint="default"/>
          <w:sz w:val="28"/>
          <w:szCs w:val="28"/>
          <w:rtl w:val="0"/>
          <w:lang w:val="en-US"/>
        </w:rPr>
        <w:t>“</w:t>
      </w:r>
      <w:r>
        <w:rPr>
          <w:rFonts w:ascii="Times New Roman" w:hAnsi="Times New Roman"/>
          <w:sz w:val="28"/>
          <w:szCs w:val="28"/>
          <w:rtl w:val="0"/>
          <w:lang w:val="en-US"/>
        </w:rPr>
        <w:t>TNCs have the capacity to foster economic well-being, development, technological improvement and wealth</w:t>
      </w:r>
      <w:r>
        <w:rPr>
          <w:rFonts w:ascii="Times New Roman" w:hAnsi="Times New Roman" w:hint="default"/>
          <w:sz w:val="28"/>
          <w:szCs w:val="28"/>
          <w:rtl w:val="0"/>
          <w:lang w:val="en-US"/>
        </w:rPr>
        <w:t>”</w:t>
      </w:r>
      <w:r>
        <w:rPr>
          <w:rFonts w:ascii="Times New Roman" w:hAnsi="Times New Roman"/>
          <w:sz w:val="28"/>
          <w:szCs w:val="28"/>
          <w:rtl w:val="0"/>
          <w:lang w:val="en-US"/>
        </w:rPr>
        <w:t xml:space="preserve">. The UN 2030 Agenda for sustainable development also recognizes businesses as a driver for development. As pointed out in the outcome document, i.e.  resoluation A/RES/60/1, of the 2005 World Summit, development and human rights are </w:t>
      </w:r>
      <w:r>
        <w:rPr>
          <w:rFonts w:ascii="Times New Roman" w:hAnsi="Times New Roman"/>
          <w:sz w:val="28"/>
          <w:szCs w:val="28"/>
          <w:rtl w:val="0"/>
          <w:lang w:val="en-US"/>
        </w:rPr>
        <w:t xml:space="preserve">both among </w:t>
      </w:r>
      <w:r>
        <w:rPr>
          <w:rFonts w:ascii="Times New Roman" w:hAnsi="Times New Roman"/>
          <w:sz w:val="28"/>
          <w:szCs w:val="28"/>
          <w:rtl w:val="0"/>
          <w:lang w:val="en-US"/>
        </w:rPr>
        <w:t xml:space="preserve">pillars of the United Nations system which are </w:t>
      </w:r>
      <w:r>
        <w:rPr>
          <w:rFonts w:ascii="Times New Roman" w:hAnsi="Times New Roman" w:hint="default"/>
          <w:sz w:val="28"/>
          <w:szCs w:val="28"/>
          <w:rtl w:val="0"/>
          <w:lang w:val="en-US"/>
        </w:rPr>
        <w:t>“</w:t>
      </w:r>
      <w:r>
        <w:rPr>
          <w:rFonts w:ascii="Times New Roman" w:hAnsi="Times New Roman"/>
          <w:sz w:val="28"/>
          <w:szCs w:val="28"/>
          <w:rtl w:val="0"/>
          <w:lang w:val="en-US"/>
        </w:rPr>
        <w:t>interlinked and mutually reinforcing</w:t>
      </w:r>
      <w:r>
        <w:rPr>
          <w:rFonts w:ascii="Times New Roman" w:hAnsi="Times New Roman"/>
          <w:sz w:val="28"/>
          <w:szCs w:val="28"/>
          <w:rtl w:val="0"/>
          <w:lang w:val="en-US"/>
        </w:rPr>
        <w:t>"</w:t>
      </w:r>
      <w:r>
        <w:rPr>
          <w:rFonts w:ascii="Times New Roman" w:hAnsi="Times New Roman"/>
          <w:sz w:val="28"/>
          <w:szCs w:val="28"/>
          <w:rtl w:val="0"/>
          <w:lang w:val="en-US"/>
        </w:rPr>
        <w:t xml:space="preserve">. We </w:t>
      </w:r>
      <w:r>
        <w:rPr>
          <w:rFonts w:ascii="Times New Roman" w:hAnsi="Times New Roman"/>
          <w:sz w:val="28"/>
          <w:szCs w:val="28"/>
          <w:rtl w:val="0"/>
          <w:lang w:val="en-US"/>
        </w:rPr>
        <w:t>are of the view</w:t>
      </w:r>
      <w:r>
        <w:rPr>
          <w:rFonts w:ascii="Times New Roman" w:hAnsi="Times New Roman"/>
          <w:sz w:val="28"/>
          <w:szCs w:val="28"/>
          <w:rtl w:val="0"/>
          <w:lang w:val="en-US"/>
        </w:rPr>
        <w:t xml:space="preserve"> that the proposed legal instrument give equal treatment to the c</w:t>
      </w:r>
      <w:r>
        <w:rPr>
          <w:rFonts w:ascii="Times New Roman" w:hAnsi="Times New Roman"/>
          <w:sz w:val="28"/>
          <w:szCs w:val="28"/>
          <w:rtl w:val="0"/>
          <w:lang w:val="en-US"/>
        </w:rPr>
        <w:t xml:space="preserve">onsiderations from perspectives of both </w:t>
      </w:r>
      <w:r>
        <w:rPr>
          <w:rFonts w:ascii="Times New Roman" w:hAnsi="Times New Roman"/>
          <w:sz w:val="28"/>
          <w:szCs w:val="28"/>
          <w:rtl w:val="0"/>
          <w:lang w:val="en-US"/>
        </w:rPr>
        <w:t>human rights and development and</w:t>
      </w:r>
      <w:r>
        <w:rPr>
          <w:rFonts w:ascii="Times New Roman" w:hAnsi="Times New Roman"/>
          <w:sz w:val="28"/>
          <w:szCs w:val="28"/>
          <w:rtl w:val="0"/>
          <w:lang w:val="en-US"/>
        </w:rPr>
        <w:t xml:space="preserve"> the pursuit to strengthen the human rights protection and remedy</w:t>
      </w:r>
      <w:r>
        <w:rPr>
          <w:rFonts w:ascii="Times New Roman" w:hAnsi="Times New Roman"/>
          <w:sz w:val="28"/>
          <w:szCs w:val="28"/>
          <w:rtl w:val="0"/>
        </w:rPr>
        <w:t xml:space="preserve"> mechanism</w:t>
      </w:r>
      <w:r>
        <w:rPr>
          <w:rFonts w:ascii="Times New Roman" w:hAnsi="Times New Roman"/>
          <w:sz w:val="28"/>
          <w:szCs w:val="28"/>
          <w:rtl w:val="0"/>
          <w:lang w:val="en-US"/>
        </w:rPr>
        <w:t xml:space="preserve"> shall not affect</w:t>
      </w:r>
      <w:r>
        <w:rPr>
          <w:rFonts w:ascii="Times New Roman" w:hAnsi="Times New Roman"/>
          <w:sz w:val="28"/>
          <w:szCs w:val="28"/>
          <w:rtl w:val="0"/>
          <w:lang w:val="en-US"/>
        </w:rPr>
        <w:t xml:space="preserve"> the positive role</w:t>
      </w:r>
      <w:r>
        <w:rPr>
          <w:rFonts w:ascii="Times New Roman" w:hAnsi="Times New Roman"/>
          <w:sz w:val="28"/>
          <w:szCs w:val="28"/>
          <w:rtl w:val="0"/>
          <w:lang w:val="en-US"/>
        </w:rPr>
        <w:t>s</w:t>
      </w:r>
      <w:r>
        <w:rPr>
          <w:rFonts w:ascii="Times New Roman" w:hAnsi="Times New Roman"/>
          <w:sz w:val="28"/>
          <w:szCs w:val="28"/>
          <w:rtl w:val="0"/>
          <w:lang w:val="en-US"/>
        </w:rPr>
        <w:t xml:space="preserve"> businesses </w:t>
      </w:r>
      <w:r>
        <w:rPr>
          <w:rFonts w:ascii="Times New Roman" w:hAnsi="Times New Roman"/>
          <w:sz w:val="28"/>
          <w:szCs w:val="28"/>
          <w:rtl w:val="0"/>
          <w:lang w:val="en-US"/>
        </w:rPr>
        <w:t xml:space="preserve"> could play </w:t>
      </w:r>
      <w:r>
        <w:rPr>
          <w:rFonts w:ascii="Times New Roman" w:hAnsi="Times New Roman"/>
          <w:sz w:val="28"/>
          <w:szCs w:val="28"/>
          <w:rtl w:val="0"/>
          <w:lang w:val="en-US"/>
        </w:rPr>
        <w:t xml:space="preserve">in promoting development among </w:t>
      </w:r>
      <w:r>
        <w:rPr>
          <w:rFonts w:ascii="Times New Roman" w:hAnsi="Times New Roman"/>
          <w:sz w:val="28"/>
          <w:szCs w:val="28"/>
          <w:rtl w:val="0"/>
          <w:lang w:val="en-US"/>
        </w:rPr>
        <w:t xml:space="preserve">all </w:t>
      </w:r>
      <w:r>
        <w:rPr>
          <w:rFonts w:ascii="Times New Roman" w:hAnsi="Times New Roman"/>
          <w:sz w:val="28"/>
          <w:szCs w:val="28"/>
          <w:rtl w:val="0"/>
          <w:lang w:val="en-US"/>
        </w:rPr>
        <w:t xml:space="preserve">countries. </w:t>
      </w:r>
    </w:p>
    <w:p>
      <w:pPr>
        <w:pStyle w:val="正文"/>
        <w:rPr>
          <w:rFonts w:ascii="Times New Roman" w:cs="Times New Roman" w:hAnsi="Times New Roman" w:eastAsia="Times New Roman"/>
          <w:sz w:val="28"/>
          <w:szCs w:val="28"/>
        </w:rPr>
      </w:pPr>
      <w:r>
        <w:rPr>
          <w:rFonts w:ascii="Times New Roman" w:hAnsi="Times New Roman"/>
          <w:sz w:val="28"/>
          <w:szCs w:val="28"/>
          <w:rtl w:val="0"/>
          <w:lang w:val="en-US"/>
        </w:rPr>
        <w:t>II.</w:t>
        <w:tab/>
        <w:t xml:space="preserve">Legality should serve as a guiding principle. As </w:t>
      </w:r>
      <w:r>
        <w:rPr>
          <w:rFonts w:ascii="Times New Roman" w:hAnsi="Times New Roman"/>
          <w:sz w:val="28"/>
          <w:szCs w:val="28"/>
          <w:rtl w:val="0"/>
          <w:lang w:val="en-US"/>
        </w:rPr>
        <w:t>introduced</w:t>
      </w:r>
      <w:r>
        <w:rPr>
          <w:rFonts w:ascii="Times New Roman" w:hAnsi="Times New Roman"/>
          <w:sz w:val="28"/>
          <w:szCs w:val="28"/>
          <w:rtl w:val="0"/>
          <w:lang w:val="en-US"/>
        </w:rPr>
        <w:t xml:space="preserve"> by the Chairperson, the current zero draft is victims-oriented and aims to establishing a legal mechanism to provide effective remedy to victims of </w:t>
      </w:r>
      <w:r>
        <w:rPr>
          <w:rFonts w:ascii="Times New Roman" w:hAnsi="Times New Roman"/>
          <w:sz w:val="28"/>
          <w:szCs w:val="28"/>
          <w:rtl w:val="0"/>
          <w:lang w:val="en-US"/>
        </w:rPr>
        <w:t xml:space="preserve">alleged </w:t>
      </w:r>
      <w:r>
        <w:rPr>
          <w:rFonts w:ascii="Times New Roman" w:hAnsi="Times New Roman"/>
          <w:sz w:val="28"/>
          <w:szCs w:val="28"/>
          <w:rtl w:val="0"/>
          <w:lang w:val="en-US"/>
        </w:rPr>
        <w:t>human rights abuses by TNCs. Meanwhile, under the general principle of law, such an accountability mechanism should be guided by the principle of legality to ensure</w:t>
      </w:r>
      <w:r>
        <w:rPr>
          <w:rFonts w:ascii="Times New Roman" w:hAnsi="Times New Roman"/>
          <w:sz w:val="28"/>
          <w:szCs w:val="28"/>
          <w:rtl w:val="0"/>
          <w:lang w:val="en-US"/>
        </w:rPr>
        <w:t>, inter alia,</w:t>
      </w:r>
      <w:r>
        <w:rPr>
          <w:rFonts w:ascii="Times New Roman" w:hAnsi="Times New Roman"/>
          <w:sz w:val="28"/>
          <w:szCs w:val="28"/>
          <w:rtl w:val="0"/>
          <w:lang w:val="en-US"/>
        </w:rPr>
        <w:t xml:space="preserve"> clarity, certainty and predictability of relevant rules and to embody justice. It includes the need to define the scope of relevant obligations and legal liabilities in accordance with universally accepted international treaties and customary international laws and in conformity with the principle of reasonableness and proportionality. This will also be conducive to the goal of promoting human rights and development at the same time mentioned in the first point above. </w:t>
      </w:r>
    </w:p>
    <w:p>
      <w:pPr>
        <w:pStyle w:val="正文"/>
        <w:rPr>
          <w:rFonts w:ascii="Times New Roman" w:cs="Times New Roman" w:hAnsi="Times New Roman" w:eastAsia="Times New Roman"/>
          <w:sz w:val="28"/>
          <w:szCs w:val="28"/>
        </w:rPr>
      </w:pPr>
      <w:r>
        <w:rPr>
          <w:rFonts w:ascii="Times New Roman" w:hAnsi="Times New Roman"/>
          <w:sz w:val="28"/>
          <w:szCs w:val="28"/>
          <w:rtl w:val="0"/>
          <w:lang w:val="en-US"/>
        </w:rPr>
        <w:t>III.</w:t>
        <w:tab/>
        <w:t xml:space="preserve">Maximum consensus should be sought. The process of consultation over the previous three years or more has been conducted in a transparent and inclusive manner. In addition to member states, many other stakeholders, including civil society representatives, have provided valuable and professional opinions and recommendations which we warmly welcome and to which we attach great importance. </w:t>
      </w:r>
      <w:r>
        <w:rPr>
          <w:rFonts w:ascii="Times New Roman" w:hAnsi="Times New Roman"/>
          <w:sz w:val="28"/>
          <w:szCs w:val="28"/>
          <w:rtl w:val="0"/>
          <w:lang w:val="en-US"/>
        </w:rPr>
        <w:t>Meanwhile, the r</w:t>
      </w:r>
      <w:r>
        <w:rPr>
          <w:rFonts w:ascii="Times New Roman" w:hAnsi="Times New Roman"/>
          <w:sz w:val="28"/>
          <w:szCs w:val="28"/>
          <w:rtl w:val="0"/>
          <w:lang w:val="en-US"/>
        </w:rPr>
        <w:t xml:space="preserve">esolution 26/9 has clearly defined the </w:t>
      </w:r>
      <w:r>
        <w:rPr>
          <w:rFonts w:ascii="Times New Roman" w:hAnsi="Times New Roman" w:hint="default"/>
          <w:sz w:val="28"/>
          <w:szCs w:val="28"/>
          <w:rtl w:val="0"/>
        </w:rPr>
        <w:t>‘</w:t>
      </w:r>
      <w:r>
        <w:rPr>
          <w:rFonts w:ascii="Times New Roman" w:hAnsi="Times New Roman"/>
          <w:sz w:val="28"/>
          <w:szCs w:val="28"/>
          <w:rtl w:val="0"/>
          <w:lang w:val="en-US"/>
        </w:rPr>
        <w:t>inter-governmental</w:t>
      </w:r>
      <w:r>
        <w:rPr>
          <w:rFonts w:ascii="Times New Roman" w:hAnsi="Times New Roman" w:hint="default"/>
          <w:sz w:val="28"/>
          <w:szCs w:val="28"/>
          <w:rtl w:val="0"/>
        </w:rPr>
        <w:t xml:space="preserve">’ </w:t>
      </w:r>
      <w:r>
        <w:rPr>
          <w:rFonts w:ascii="Times New Roman" w:hAnsi="Times New Roman"/>
          <w:sz w:val="28"/>
          <w:szCs w:val="28"/>
          <w:rtl w:val="0"/>
          <w:lang w:val="en-US"/>
        </w:rPr>
        <w:t xml:space="preserve">nature of this Working Group, hence consensus </w:t>
      </w:r>
      <w:r>
        <w:rPr>
          <w:rFonts w:ascii="Times New Roman" w:hAnsi="Times New Roman"/>
          <w:sz w:val="28"/>
          <w:szCs w:val="28"/>
          <w:rtl w:val="0"/>
          <w:lang w:val="en-US"/>
        </w:rPr>
        <w:t xml:space="preserve">by all States </w:t>
      </w:r>
      <w:r>
        <w:rPr>
          <w:rFonts w:ascii="Times New Roman" w:hAnsi="Times New Roman"/>
          <w:sz w:val="28"/>
          <w:szCs w:val="28"/>
          <w:rtl w:val="0"/>
          <w:lang w:val="en-US"/>
        </w:rPr>
        <w:t xml:space="preserve">holds key to securing universal </w:t>
      </w:r>
      <w:r>
        <w:rPr>
          <w:rFonts w:ascii="Times New Roman" w:hAnsi="Times New Roman"/>
          <w:sz w:val="28"/>
          <w:szCs w:val="28"/>
          <w:rtl w:val="0"/>
          <w:lang w:val="en-US"/>
        </w:rPr>
        <w:t>acceptance</w:t>
      </w:r>
      <w:r>
        <w:rPr>
          <w:rFonts w:ascii="Times New Roman" w:hAnsi="Times New Roman"/>
          <w:sz w:val="28"/>
          <w:szCs w:val="28"/>
          <w:rtl w:val="0"/>
          <w:lang w:val="en-US"/>
        </w:rPr>
        <w:t xml:space="preserve"> for the future legal instrument and its genuine effectiveness. We note with appreciation the huge amount of work that chairpersons, current and previous, have  put into seeking consensus among member states. We encourage the chairperson to continue this </w:t>
      </w:r>
      <w:r>
        <w:rPr>
          <w:rFonts w:ascii="Times New Roman" w:hAnsi="Times New Roman"/>
          <w:sz w:val="28"/>
          <w:szCs w:val="28"/>
          <w:rtl w:val="0"/>
          <w:lang w:val="en-US"/>
        </w:rPr>
        <w:t>endeavour</w:t>
      </w:r>
      <w:r>
        <w:rPr>
          <w:rFonts w:ascii="Times New Roman" w:hAnsi="Times New Roman"/>
          <w:sz w:val="28"/>
          <w:szCs w:val="28"/>
          <w:rtl w:val="0"/>
          <w:lang w:val="en-US"/>
        </w:rPr>
        <w:t>. We also encourage countries to take a cooperative and constructive approach to the quest for consensus. The Chinese delegation is ready to work with other parties in our joint effort for the success of the Working Group.</w:t>
      </w:r>
    </w:p>
    <w:p>
      <w:pPr>
        <w:pStyle w:val="正文"/>
      </w:pPr>
      <w:r>
        <w:rPr>
          <w:rFonts w:ascii="Times New Roman" w:hAnsi="Times New Roman"/>
          <w:sz w:val="28"/>
          <w:szCs w:val="28"/>
          <w:rtl w:val="0"/>
          <w:lang w:val="en-US"/>
        </w:rPr>
        <w:t xml:space="preserve">Thank you, Mr. </w:t>
      </w:r>
      <w:r>
        <w:rPr>
          <w:rFonts w:ascii="Times New Roman" w:hAnsi="Times New Roman"/>
          <w:sz w:val="28"/>
          <w:szCs w:val="28"/>
          <w:rtl w:val="0"/>
          <w:lang w:val="en-US"/>
        </w:rPr>
        <w:t>Chairperson</w:t>
      </w:r>
      <w:r>
        <w:rPr>
          <w:rFonts w:ascii="Times New Roman" w:hAnsi="Times New Roman"/>
          <w:sz w:val="28"/>
          <w:szCs w:val="28"/>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99FE2-E228-4914-B118-71C3291E22BD}"/>
</file>

<file path=customXml/itemProps2.xml><?xml version="1.0" encoding="utf-8"?>
<ds:datastoreItem xmlns:ds="http://schemas.openxmlformats.org/officeDocument/2006/customXml" ds:itemID="{E4AFEFFE-B01F-4896-BDC6-A7BE6A60A65E}"/>
</file>

<file path=customXml/itemProps3.xml><?xml version="1.0" encoding="utf-8"?>
<ds:datastoreItem xmlns:ds="http://schemas.openxmlformats.org/officeDocument/2006/customXml" ds:itemID="{83AAE844-4F68-4727-9CE4-6AFAD6B3DD67}"/>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