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Helvetica" w:cs="Helvetica" w:hAnsi="Helvetica" w:eastAsia="Helvetica"/>
          <w:sz w:val="24"/>
          <w:szCs w:val="24"/>
        </w:rPr>
      </w:pPr>
      <w:r>
        <w:rPr>
          <w:rFonts w:ascii="Arial Unicode MS" w:cs="Arial Unicode MS" w:hAnsi="Arial Unicode MS" w:eastAsia="Arial Unicode MS" w:hint="eastAsia"/>
          <w:b w:val="0"/>
          <w:bCs w:val="0"/>
          <w:i w:val="0"/>
          <w:iCs w:val="0"/>
          <w:sz w:val="24"/>
          <w:szCs w:val="24"/>
          <w:rtl w:val="0"/>
          <w:lang w:val="zh-TW" w:eastAsia="zh-TW"/>
        </w:rPr>
        <w:t>中國代表团</w:t>
      </w:r>
      <w:r>
        <w:rPr>
          <w:rFonts w:ascii="Arial Unicode MS" w:cs="Arial Unicode MS" w:hAnsi="Arial Unicode MS" w:eastAsia="Arial Unicode MS" w:hint="eastAsia"/>
          <w:b w:val="0"/>
          <w:bCs w:val="0"/>
          <w:i w:val="0"/>
          <w:iCs w:val="0"/>
          <w:sz w:val="24"/>
          <w:szCs w:val="24"/>
          <w:rtl w:val="0"/>
          <w:lang w:val="zh-CN" w:eastAsia="zh-CN"/>
        </w:rPr>
        <w:t>关于第六、七和十三条的一般评论</w:t>
      </w:r>
    </w:p>
    <w:p>
      <w:pPr>
        <w:pStyle w:val="Body A"/>
        <w:jc w:val="center"/>
        <w:rPr>
          <w:rFonts w:ascii="Helvetica" w:cs="Helvetica" w:hAnsi="Helvetica" w:eastAsia="Helvetica"/>
          <w:sz w:val="24"/>
          <w:szCs w:val="24"/>
        </w:rPr>
      </w:pPr>
      <w:r>
        <w:rPr>
          <w:rFonts w:ascii="Arial Unicode MS" w:cs="Arial Unicode MS" w:hAnsi="Arial Unicode MS" w:eastAsia="Arial Unicode MS" w:hint="eastAsia"/>
          <w:b w:val="0"/>
          <w:bCs w:val="0"/>
          <w:i w:val="0"/>
          <w:iCs w:val="0"/>
          <w:sz w:val="24"/>
          <w:szCs w:val="24"/>
          <w:rtl w:val="0"/>
          <w:lang w:val="zh-CN" w:eastAsia="zh-CN"/>
        </w:rPr>
        <w:t>（</w:t>
      </w:r>
      <w:r>
        <w:rPr>
          <w:rFonts w:ascii="Helvetica" w:hAnsi="Helvetica" w:hint="default"/>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跨国公司和其他工商业和人权</w:t>
      </w:r>
      <w:r>
        <w:rPr>
          <w:rFonts w:ascii="Helvetica" w:hAnsi="Helvetica" w:hint="default"/>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政府间工作组第四次会议</w:t>
      </w:r>
      <w:r>
        <w:rPr>
          <w:rFonts w:ascii="Arial Unicode MS" w:cs="Arial Unicode MS" w:hAnsi="Arial Unicode MS" w:eastAsia="Arial Unicode MS" w:hint="eastAsia"/>
          <w:b w:val="0"/>
          <w:bCs w:val="0"/>
          <w:i w:val="0"/>
          <w:iCs w:val="0"/>
          <w:sz w:val="24"/>
          <w:szCs w:val="24"/>
          <w:rtl w:val="0"/>
          <w:lang w:val="zh-CN" w:eastAsia="zh-CN"/>
        </w:rPr>
        <w:t>）</w:t>
      </w:r>
    </w:p>
    <w:p>
      <w:pPr>
        <w:pStyle w:val="Body A"/>
        <w:jc w:val="center"/>
        <w:rPr>
          <w:rFonts w:ascii="Helvetica" w:cs="Helvetica" w:hAnsi="Helvetica" w:eastAsia="Helvetica"/>
          <w:sz w:val="24"/>
          <w:szCs w:val="24"/>
        </w:rPr>
      </w:pP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hAnsi="Helvetica"/>
          <w:sz w:val="24"/>
          <w:szCs w:val="24"/>
          <w:rtl w:val="0"/>
          <w:lang w:val="zh-CN" w:eastAsia="zh-CN"/>
        </w:rPr>
        <w:t xml:space="preserve">       </w:t>
      </w:r>
      <w:r>
        <w:rPr>
          <w:rFonts w:ascii="Arial Unicode MS" w:cs="Arial Unicode MS" w:hAnsi="Arial Unicode MS" w:eastAsia="Arial Unicode MS" w:hint="eastAsia"/>
          <w:b w:val="0"/>
          <w:bCs w:val="0"/>
          <w:i w:val="0"/>
          <w:iCs w:val="0"/>
          <w:sz w:val="24"/>
          <w:szCs w:val="24"/>
          <w:rtl w:val="0"/>
          <w:lang w:val="zh-TW" w:eastAsia="zh-TW"/>
        </w:rPr>
        <w:t>第六条：诉讼时效：</w:t>
      </w:r>
    </w:p>
    <w:p>
      <w:pPr>
        <w:pStyle w:val="Body A"/>
        <w:rPr>
          <w:rFonts w:ascii="Helvetica" w:cs="Helvetica" w:hAnsi="Helvetica" w:eastAsia="Helvetica"/>
          <w:sz w:val="24"/>
          <w:szCs w:val="24"/>
        </w:rPr>
      </w:pPr>
      <w:r>
        <w:rPr>
          <w:rFonts w:ascii="Helvetica" w:hAnsi="Helvetica"/>
          <w:sz w:val="24"/>
          <w:szCs w:val="24"/>
          <w:rtl w:val="0"/>
          <w:lang w:val="zh-CN" w:eastAsia="zh-CN"/>
        </w:rPr>
        <w:t xml:space="preserve">       </w:t>
      </w:r>
      <w:r>
        <w:rPr>
          <w:rFonts w:ascii="Arial Unicode MS" w:cs="Arial Unicode MS" w:hAnsi="Arial Unicode MS" w:eastAsia="Arial Unicode MS" w:hint="eastAsia"/>
          <w:b w:val="0"/>
          <w:bCs w:val="0"/>
          <w:i w:val="0"/>
          <w:iCs w:val="0"/>
          <w:sz w:val="24"/>
          <w:szCs w:val="24"/>
          <w:rtl w:val="0"/>
          <w:lang w:val="zh-TW" w:eastAsia="zh-TW"/>
        </w:rPr>
        <w:t>本条规定对</w:t>
      </w:r>
      <w:r>
        <w:rPr>
          <w:rFonts w:ascii="Helvetica" w:hAnsi="Helvetica" w:hint="default"/>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国际法下的犯罪</w:t>
      </w:r>
      <w:r>
        <w:rPr>
          <w:rFonts w:ascii="Helvetica" w:hAnsi="Helvetica" w:hint="default"/>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w:t>
      </w:r>
      <w:r>
        <w:rPr>
          <w:rFonts w:ascii="Helvetica" w:hAnsi="Helvetica"/>
          <w:sz w:val="24"/>
          <w:szCs w:val="24"/>
          <w:rtl w:val="0"/>
          <w:lang w:val="en-US"/>
        </w:rPr>
        <w:t>crimes under international law</w:t>
      </w:r>
      <w:r>
        <w:rPr>
          <w:rFonts w:ascii="Arial Unicode MS" w:cs="Arial Unicode MS" w:hAnsi="Arial Unicode MS" w:eastAsia="Arial Unicode MS" w:hint="eastAsia"/>
          <w:b w:val="0"/>
          <w:bCs w:val="0"/>
          <w:i w:val="0"/>
          <w:iCs w:val="0"/>
          <w:sz w:val="24"/>
          <w:szCs w:val="24"/>
          <w:rtl w:val="0"/>
          <w:lang w:val="zh-TW" w:eastAsia="zh-TW"/>
        </w:rPr>
        <w:t>）规定不适用于诉讼时效，我们理解其促进救济的良好目的，但</w:t>
      </w:r>
      <w:r>
        <w:rPr>
          <w:rFonts w:ascii="Arial Unicode MS" w:cs="Arial Unicode MS" w:hAnsi="Arial Unicode MS" w:eastAsia="Arial Unicode MS" w:hint="eastAsia"/>
          <w:b w:val="0"/>
          <w:bCs w:val="0"/>
          <w:i w:val="0"/>
          <w:iCs w:val="0"/>
          <w:sz w:val="24"/>
          <w:szCs w:val="24"/>
          <w:rtl w:val="0"/>
          <w:lang w:val="zh-CN" w:eastAsia="zh-CN"/>
        </w:rPr>
        <w:t>这</w:t>
      </w:r>
      <w:r>
        <w:rPr>
          <w:rFonts w:ascii="Arial Unicode MS" w:cs="Arial Unicode MS" w:hAnsi="Arial Unicode MS" w:eastAsia="Arial Unicode MS" w:hint="eastAsia"/>
          <w:b w:val="0"/>
          <w:bCs w:val="0"/>
          <w:i w:val="0"/>
          <w:iCs w:val="0"/>
          <w:sz w:val="24"/>
          <w:szCs w:val="24"/>
          <w:rtl w:val="0"/>
          <w:lang w:val="zh-TW" w:eastAsia="zh-TW"/>
        </w:rPr>
        <w:t>存在一些问题。首先，</w:t>
      </w:r>
      <w:r>
        <w:rPr>
          <w:rFonts w:ascii="Helvetica" w:hAnsi="Helvetica" w:hint="default"/>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国际法下的犯罪</w:t>
      </w:r>
      <w:r>
        <w:rPr>
          <w:rFonts w:ascii="Helvetica" w:hAnsi="Helvetica" w:hint="default"/>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概念不清楚，没有一个共同接受的国际文书对此作出界定，在法律文书使用这一概念，会在解释和适用上会导致不一致和不确定性，不符合合法性（</w:t>
      </w:r>
      <w:r>
        <w:rPr>
          <w:rFonts w:ascii="Helvetica" w:hAnsi="Helvetica"/>
          <w:sz w:val="24"/>
          <w:szCs w:val="24"/>
          <w:rtl w:val="0"/>
          <w:lang w:val="en-US"/>
        </w:rPr>
        <w:t>legality</w:t>
      </w:r>
      <w:r>
        <w:rPr>
          <w:rFonts w:ascii="Arial Unicode MS" w:cs="Arial Unicode MS" w:hAnsi="Arial Unicode MS" w:eastAsia="Arial Unicode MS" w:hint="eastAsia"/>
          <w:b w:val="0"/>
          <w:bCs w:val="0"/>
          <w:i w:val="0"/>
          <w:iCs w:val="0"/>
          <w:sz w:val="24"/>
          <w:szCs w:val="24"/>
          <w:rtl w:val="0"/>
          <w:lang w:val="zh-TW" w:eastAsia="zh-TW"/>
        </w:rPr>
        <w:t>）原则。第二，关于不适用于诉讼时效（</w:t>
      </w:r>
      <w:r>
        <w:rPr>
          <w:rFonts w:ascii="Helvetica" w:hAnsi="Helvetica"/>
          <w:sz w:val="24"/>
          <w:szCs w:val="24"/>
          <w:rtl w:val="0"/>
          <w:lang w:val="en-US"/>
        </w:rPr>
        <w:t>non-applicability of statute of limitation</w:t>
      </w:r>
      <w:r>
        <w:rPr>
          <w:rFonts w:ascii="Arial Unicode MS" w:cs="Arial Unicode MS" w:hAnsi="Arial Unicode MS" w:eastAsia="Arial Unicode MS" w:hint="eastAsia"/>
          <w:b w:val="0"/>
          <w:bCs w:val="0"/>
          <w:i w:val="0"/>
          <w:iCs w:val="0"/>
          <w:sz w:val="24"/>
          <w:szCs w:val="24"/>
          <w:rtl w:val="0"/>
          <w:lang w:val="zh-TW" w:eastAsia="zh-TW"/>
        </w:rPr>
        <w:t>），</w:t>
      </w:r>
      <w:r>
        <w:rPr>
          <w:rFonts w:ascii="Helvetica" w:hAnsi="Helvetica"/>
          <w:sz w:val="24"/>
          <w:szCs w:val="24"/>
          <w:rtl w:val="0"/>
          <w:lang w:val="zh-TW" w:eastAsia="zh-TW"/>
        </w:rPr>
        <w:t>1968</w:t>
      </w:r>
      <w:r>
        <w:rPr>
          <w:rFonts w:ascii="Arial Unicode MS" w:cs="Arial Unicode MS" w:hAnsi="Arial Unicode MS" w:eastAsia="Arial Unicode MS" w:hint="eastAsia"/>
          <w:b w:val="0"/>
          <w:bCs w:val="0"/>
          <w:i w:val="0"/>
          <w:iCs w:val="0"/>
          <w:sz w:val="24"/>
          <w:szCs w:val="24"/>
          <w:rtl w:val="0"/>
          <w:lang w:val="zh-TW" w:eastAsia="zh-TW"/>
        </w:rPr>
        <w:t>年的公约规定对战争罪（</w:t>
      </w:r>
      <w:r>
        <w:rPr>
          <w:rFonts w:ascii="Helvetica" w:hAnsi="Helvetica"/>
          <w:sz w:val="24"/>
          <w:szCs w:val="24"/>
          <w:rtl w:val="0"/>
          <w:lang w:val="en-US"/>
        </w:rPr>
        <w:t>war crimes</w:t>
      </w:r>
      <w:r>
        <w:rPr>
          <w:rFonts w:ascii="Arial Unicode MS" w:cs="Arial Unicode MS" w:hAnsi="Arial Unicode MS" w:eastAsia="Arial Unicode MS" w:hint="eastAsia"/>
          <w:b w:val="0"/>
          <w:bCs w:val="0"/>
          <w:i w:val="0"/>
          <w:iCs w:val="0"/>
          <w:sz w:val="24"/>
          <w:szCs w:val="24"/>
          <w:rtl w:val="0"/>
          <w:lang w:val="zh-TW" w:eastAsia="zh-TW"/>
        </w:rPr>
        <w:t>）和危害人类罪（</w:t>
      </w:r>
      <w:r>
        <w:rPr>
          <w:rFonts w:ascii="Helvetica" w:hAnsi="Helvetica"/>
          <w:sz w:val="24"/>
          <w:szCs w:val="24"/>
          <w:rtl w:val="0"/>
          <w:lang w:val="en-US"/>
        </w:rPr>
        <w:t>crimes against human rights</w:t>
      </w:r>
      <w:r>
        <w:rPr>
          <w:rFonts w:ascii="Arial Unicode MS" w:cs="Arial Unicode MS" w:hAnsi="Arial Unicode MS" w:eastAsia="Arial Unicode MS" w:hint="eastAsia"/>
          <w:b w:val="0"/>
          <w:bCs w:val="0"/>
          <w:i w:val="0"/>
          <w:iCs w:val="0"/>
          <w:sz w:val="24"/>
          <w:szCs w:val="24"/>
          <w:rtl w:val="0"/>
          <w:lang w:val="zh-TW" w:eastAsia="zh-TW"/>
        </w:rPr>
        <w:t>）不适用诉讼时效，这个公约只针对两项犯罪，</w:t>
      </w:r>
      <w:r>
        <w:rPr>
          <w:rFonts w:ascii="Arial Unicode MS" w:cs="Arial Unicode MS" w:hAnsi="Arial Unicode MS" w:eastAsia="Arial Unicode MS" w:hint="eastAsia"/>
          <w:b w:val="0"/>
          <w:bCs w:val="0"/>
          <w:i w:val="0"/>
          <w:iCs w:val="0"/>
          <w:sz w:val="24"/>
          <w:szCs w:val="24"/>
          <w:rtl w:val="0"/>
          <w:lang w:val="zh-CN" w:eastAsia="zh-CN"/>
        </w:rPr>
        <w:t>目前</w:t>
      </w:r>
      <w:r>
        <w:rPr>
          <w:rFonts w:ascii="Arial Unicode MS" w:cs="Arial Unicode MS" w:hAnsi="Arial Unicode MS" w:eastAsia="Arial Unicode MS" w:hint="eastAsia"/>
          <w:b w:val="0"/>
          <w:bCs w:val="0"/>
          <w:i w:val="0"/>
          <w:iCs w:val="0"/>
          <w:sz w:val="24"/>
          <w:szCs w:val="24"/>
          <w:rtl w:val="0"/>
          <w:lang w:val="zh-TW" w:eastAsia="zh-TW"/>
        </w:rPr>
        <w:t>只有</w:t>
      </w:r>
      <w:r>
        <w:rPr>
          <w:rFonts w:ascii="Helvetica" w:hAnsi="Helvetica"/>
          <w:sz w:val="24"/>
          <w:szCs w:val="24"/>
          <w:rtl w:val="0"/>
          <w:lang w:val="zh-TW" w:eastAsia="zh-TW"/>
        </w:rPr>
        <w:t>55</w:t>
      </w:r>
      <w:r>
        <w:rPr>
          <w:rFonts w:ascii="Arial Unicode MS" w:cs="Arial Unicode MS" w:hAnsi="Arial Unicode MS" w:eastAsia="Arial Unicode MS" w:hint="eastAsia"/>
          <w:b w:val="0"/>
          <w:bCs w:val="0"/>
          <w:i w:val="0"/>
          <w:iCs w:val="0"/>
          <w:sz w:val="24"/>
          <w:szCs w:val="24"/>
          <w:rtl w:val="0"/>
          <w:lang w:val="zh-TW" w:eastAsia="zh-TW"/>
        </w:rPr>
        <w:t>个缔约国（</w:t>
      </w:r>
      <w:r>
        <w:rPr>
          <w:rFonts w:ascii="Helvetica" w:hAnsi="Helvetica"/>
          <w:sz w:val="24"/>
          <w:szCs w:val="24"/>
          <w:rtl w:val="0"/>
          <w:lang w:val="zh-TW" w:eastAsia="zh-TW"/>
        </w:rPr>
        <w:t>S</w:t>
      </w:r>
      <w:r>
        <w:rPr>
          <w:rFonts w:ascii="Helvetica" w:hAnsi="Helvetica"/>
          <w:sz w:val="24"/>
          <w:szCs w:val="24"/>
          <w:rtl w:val="0"/>
          <w:lang w:val="en-US"/>
        </w:rPr>
        <w:t xml:space="preserve">tate </w:t>
      </w:r>
      <w:r>
        <w:rPr>
          <w:rFonts w:ascii="Helvetica" w:hAnsi="Helvetica"/>
          <w:sz w:val="24"/>
          <w:szCs w:val="24"/>
          <w:rtl w:val="0"/>
          <w:lang w:val="zh-TW" w:eastAsia="zh-TW"/>
        </w:rPr>
        <w:t>Par</w:t>
      </w:r>
      <w:r>
        <w:rPr>
          <w:rFonts w:ascii="Helvetica" w:hAnsi="Helvetica"/>
          <w:sz w:val="24"/>
          <w:szCs w:val="24"/>
          <w:rtl w:val="0"/>
          <w:lang w:val="en-US"/>
        </w:rPr>
        <w:t>ties</w:t>
      </w:r>
      <w:r>
        <w:rPr>
          <w:rFonts w:ascii="Arial Unicode MS" w:cs="Arial Unicode MS" w:hAnsi="Arial Unicode MS" w:eastAsia="Arial Unicode MS" w:hint="eastAsia"/>
          <w:b w:val="0"/>
          <w:bCs w:val="0"/>
          <w:i w:val="0"/>
          <w:iCs w:val="0"/>
          <w:sz w:val="24"/>
          <w:szCs w:val="24"/>
          <w:rtl w:val="0"/>
          <w:lang w:val="zh-TW" w:eastAsia="zh-TW"/>
        </w:rPr>
        <w:t>），在本文书对没有明确范围和定义的所谓国际法下的犯罪规定不适用诉讼时效，是否会构成国家参加该文书的障碍，需要认真思考。</w:t>
      </w:r>
      <w:r>
        <w:rPr>
          <w:rFonts w:ascii="Arial Unicode MS" w:cs="Arial Unicode MS" w:hAnsi="Arial Unicode MS" w:eastAsia="Arial Unicode MS" w:hint="eastAsia"/>
          <w:b w:val="0"/>
          <w:bCs w:val="0"/>
          <w:i w:val="0"/>
          <w:iCs w:val="0"/>
          <w:sz w:val="24"/>
          <w:szCs w:val="24"/>
          <w:rtl w:val="0"/>
          <w:lang w:val="zh-CN" w:eastAsia="zh-CN"/>
        </w:rPr>
        <w:t>最后要强调的是，在对其他行为适用诉讼时效的情况下，国家的法律应该普遍适用，不应诉因或权利主张人身份不同而有所区别。</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hAnsi="Helvetica"/>
          <w:sz w:val="24"/>
          <w:szCs w:val="24"/>
          <w:rtl w:val="0"/>
          <w:lang w:val="zh-CN" w:eastAsia="zh-CN"/>
        </w:rPr>
        <w:t xml:space="preserve">     </w:t>
      </w:r>
      <w:r>
        <w:rPr>
          <w:rFonts w:ascii="Arial Unicode MS" w:cs="Arial Unicode MS" w:hAnsi="Arial Unicode MS" w:eastAsia="Arial Unicode MS" w:hint="eastAsia"/>
          <w:b w:val="0"/>
          <w:bCs w:val="0"/>
          <w:i w:val="0"/>
          <w:iCs w:val="0"/>
          <w:sz w:val="24"/>
          <w:szCs w:val="24"/>
          <w:rtl w:val="0"/>
          <w:lang w:val="zh-TW" w:eastAsia="zh-TW"/>
        </w:rPr>
        <w:t>第七条：可适用的法律</w:t>
      </w:r>
    </w:p>
    <w:p>
      <w:pPr>
        <w:pStyle w:val="Body A"/>
        <w:rPr>
          <w:rFonts w:ascii="Helvetica" w:cs="Helvetica" w:hAnsi="Helvetica" w:eastAsia="Helvetica"/>
          <w:sz w:val="24"/>
          <w:szCs w:val="24"/>
        </w:rPr>
      </w:pPr>
      <w:r>
        <w:rPr>
          <w:rFonts w:ascii="Helvetica" w:hAnsi="Helvetica"/>
          <w:sz w:val="24"/>
          <w:szCs w:val="24"/>
          <w:rtl w:val="0"/>
          <w:lang w:val="zh-CN" w:eastAsia="zh-CN"/>
        </w:rPr>
        <w:t xml:space="preserve">     </w:t>
      </w:r>
      <w:r>
        <w:rPr>
          <w:rFonts w:ascii="Arial Unicode MS" w:cs="Arial Unicode MS" w:hAnsi="Arial Unicode MS" w:eastAsia="Arial Unicode MS" w:hint="eastAsia"/>
          <w:b w:val="0"/>
          <w:bCs w:val="0"/>
          <w:i w:val="0"/>
          <w:iCs w:val="0"/>
          <w:sz w:val="24"/>
          <w:szCs w:val="24"/>
          <w:rtl w:val="0"/>
          <w:lang w:val="zh-CN" w:eastAsia="zh-CN"/>
        </w:rPr>
        <w:t>首先，该条反映的选择法律（</w:t>
      </w:r>
      <w:r>
        <w:rPr>
          <w:rFonts w:ascii="Helvetica" w:hAnsi="Helvetica"/>
          <w:sz w:val="24"/>
          <w:szCs w:val="24"/>
          <w:rtl w:val="0"/>
          <w:lang w:val="en-US"/>
        </w:rPr>
        <w:t>choice of law</w:t>
      </w:r>
      <w:r>
        <w:rPr>
          <w:rFonts w:ascii="Arial Unicode MS" w:cs="Arial Unicode MS" w:hAnsi="Arial Unicode MS" w:eastAsia="Arial Unicode MS" w:hint="eastAsia"/>
          <w:b w:val="0"/>
          <w:bCs w:val="0"/>
          <w:i w:val="0"/>
          <w:iCs w:val="0"/>
          <w:sz w:val="24"/>
          <w:szCs w:val="24"/>
          <w:rtl w:val="0"/>
          <w:lang w:val="zh-CN" w:eastAsia="zh-CN"/>
        </w:rPr>
        <w:t>）概念仅适用于民事诉讼，对于刑事案件并不适用。</w:t>
      </w:r>
    </w:p>
    <w:p>
      <w:pPr>
        <w:pStyle w:val="Body A"/>
        <w:rPr>
          <w:rFonts w:ascii="Helvetica" w:cs="Helvetica" w:hAnsi="Helvetica" w:eastAsia="Helvetica"/>
          <w:sz w:val="24"/>
          <w:szCs w:val="24"/>
        </w:rPr>
      </w:pPr>
      <w:r>
        <w:rPr>
          <w:rFonts w:ascii="Helvetica" w:hAnsi="Helvetica"/>
          <w:sz w:val="24"/>
          <w:szCs w:val="24"/>
          <w:rtl w:val="0"/>
          <w:lang w:val="zh-CN" w:eastAsia="zh-CN"/>
        </w:rPr>
        <w:t xml:space="preserve">     </w:t>
      </w:r>
      <w:r>
        <w:rPr>
          <w:rFonts w:ascii="Arial Unicode MS" w:cs="Arial Unicode MS" w:hAnsi="Arial Unicode MS" w:eastAsia="Arial Unicode MS" w:hint="eastAsia"/>
          <w:b w:val="0"/>
          <w:bCs w:val="0"/>
          <w:i w:val="0"/>
          <w:iCs w:val="0"/>
          <w:sz w:val="24"/>
          <w:szCs w:val="24"/>
          <w:rtl w:val="0"/>
          <w:lang w:val="zh-CN" w:eastAsia="zh-CN"/>
        </w:rPr>
        <w:t>第二，</w:t>
      </w:r>
      <w:r>
        <w:rPr>
          <w:rFonts w:ascii="Arial Unicode MS" w:cs="Arial Unicode MS" w:hAnsi="Arial Unicode MS" w:eastAsia="Arial Unicode MS" w:hint="eastAsia"/>
          <w:b w:val="0"/>
          <w:bCs w:val="0"/>
          <w:i w:val="0"/>
          <w:iCs w:val="0"/>
          <w:sz w:val="24"/>
          <w:szCs w:val="24"/>
          <w:rtl w:val="0"/>
          <w:lang w:val="zh-TW" w:eastAsia="zh-TW"/>
        </w:rPr>
        <w:t>第</w:t>
      </w:r>
      <w:r>
        <w:rPr>
          <w:rFonts w:ascii="Helvetica" w:hAnsi="Helvetica"/>
          <w:sz w:val="24"/>
          <w:szCs w:val="24"/>
          <w:rtl w:val="0"/>
          <w:lang w:val="zh-TW" w:eastAsia="zh-TW"/>
        </w:rPr>
        <w:t>2</w:t>
      </w:r>
      <w:r>
        <w:rPr>
          <w:rFonts w:ascii="Arial Unicode MS" w:cs="Arial Unicode MS" w:hAnsi="Arial Unicode MS" w:eastAsia="Arial Unicode MS" w:hint="eastAsia"/>
          <w:b w:val="0"/>
          <w:bCs w:val="0"/>
          <w:i w:val="0"/>
          <w:iCs w:val="0"/>
          <w:sz w:val="24"/>
          <w:szCs w:val="24"/>
          <w:rtl w:val="0"/>
          <w:lang w:val="zh-TW" w:eastAsia="zh-TW"/>
        </w:rPr>
        <w:t>段</w:t>
      </w:r>
      <w:r>
        <w:rPr>
          <w:rFonts w:ascii="Arial Unicode MS" w:cs="Arial Unicode MS" w:hAnsi="Arial Unicode MS" w:eastAsia="Arial Unicode MS" w:hint="eastAsia"/>
          <w:b w:val="0"/>
          <w:bCs w:val="0"/>
          <w:i w:val="0"/>
          <w:iCs w:val="0"/>
          <w:sz w:val="24"/>
          <w:szCs w:val="24"/>
          <w:rtl w:val="0"/>
          <w:lang w:val="zh-CN" w:eastAsia="zh-CN"/>
        </w:rPr>
        <w:t>认为</w:t>
      </w:r>
      <w:r>
        <w:rPr>
          <w:rFonts w:ascii="Arial Unicode MS" w:cs="Arial Unicode MS" w:hAnsi="Arial Unicode MS" w:eastAsia="Arial Unicode MS" w:hint="eastAsia"/>
          <w:b w:val="0"/>
          <w:bCs w:val="0"/>
          <w:i w:val="0"/>
          <w:iCs w:val="0"/>
          <w:sz w:val="24"/>
          <w:szCs w:val="24"/>
          <w:rtl w:val="0"/>
          <w:lang w:val="zh-TW" w:eastAsia="zh-TW"/>
        </w:rPr>
        <w:t>在受害者的请求下，法院地国可适用跨国公司所在地（</w:t>
      </w:r>
      <w:r>
        <w:rPr>
          <w:rFonts w:ascii="Helvetica" w:hAnsi="Helvetica"/>
          <w:sz w:val="24"/>
          <w:szCs w:val="24"/>
          <w:rtl w:val="0"/>
          <w:lang w:val="en-US"/>
        </w:rPr>
        <w:t>the concerned TNC is domiciled</w:t>
      </w:r>
      <w:r>
        <w:rPr>
          <w:rFonts w:ascii="Arial Unicode MS" w:cs="Arial Unicode MS" w:hAnsi="Arial Unicode MS" w:eastAsia="Arial Unicode MS" w:hint="eastAsia"/>
          <w:b w:val="0"/>
          <w:bCs w:val="0"/>
          <w:i w:val="0"/>
          <w:iCs w:val="0"/>
          <w:sz w:val="24"/>
          <w:szCs w:val="24"/>
          <w:rtl w:val="0"/>
          <w:lang w:val="zh-TW" w:eastAsia="zh-TW"/>
        </w:rPr>
        <w:t>）的法律</w:t>
      </w:r>
      <w:r>
        <w:rPr>
          <w:rFonts w:ascii="Arial Unicode MS" w:cs="Arial Unicode MS" w:hAnsi="Arial Unicode MS" w:eastAsia="Arial Unicode MS" w:hint="eastAsia"/>
          <w:b w:val="0"/>
          <w:bCs w:val="0"/>
          <w:i w:val="0"/>
          <w:iCs w:val="0"/>
          <w:sz w:val="24"/>
          <w:szCs w:val="24"/>
          <w:rtl w:val="0"/>
          <w:lang w:val="zh-CN" w:eastAsia="zh-CN"/>
        </w:rPr>
        <w:t>。但是，</w:t>
      </w:r>
      <w:r>
        <w:rPr>
          <w:rFonts w:ascii="Arial Unicode MS" w:cs="Arial Unicode MS" w:hAnsi="Arial Unicode MS" w:eastAsia="Arial Unicode MS" w:hint="eastAsia"/>
          <w:b w:val="0"/>
          <w:bCs w:val="0"/>
          <w:i w:val="0"/>
          <w:iCs w:val="0"/>
          <w:sz w:val="24"/>
          <w:szCs w:val="24"/>
          <w:rtl w:val="0"/>
          <w:lang w:val="zh-TW" w:eastAsia="zh-TW"/>
        </w:rPr>
        <w:t>不同于合同案件，在侵权案件中，如何适用法律是一国的强制性规范（</w:t>
      </w:r>
      <w:r>
        <w:rPr>
          <w:rFonts w:ascii="Helvetica" w:hAnsi="Helvetica"/>
          <w:sz w:val="24"/>
          <w:szCs w:val="24"/>
          <w:rtl w:val="0"/>
          <w:lang w:val="en-US"/>
        </w:rPr>
        <w:t>mandatory</w:t>
      </w:r>
      <w:r>
        <w:rPr>
          <w:rFonts w:ascii="Helvetica" w:hAnsi="Helvetica"/>
          <w:sz w:val="24"/>
          <w:szCs w:val="24"/>
          <w:rtl w:val="0"/>
          <w:lang w:val="zh-TW" w:eastAsia="zh-TW"/>
        </w:rPr>
        <w:t xml:space="preserve"> </w:t>
      </w:r>
      <w:r>
        <w:rPr>
          <w:rFonts w:ascii="Helvetica" w:hAnsi="Helvetica"/>
          <w:sz w:val="24"/>
          <w:szCs w:val="24"/>
          <w:rtl w:val="0"/>
          <w:lang w:val="en-US"/>
        </w:rPr>
        <w:t>norms</w:t>
      </w:r>
      <w:r>
        <w:rPr>
          <w:rFonts w:ascii="Arial Unicode MS" w:cs="Arial Unicode MS" w:hAnsi="Arial Unicode MS" w:eastAsia="Arial Unicode MS" w:hint="eastAsia"/>
          <w:b w:val="0"/>
          <w:bCs w:val="0"/>
          <w:i w:val="0"/>
          <w:iCs w:val="0"/>
          <w:sz w:val="24"/>
          <w:szCs w:val="24"/>
          <w:rtl w:val="0"/>
          <w:lang w:val="zh-TW" w:eastAsia="zh-TW"/>
        </w:rPr>
        <w:t>），比如适用侵权行为所在地法，</w:t>
      </w:r>
      <w:r>
        <w:rPr>
          <w:rFonts w:ascii="Helvetica" w:hAnsi="Helvetica" w:hint="default"/>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应受害者请求</w:t>
      </w:r>
      <w:r>
        <w:rPr>
          <w:rFonts w:ascii="Helvetica" w:hAnsi="Helvetica" w:hint="default"/>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而加以改变不符合一般法律原则。考虑到本条第</w:t>
      </w:r>
      <w:r>
        <w:rPr>
          <w:rFonts w:ascii="Helvetica" w:hAnsi="Helvetica"/>
          <w:sz w:val="24"/>
          <w:szCs w:val="24"/>
          <w:rtl w:val="0"/>
          <w:lang w:val="zh-TW" w:eastAsia="zh-TW"/>
        </w:rPr>
        <w:t>1</w:t>
      </w:r>
      <w:r>
        <w:rPr>
          <w:rFonts w:ascii="Arial Unicode MS" w:cs="Arial Unicode MS" w:hAnsi="Arial Unicode MS" w:eastAsia="Arial Unicode MS" w:hint="eastAsia"/>
          <w:b w:val="0"/>
          <w:bCs w:val="0"/>
          <w:i w:val="0"/>
          <w:iCs w:val="0"/>
          <w:sz w:val="24"/>
          <w:szCs w:val="24"/>
          <w:rtl w:val="0"/>
          <w:lang w:val="zh-TW" w:eastAsia="zh-TW"/>
        </w:rPr>
        <w:t>段应该提到一般规则是适用法院地国法律，包括冲突法规范（</w:t>
      </w:r>
      <w:r>
        <w:rPr>
          <w:rFonts w:ascii="Helvetica" w:hAnsi="Helvetica"/>
          <w:sz w:val="24"/>
          <w:szCs w:val="24"/>
          <w:rtl w:val="0"/>
          <w:lang w:val="en-US"/>
        </w:rPr>
        <w:t>law relating to conflict of laws</w:t>
      </w:r>
      <w:r>
        <w:rPr>
          <w:rFonts w:ascii="Arial Unicode MS" w:cs="Arial Unicode MS" w:hAnsi="Arial Unicode MS" w:eastAsia="Arial Unicode MS" w:hint="eastAsia"/>
          <w:b w:val="0"/>
          <w:bCs w:val="0"/>
          <w:i w:val="0"/>
          <w:iCs w:val="0"/>
          <w:sz w:val="24"/>
          <w:szCs w:val="24"/>
          <w:rtl w:val="0"/>
          <w:lang w:val="zh-TW" w:eastAsia="zh-TW"/>
        </w:rPr>
        <w:t>），如</w:t>
      </w:r>
      <w:r>
        <w:rPr>
          <w:rFonts w:ascii="Arial Unicode MS" w:cs="Arial Unicode MS" w:hAnsi="Arial Unicode MS" w:eastAsia="Arial Unicode MS" w:hint="eastAsia"/>
          <w:b w:val="0"/>
          <w:bCs w:val="0"/>
          <w:i w:val="0"/>
          <w:iCs w:val="0"/>
          <w:sz w:val="24"/>
          <w:szCs w:val="24"/>
          <w:rtl w:val="0"/>
          <w:lang w:val="zh-CN" w:eastAsia="zh-CN"/>
        </w:rPr>
        <w:t>果</w:t>
      </w:r>
      <w:r>
        <w:rPr>
          <w:rFonts w:ascii="Arial Unicode MS" w:cs="Arial Unicode MS" w:hAnsi="Arial Unicode MS" w:eastAsia="Arial Unicode MS" w:hint="eastAsia"/>
          <w:b w:val="0"/>
          <w:bCs w:val="0"/>
          <w:i w:val="0"/>
          <w:iCs w:val="0"/>
          <w:sz w:val="24"/>
          <w:szCs w:val="24"/>
          <w:rtl w:val="0"/>
          <w:lang w:val="zh-TW" w:eastAsia="zh-TW"/>
        </w:rPr>
        <w:t>有充分理由和法律基础，法院地国的冲突法规范可以指向</w:t>
      </w:r>
      <w:r>
        <w:rPr>
          <w:rFonts w:ascii="Helvetica" w:hAnsi="Helvetica"/>
          <w:sz w:val="24"/>
          <w:szCs w:val="24"/>
          <w:rtl w:val="0"/>
          <w:lang w:val="zh-TW" w:eastAsia="zh-TW"/>
        </w:rPr>
        <w:t>TNC</w:t>
      </w:r>
      <w:r>
        <w:rPr>
          <w:rFonts w:ascii="Arial Unicode MS" w:cs="Arial Unicode MS" w:hAnsi="Arial Unicode MS" w:eastAsia="Arial Unicode MS" w:hint="eastAsia"/>
          <w:b w:val="0"/>
          <w:bCs w:val="0"/>
          <w:i w:val="0"/>
          <w:iCs w:val="0"/>
          <w:sz w:val="24"/>
          <w:szCs w:val="24"/>
          <w:rtl w:val="0"/>
          <w:lang w:val="zh-TW" w:eastAsia="zh-TW"/>
        </w:rPr>
        <w:t>所在地法。因此，第</w:t>
      </w:r>
      <w:r>
        <w:rPr>
          <w:rFonts w:ascii="Helvetica" w:hAnsi="Helvetica"/>
          <w:sz w:val="24"/>
          <w:szCs w:val="24"/>
          <w:rtl w:val="0"/>
          <w:lang w:val="zh-TW" w:eastAsia="zh-TW"/>
        </w:rPr>
        <w:t>2</w:t>
      </w:r>
      <w:r>
        <w:rPr>
          <w:rFonts w:ascii="Arial Unicode MS" w:cs="Arial Unicode MS" w:hAnsi="Arial Unicode MS" w:eastAsia="Arial Unicode MS" w:hint="eastAsia"/>
          <w:b w:val="0"/>
          <w:bCs w:val="0"/>
          <w:i w:val="0"/>
          <w:iCs w:val="0"/>
          <w:sz w:val="24"/>
          <w:szCs w:val="24"/>
          <w:rtl w:val="0"/>
          <w:lang w:val="zh-TW" w:eastAsia="zh-TW"/>
        </w:rPr>
        <w:t>段可以删除。</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hAnsi="Helvetica"/>
          <w:sz w:val="24"/>
          <w:szCs w:val="24"/>
          <w:rtl w:val="0"/>
          <w:lang w:val="zh-CN" w:eastAsia="zh-CN"/>
        </w:rPr>
        <w:t xml:space="preserve">      </w:t>
      </w:r>
      <w:r>
        <w:rPr>
          <w:rFonts w:ascii="Arial Unicode MS" w:cs="Arial Unicode MS" w:hAnsi="Arial Unicode MS" w:eastAsia="Arial Unicode MS" w:hint="eastAsia"/>
          <w:b w:val="0"/>
          <w:bCs w:val="0"/>
          <w:i w:val="0"/>
          <w:iCs w:val="0"/>
          <w:sz w:val="24"/>
          <w:szCs w:val="24"/>
          <w:rtl w:val="0"/>
          <w:lang w:val="zh-TW" w:eastAsia="zh-TW"/>
        </w:rPr>
        <w:t>第十三条</w:t>
      </w:r>
      <w:r>
        <w:rPr>
          <w:rFonts w:ascii="Arial Unicode MS" w:cs="Arial Unicode MS" w:hAnsi="Arial Unicode MS" w:eastAsia="Arial Unicode MS" w:hint="eastAsia"/>
          <w:b w:val="0"/>
          <w:bCs w:val="0"/>
          <w:i w:val="0"/>
          <w:iCs w:val="0"/>
          <w:sz w:val="24"/>
          <w:szCs w:val="24"/>
          <w:rtl w:val="0"/>
          <w:lang w:val="zh-CN" w:eastAsia="zh-CN"/>
        </w:rPr>
        <w:t>：和国际法一致</w:t>
      </w:r>
    </w:p>
    <w:p>
      <w:pPr>
        <w:pStyle w:val="Body A"/>
        <w:rPr>
          <w:rFonts w:ascii="Helvetica" w:cs="Helvetica" w:hAnsi="Helvetica" w:eastAsia="Helvetica"/>
          <w:sz w:val="24"/>
          <w:szCs w:val="24"/>
        </w:rPr>
      </w:pPr>
      <w:r>
        <w:rPr>
          <w:rFonts w:ascii="Helvetica" w:hAnsi="Helvetica"/>
          <w:sz w:val="24"/>
          <w:szCs w:val="24"/>
          <w:rtl w:val="0"/>
          <w:lang w:val="zh-CN" w:eastAsia="zh-CN"/>
        </w:rPr>
        <w:t xml:space="preserve">      </w:t>
      </w:r>
      <w:r>
        <w:rPr>
          <w:rFonts w:ascii="Arial Unicode MS" w:cs="Arial Unicode MS" w:hAnsi="Arial Unicode MS" w:eastAsia="Arial Unicode MS" w:hint="eastAsia"/>
          <w:b w:val="0"/>
          <w:bCs w:val="0"/>
          <w:i w:val="0"/>
          <w:iCs w:val="0"/>
          <w:sz w:val="24"/>
          <w:szCs w:val="24"/>
          <w:rtl w:val="0"/>
          <w:lang w:val="zh-CN" w:eastAsia="zh-CN"/>
        </w:rPr>
        <w:t>我们</w:t>
      </w:r>
      <w:r>
        <w:rPr>
          <w:rFonts w:ascii="Arial Unicode MS" w:cs="Arial Unicode MS" w:hAnsi="Arial Unicode MS" w:eastAsia="Arial Unicode MS" w:hint="eastAsia"/>
          <w:b w:val="0"/>
          <w:bCs w:val="0"/>
          <w:i w:val="0"/>
          <w:iCs w:val="0"/>
          <w:sz w:val="24"/>
          <w:szCs w:val="24"/>
          <w:rtl w:val="0"/>
          <w:lang w:val="zh-TW" w:eastAsia="zh-TW"/>
        </w:rPr>
        <w:t>赞赏第</w:t>
      </w:r>
      <w:r>
        <w:rPr>
          <w:rFonts w:ascii="Helvetica" w:hAnsi="Helvetica"/>
          <w:sz w:val="24"/>
          <w:szCs w:val="24"/>
          <w:rtl w:val="0"/>
          <w:lang w:val="zh-TW" w:eastAsia="zh-TW"/>
        </w:rPr>
        <w:t>1</w:t>
      </w:r>
      <w:r>
        <w:rPr>
          <w:rFonts w:ascii="Arial Unicode MS" w:cs="Arial Unicode MS" w:hAnsi="Arial Unicode MS" w:eastAsia="Arial Unicode MS" w:hint="eastAsia"/>
          <w:b w:val="0"/>
          <w:bCs w:val="0"/>
          <w:i w:val="0"/>
          <w:iCs w:val="0"/>
          <w:sz w:val="24"/>
          <w:szCs w:val="24"/>
          <w:rtl w:val="0"/>
          <w:lang w:val="zh-TW" w:eastAsia="zh-TW"/>
        </w:rPr>
        <w:t>､</w:t>
      </w:r>
      <w:r>
        <w:rPr>
          <w:rFonts w:ascii="Helvetica" w:hAnsi="Helvetica"/>
          <w:sz w:val="24"/>
          <w:szCs w:val="24"/>
          <w:rtl w:val="0"/>
          <w:lang w:val="zh-TW" w:eastAsia="zh-TW"/>
        </w:rPr>
        <w:t>2</w:t>
      </w:r>
      <w:r>
        <w:rPr>
          <w:rFonts w:ascii="Arial Unicode MS" w:cs="Arial Unicode MS" w:hAnsi="Arial Unicode MS" w:eastAsia="Arial Unicode MS" w:hint="eastAsia"/>
          <w:b w:val="0"/>
          <w:bCs w:val="0"/>
          <w:i w:val="0"/>
          <w:iCs w:val="0"/>
          <w:sz w:val="24"/>
          <w:szCs w:val="24"/>
          <w:rtl w:val="0"/>
          <w:lang w:val="zh-TW" w:eastAsia="zh-TW"/>
        </w:rPr>
        <w:t>段确认国际主权和领土原则。认同本文书应该在一般国际法的框架下运行，作为一般规则，本文书既不高于也不影响其他可适用的国际法规则，包括法律互助（</w:t>
      </w:r>
      <w:r>
        <w:rPr>
          <w:rFonts w:ascii="Helvetica" w:hAnsi="Helvetica"/>
          <w:sz w:val="24"/>
          <w:szCs w:val="24"/>
          <w:rtl w:val="0"/>
          <w:lang w:val="en-US"/>
        </w:rPr>
        <w:t>mutual legl assistance</w:t>
      </w:r>
      <w:r>
        <w:rPr>
          <w:rFonts w:ascii="Arial Unicode MS" w:cs="Arial Unicode MS" w:hAnsi="Arial Unicode MS" w:eastAsia="Arial Unicode MS" w:hint="eastAsia"/>
          <w:b w:val="0"/>
          <w:bCs w:val="0"/>
          <w:i w:val="0"/>
          <w:iCs w:val="0"/>
          <w:sz w:val="24"/>
          <w:szCs w:val="24"/>
          <w:rtl w:val="0"/>
          <w:lang w:val="zh-TW" w:eastAsia="zh-TW"/>
        </w:rPr>
        <w:t>）国家责任（</w:t>
      </w:r>
      <w:r>
        <w:rPr>
          <w:rFonts w:ascii="Helvetica" w:hAnsi="Helvetica"/>
          <w:sz w:val="24"/>
          <w:szCs w:val="24"/>
          <w:rtl w:val="0"/>
          <w:lang w:val="en-US"/>
        </w:rPr>
        <w:t>international responsib</w:t>
      </w:r>
      <w:r>
        <w:rPr>
          <w:rFonts w:ascii="Helvetica" w:hAnsi="Helvetica"/>
          <w:sz w:val="24"/>
          <w:szCs w:val="24"/>
          <w:rtl w:val="0"/>
          <w:lang w:val="en-US"/>
        </w:rPr>
        <w:t>i</w:t>
      </w:r>
      <w:r>
        <w:rPr>
          <w:rFonts w:ascii="Helvetica" w:hAnsi="Helvetica"/>
          <w:sz w:val="24"/>
          <w:szCs w:val="24"/>
          <w:rtl w:val="0"/>
          <w:lang w:val="en-US"/>
        </w:rPr>
        <w:t>lity of state</w:t>
      </w:r>
      <w:r>
        <w:rPr>
          <w:rFonts w:ascii="Arial Unicode MS" w:cs="Arial Unicode MS" w:hAnsi="Arial Unicode MS" w:eastAsia="Arial Unicode MS" w:hint="eastAsia"/>
          <w:b w:val="0"/>
          <w:bCs w:val="0"/>
          <w:i w:val="0"/>
          <w:iCs w:val="0"/>
          <w:sz w:val="24"/>
          <w:szCs w:val="24"/>
          <w:rtl w:val="0"/>
          <w:lang w:val="zh-TW" w:eastAsia="zh-TW"/>
        </w:rPr>
        <w:t>）／承认和执行外国判决（</w:t>
      </w:r>
      <w:r>
        <w:rPr>
          <w:rFonts w:ascii="Helvetica" w:hAnsi="Helvetica"/>
          <w:sz w:val="24"/>
          <w:szCs w:val="24"/>
          <w:rtl w:val="0"/>
          <w:lang w:val="en-US"/>
        </w:rPr>
        <w:t>recognition and enforcement of judgements</w:t>
      </w:r>
      <w:r>
        <w:rPr>
          <w:rFonts w:ascii="Arial Unicode MS" w:cs="Arial Unicode MS" w:hAnsi="Arial Unicode MS" w:eastAsia="Arial Unicode MS" w:hint="eastAsia"/>
          <w:b w:val="0"/>
          <w:bCs w:val="0"/>
          <w:i w:val="0"/>
          <w:iCs w:val="0"/>
          <w:sz w:val="24"/>
          <w:szCs w:val="24"/>
          <w:rtl w:val="0"/>
          <w:lang w:val="zh-TW" w:eastAsia="zh-TW"/>
        </w:rPr>
        <w:t>）等方面的规则。</w:t>
      </w:r>
    </w:p>
    <w:p>
      <w:pPr>
        <w:pStyle w:val="Body A"/>
        <w:rPr>
          <w:rFonts w:ascii="Helvetica" w:cs="Helvetica" w:hAnsi="Helvetica" w:eastAsia="Helvetica"/>
          <w:sz w:val="24"/>
          <w:szCs w:val="24"/>
        </w:rPr>
      </w:pPr>
      <w:r>
        <w:rPr>
          <w:rFonts w:ascii="Helvetica" w:hAnsi="Helvetica"/>
          <w:sz w:val="24"/>
          <w:szCs w:val="24"/>
          <w:rtl w:val="0"/>
          <w:lang w:val="zh-CN" w:eastAsia="zh-CN"/>
        </w:rPr>
        <w:t xml:space="preserve">      </w:t>
      </w:r>
      <w:r>
        <w:rPr>
          <w:rFonts w:ascii="Arial Unicode MS" w:cs="Arial Unicode MS" w:hAnsi="Arial Unicode MS" w:eastAsia="Arial Unicode MS" w:hint="eastAsia"/>
          <w:b w:val="0"/>
          <w:bCs w:val="0"/>
          <w:i w:val="0"/>
          <w:iCs w:val="0"/>
          <w:sz w:val="24"/>
          <w:szCs w:val="24"/>
          <w:rtl w:val="0"/>
          <w:lang w:val="zh-TW" w:eastAsia="zh-TW"/>
        </w:rPr>
        <w:t>第</w:t>
      </w:r>
      <w:r>
        <w:rPr>
          <w:rFonts w:ascii="Helvetica" w:hAnsi="Helvetica"/>
          <w:sz w:val="24"/>
          <w:szCs w:val="24"/>
          <w:rtl w:val="0"/>
          <w:lang w:val="zh-TW" w:eastAsia="zh-TW"/>
        </w:rPr>
        <w:t>6</w:t>
      </w:r>
      <w:r>
        <w:rPr>
          <w:rFonts w:ascii="Arial Unicode MS" w:cs="Arial Unicode MS" w:hAnsi="Arial Unicode MS" w:eastAsia="Arial Unicode MS" w:hint="eastAsia"/>
          <w:b w:val="0"/>
          <w:bCs w:val="0"/>
          <w:i w:val="0"/>
          <w:iCs w:val="0"/>
          <w:sz w:val="24"/>
          <w:szCs w:val="24"/>
          <w:rtl w:val="0"/>
          <w:lang w:val="zh-TW" w:eastAsia="zh-TW"/>
        </w:rPr>
        <w:t>､</w:t>
      </w:r>
      <w:r>
        <w:rPr>
          <w:rFonts w:ascii="Helvetica" w:hAnsi="Helvetica"/>
          <w:sz w:val="24"/>
          <w:szCs w:val="24"/>
          <w:rtl w:val="0"/>
          <w:lang w:val="zh-TW" w:eastAsia="zh-TW"/>
        </w:rPr>
        <w:t>7</w:t>
      </w:r>
      <w:r>
        <w:rPr>
          <w:rFonts w:ascii="Arial Unicode MS" w:cs="Arial Unicode MS" w:hAnsi="Arial Unicode MS" w:eastAsia="Arial Unicode MS" w:hint="eastAsia"/>
          <w:b w:val="0"/>
          <w:bCs w:val="0"/>
          <w:i w:val="0"/>
          <w:iCs w:val="0"/>
          <w:sz w:val="24"/>
          <w:szCs w:val="24"/>
          <w:rtl w:val="0"/>
          <w:lang w:val="zh-TW" w:eastAsia="zh-TW"/>
        </w:rPr>
        <w:t>段涉及本公约和其他法律机制特别是贸易和投资协定的关系。应该根据平等重视人权和发展的原则认真审查这</w:t>
      </w:r>
      <w:r>
        <w:rPr>
          <w:rFonts w:ascii="Helvetica" w:hAnsi="Helvetica"/>
          <w:sz w:val="24"/>
          <w:szCs w:val="24"/>
          <w:rtl w:val="0"/>
          <w:lang w:val="zh-TW" w:eastAsia="zh-TW"/>
        </w:rPr>
        <w:t>2</w:t>
      </w:r>
      <w:r>
        <w:rPr>
          <w:rFonts w:ascii="Arial Unicode MS" w:cs="Arial Unicode MS" w:hAnsi="Arial Unicode MS" w:eastAsia="Arial Unicode MS" w:hint="eastAsia"/>
          <w:b w:val="0"/>
          <w:bCs w:val="0"/>
          <w:i w:val="0"/>
          <w:iCs w:val="0"/>
          <w:sz w:val="24"/>
          <w:szCs w:val="24"/>
          <w:rtl w:val="0"/>
          <w:lang w:val="zh-TW" w:eastAsia="zh-TW"/>
        </w:rPr>
        <w:t>段</w:t>
      </w:r>
      <w:r>
        <w:rPr>
          <w:rFonts w:ascii="Arial Unicode MS" w:cs="Arial Unicode MS" w:hAnsi="Arial Unicode MS" w:eastAsia="Arial Unicode MS" w:hint="eastAsia"/>
          <w:b w:val="0"/>
          <w:bCs w:val="0"/>
          <w:i w:val="0"/>
          <w:iCs w:val="0"/>
          <w:sz w:val="24"/>
          <w:szCs w:val="24"/>
          <w:rtl w:val="0"/>
          <w:lang w:val="zh-CN" w:eastAsia="zh-CN"/>
        </w:rPr>
        <w:t>的适当性。</w:t>
      </w:r>
    </w:p>
    <w:p>
      <w:pPr>
        <w:pStyle w:val="Body A"/>
        <w:rPr>
          <w:rFonts w:ascii="Helvetica" w:cs="Helvetica" w:hAnsi="Helvetica" w:eastAsia="Helvetica"/>
          <w:sz w:val="24"/>
          <w:szCs w:val="24"/>
        </w:rPr>
      </w:pPr>
    </w:p>
    <w:p>
      <w:pPr>
        <w:pStyle w:val="Body A"/>
      </w:pPr>
      <w:r>
        <w:rPr>
          <w:rFonts w:ascii="Helvetica" w:cs="Helvetica" w:hAnsi="Helvetica" w:eastAsia="Helvetica"/>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2"/>
      <w:szCs w:val="22"/>
      <w:u w:val="none" w:color="000000"/>
      <w:vertAlign w:val="baseline"/>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F87206-540D-4225-8DC6-8ED05898FF2F}"/>
</file>

<file path=customXml/itemProps2.xml><?xml version="1.0" encoding="utf-8"?>
<ds:datastoreItem xmlns:ds="http://schemas.openxmlformats.org/officeDocument/2006/customXml" ds:itemID="{D303ED52-3C5C-4EE7-9E83-BF03895ADD39}"/>
</file>

<file path=customXml/itemProps3.xml><?xml version="1.0" encoding="utf-8"?>
<ds:datastoreItem xmlns:ds="http://schemas.openxmlformats.org/officeDocument/2006/customXml" ds:itemID="{F5696F1F-8404-4D7C-827A-6F573DBDAD93}"/>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