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sz w:val="26"/>
          <w:szCs w:val="26"/>
        </w:rPr>
      </w:pPr>
      <w:r>
        <w:rPr>
          <w:sz w:val="26"/>
          <w:szCs w:val="26"/>
          <w:rtl w:val="0"/>
          <w:lang w:val="zh-TW" w:eastAsia="zh-TW"/>
        </w:rPr>
        <w:t>中国代表团关于序言、第十四和第十五条的评论</w:t>
      </w:r>
    </w:p>
    <w:p>
      <w:pPr>
        <w:pStyle w:val="Body A"/>
        <w:rPr>
          <w:sz w:val="26"/>
          <w:szCs w:val="26"/>
        </w:rPr>
      </w:pPr>
    </w:p>
    <w:p>
      <w:pPr>
        <w:pStyle w:val="Body A"/>
        <w:rPr>
          <w:sz w:val="26"/>
          <w:szCs w:val="26"/>
        </w:rPr>
      </w:pPr>
      <w:r>
        <w:rPr>
          <w:sz w:val="26"/>
          <w:szCs w:val="26"/>
          <w:rtl w:val="0"/>
          <w:lang w:val="zh-CN" w:eastAsia="zh-CN"/>
        </w:rPr>
        <w:t xml:space="preserve">       </w:t>
      </w:r>
      <w:r>
        <w:rPr>
          <w:sz w:val="26"/>
          <w:szCs w:val="26"/>
          <w:rtl w:val="0"/>
          <w:lang w:val="zh-TW" w:eastAsia="zh-TW"/>
        </w:rPr>
        <w:t>一、序言。</w:t>
      </w:r>
    </w:p>
    <w:p>
      <w:pPr>
        <w:pStyle w:val="Body A"/>
        <w:rPr>
          <w:sz w:val="26"/>
          <w:szCs w:val="26"/>
        </w:rPr>
      </w:pPr>
      <w:r>
        <w:rPr>
          <w:rFonts w:ascii="Helvetica Neue" w:hAnsi="Helvetica Neue"/>
          <w:sz w:val="26"/>
          <w:szCs w:val="26"/>
          <w:rtl w:val="0"/>
          <w:lang w:val="zh-TW" w:eastAsia="zh-TW"/>
        </w:rPr>
        <w:t xml:space="preserve"> </w:t>
      </w:r>
      <w:r>
        <w:rPr>
          <w:rFonts w:ascii="Helvetica Neue" w:hAnsi="Helvetica Neue"/>
          <w:sz w:val="26"/>
          <w:szCs w:val="26"/>
          <w:rtl w:val="0"/>
          <w:lang w:val="zh-CN" w:eastAsia="zh-CN"/>
        </w:rPr>
        <w:t xml:space="preserve">      </w:t>
      </w:r>
      <w:r>
        <w:rPr>
          <w:sz w:val="26"/>
          <w:szCs w:val="26"/>
          <w:rtl w:val="0"/>
          <w:lang w:val="zh-TW" w:eastAsia="zh-TW"/>
        </w:rPr>
        <w:t>人权理事会</w:t>
      </w:r>
      <w:r>
        <w:rPr>
          <w:rFonts w:ascii="Helvetica Neue" w:hAnsi="Helvetica Neue"/>
          <w:sz w:val="26"/>
          <w:szCs w:val="26"/>
          <w:rtl w:val="0"/>
          <w:lang w:val="zh-TW" w:eastAsia="zh-TW"/>
        </w:rPr>
        <w:t>26/9</w:t>
      </w:r>
      <w:r>
        <w:rPr>
          <w:sz w:val="26"/>
          <w:szCs w:val="26"/>
          <w:rtl w:val="0"/>
          <w:lang w:val="zh-TW" w:eastAsia="zh-TW"/>
        </w:rPr>
        <w:t>号决议议所阐述的制定本法律文书的目的、指南原则等内容应该在该文书的序言中得到确认，我们建议增加，重申尊重联合国宪章的原则和宗旨，确认工商业对发展的积极作用，以使序言更为准确平衡。</w:t>
      </w:r>
    </w:p>
    <w:p>
      <w:pPr>
        <w:pStyle w:val="Body A"/>
        <w:rPr>
          <w:sz w:val="26"/>
          <w:szCs w:val="26"/>
        </w:rPr>
      </w:pPr>
    </w:p>
    <w:p>
      <w:pPr>
        <w:pStyle w:val="Body A"/>
        <w:rPr>
          <w:sz w:val="26"/>
          <w:szCs w:val="26"/>
        </w:rPr>
      </w:pPr>
      <w:r>
        <w:rPr>
          <w:sz w:val="26"/>
          <w:szCs w:val="26"/>
          <w:rtl w:val="0"/>
          <w:lang w:val="zh-CN" w:eastAsia="zh-CN"/>
        </w:rPr>
        <w:t xml:space="preserve">       </w:t>
      </w:r>
      <w:r>
        <w:rPr>
          <w:sz w:val="26"/>
          <w:szCs w:val="26"/>
          <w:rtl w:val="0"/>
          <w:lang w:val="zh-TW" w:eastAsia="zh-TW"/>
        </w:rPr>
        <w:t>二、第十四条</w:t>
      </w:r>
      <w:r>
        <w:rPr>
          <w:rFonts w:ascii="Helvetica Neue" w:hAnsi="Helvetica Neue"/>
          <w:sz w:val="26"/>
          <w:szCs w:val="26"/>
          <w:rtl w:val="0"/>
          <w:lang w:val="zh-TW" w:eastAsia="zh-TW"/>
        </w:rPr>
        <w:t xml:space="preserve"> </w:t>
      </w:r>
      <w:r>
        <w:rPr>
          <w:sz w:val="26"/>
          <w:szCs w:val="26"/>
          <w:rtl w:val="0"/>
          <w:lang w:val="zh-TW" w:eastAsia="zh-TW"/>
        </w:rPr>
        <w:t>机制安排</w:t>
      </w:r>
    </w:p>
    <w:p>
      <w:pPr>
        <w:pStyle w:val="Body A"/>
        <w:rPr>
          <w:sz w:val="26"/>
          <w:szCs w:val="26"/>
        </w:rPr>
      </w:pPr>
      <w:r>
        <w:rPr>
          <w:sz w:val="26"/>
          <w:szCs w:val="26"/>
          <w:rtl w:val="0"/>
          <w:lang w:val="zh-CN" w:eastAsia="zh-CN"/>
        </w:rPr>
        <w:t xml:space="preserve">      </w:t>
      </w:r>
      <w:r>
        <w:rPr>
          <w:sz w:val="26"/>
          <w:szCs w:val="26"/>
          <w:rtl w:val="0"/>
          <w:lang w:val="zh-TW" w:eastAsia="zh-TW"/>
        </w:rPr>
        <w:t>本条机制安排取决于本法律文书的其他实质条款。关于</w:t>
      </w:r>
      <w:r>
        <w:rPr>
          <w:sz w:val="26"/>
          <w:szCs w:val="26"/>
          <w:rtl w:val="0"/>
          <w:lang w:val="zh-CN" w:eastAsia="zh-CN"/>
        </w:rPr>
        <w:t>是否建立</w:t>
      </w:r>
      <w:r>
        <w:rPr>
          <w:sz w:val="26"/>
          <w:szCs w:val="26"/>
          <w:rtl w:val="0"/>
          <w:lang w:val="zh-TW" w:eastAsia="zh-TW"/>
        </w:rPr>
        <w:t>一个</w:t>
      </w:r>
      <w:r>
        <w:rPr>
          <w:sz w:val="26"/>
          <w:szCs w:val="26"/>
          <w:rtl w:val="0"/>
          <w:lang w:val="zh-CN" w:eastAsia="zh-CN"/>
        </w:rPr>
        <w:t>审议国家履约报告的</w:t>
      </w:r>
      <w:r>
        <w:rPr>
          <w:sz w:val="26"/>
          <w:szCs w:val="26"/>
          <w:rtl w:val="0"/>
          <w:lang w:val="zh-TW" w:eastAsia="zh-TW"/>
        </w:rPr>
        <w:t>委员会，这应该结合当前</w:t>
      </w:r>
      <w:r>
        <w:rPr>
          <w:rFonts w:ascii="Helvetica Neue" w:hAnsi="Helvetica Neue" w:hint="default"/>
          <w:sz w:val="26"/>
          <w:szCs w:val="26"/>
          <w:rtl w:val="0"/>
          <w:lang w:val="zh-TW" w:eastAsia="zh-TW"/>
        </w:rPr>
        <w:t>“</w:t>
      </w:r>
      <w:r>
        <w:rPr>
          <w:sz w:val="26"/>
          <w:szCs w:val="26"/>
          <w:rtl w:val="0"/>
          <w:lang w:val="zh-TW" w:eastAsia="zh-TW"/>
        </w:rPr>
        <w:t>加强人权条约机构进程</w:t>
      </w:r>
      <w:r>
        <w:rPr>
          <w:rFonts w:ascii="Helvetica Neue" w:hAnsi="Helvetica Neue" w:hint="default"/>
          <w:sz w:val="26"/>
          <w:szCs w:val="26"/>
          <w:rtl w:val="0"/>
          <w:lang w:val="zh-TW" w:eastAsia="zh-TW"/>
        </w:rPr>
        <w:t>”</w:t>
      </w:r>
      <w:r>
        <w:rPr>
          <w:sz w:val="26"/>
          <w:szCs w:val="26"/>
          <w:rtl w:val="0"/>
          <w:lang w:val="zh-TW" w:eastAsia="zh-TW"/>
        </w:rPr>
        <w:t>（</w:t>
      </w:r>
      <w:r>
        <w:rPr>
          <w:rFonts w:ascii="Helvetica Neue" w:hAnsi="Helvetica Neue"/>
          <w:sz w:val="26"/>
          <w:szCs w:val="26"/>
          <w:rtl w:val="0"/>
          <w:lang w:val="en-US"/>
        </w:rPr>
        <w:t>process on strenthening the human rights treaty bodies</w:t>
      </w:r>
      <w:r>
        <w:rPr>
          <w:sz w:val="26"/>
          <w:szCs w:val="26"/>
          <w:rtl w:val="0"/>
          <w:lang w:val="zh-TW" w:eastAsia="zh-TW"/>
        </w:rPr>
        <w:t>）加以考虑，要避免和其他人权条约机构（</w:t>
      </w:r>
      <w:r>
        <w:rPr>
          <w:rFonts w:ascii="Helvetica Neue" w:hAnsi="Helvetica Neue"/>
          <w:sz w:val="26"/>
          <w:szCs w:val="26"/>
          <w:rtl w:val="0"/>
          <w:lang w:val="en-US"/>
        </w:rPr>
        <w:t>human rights treaty bodies</w:t>
      </w:r>
      <w:r>
        <w:rPr>
          <w:sz w:val="26"/>
          <w:szCs w:val="26"/>
          <w:rtl w:val="0"/>
          <w:lang w:val="zh-TW" w:eastAsia="zh-TW"/>
        </w:rPr>
        <w:t>）的职能相重叠。</w:t>
      </w:r>
    </w:p>
    <w:p>
      <w:pPr>
        <w:pStyle w:val="Body A"/>
        <w:rPr>
          <w:sz w:val="26"/>
          <w:szCs w:val="26"/>
        </w:rPr>
      </w:pPr>
    </w:p>
    <w:p>
      <w:pPr>
        <w:pStyle w:val="Body A"/>
        <w:rPr>
          <w:sz w:val="26"/>
          <w:szCs w:val="26"/>
        </w:rPr>
      </w:pPr>
      <w:r>
        <w:rPr>
          <w:sz w:val="26"/>
          <w:szCs w:val="26"/>
          <w:rtl w:val="0"/>
          <w:lang w:val="zh-CN" w:eastAsia="zh-CN"/>
        </w:rPr>
        <w:t xml:space="preserve">       </w:t>
      </w:r>
      <w:r>
        <w:rPr>
          <w:sz w:val="26"/>
          <w:szCs w:val="26"/>
          <w:rtl w:val="0"/>
          <w:lang w:val="zh-TW" w:eastAsia="zh-TW"/>
        </w:rPr>
        <w:t>三、第十五条</w:t>
      </w:r>
      <w:r>
        <w:rPr>
          <w:rFonts w:ascii="Helvetica Neue" w:hAnsi="Helvetica Neue"/>
          <w:sz w:val="26"/>
          <w:szCs w:val="26"/>
          <w:rtl w:val="0"/>
          <w:lang w:val="zh-TW" w:eastAsia="zh-TW"/>
        </w:rPr>
        <w:t xml:space="preserve"> </w:t>
      </w:r>
      <w:r>
        <w:rPr>
          <w:sz w:val="26"/>
          <w:szCs w:val="26"/>
          <w:rtl w:val="0"/>
          <w:lang w:val="zh-TW" w:eastAsia="zh-TW"/>
        </w:rPr>
        <w:t>最后条款</w:t>
      </w:r>
    </w:p>
    <w:p>
      <w:pPr>
        <w:pStyle w:val="Body A"/>
      </w:pPr>
      <w:r>
        <w:rPr>
          <w:sz w:val="26"/>
          <w:szCs w:val="26"/>
          <w:rtl w:val="0"/>
          <w:lang w:val="zh-CN" w:eastAsia="zh-CN"/>
        </w:rPr>
        <w:t xml:space="preserve">       </w:t>
      </w:r>
      <w:r>
        <w:rPr>
          <w:sz w:val="26"/>
          <w:szCs w:val="26"/>
          <w:rtl w:val="0"/>
          <w:lang w:val="zh-TW" w:eastAsia="zh-TW"/>
        </w:rPr>
        <w:t>本条的</w:t>
      </w:r>
      <w:r>
        <w:rPr>
          <w:rFonts w:ascii="Helvetica Neue" w:hAnsi="Helvetica Neue" w:hint="default"/>
          <w:sz w:val="26"/>
          <w:szCs w:val="26"/>
          <w:rtl w:val="0"/>
          <w:lang w:val="zh-TW" w:eastAsia="zh-TW"/>
        </w:rPr>
        <w:t>“</w:t>
      </w:r>
      <w:r>
        <w:rPr>
          <w:sz w:val="26"/>
          <w:szCs w:val="26"/>
          <w:rtl w:val="0"/>
          <w:lang w:val="zh-TW" w:eastAsia="zh-TW"/>
        </w:rPr>
        <w:t>执行</w:t>
      </w:r>
      <w:r>
        <w:rPr>
          <w:rFonts w:ascii="Helvetica Neue" w:hAnsi="Helvetica Neue" w:hint="default"/>
          <w:sz w:val="26"/>
          <w:szCs w:val="26"/>
          <w:rtl w:val="0"/>
          <w:lang w:val="zh-TW" w:eastAsia="zh-TW"/>
        </w:rPr>
        <w:t>”</w:t>
      </w:r>
      <w:r>
        <w:rPr>
          <w:sz w:val="26"/>
          <w:szCs w:val="26"/>
          <w:rtl w:val="0"/>
          <w:lang w:val="zh-TW" w:eastAsia="zh-TW"/>
        </w:rPr>
        <w:t>（</w:t>
      </w:r>
      <w:r>
        <w:rPr>
          <w:rFonts w:ascii="Helvetica Neue" w:hAnsi="Helvetica Neue"/>
          <w:sz w:val="26"/>
          <w:szCs w:val="26"/>
          <w:rtl w:val="0"/>
          <w:lang w:val="en-US"/>
        </w:rPr>
        <w:t>implementation)</w:t>
      </w:r>
      <w:r>
        <w:rPr>
          <w:sz w:val="26"/>
          <w:szCs w:val="26"/>
          <w:rtl w:val="0"/>
          <w:lang w:val="zh-TW" w:eastAsia="zh-TW"/>
        </w:rPr>
        <w:t>。</w:t>
      </w:r>
      <w:r>
        <w:rPr>
          <w:sz w:val="26"/>
          <w:szCs w:val="26"/>
          <w:rtl w:val="0"/>
          <w:lang w:val="zh-CN" w:eastAsia="zh-CN"/>
        </w:rPr>
        <w:t>作为一般原则，本条应尊重国家在符合公约框架下执行公约的自主权。关于具体内容，</w:t>
      </w:r>
      <w:r>
        <w:rPr>
          <w:sz w:val="26"/>
          <w:szCs w:val="26"/>
          <w:rtl w:val="0"/>
          <w:lang w:val="zh-TW" w:eastAsia="zh-TW"/>
        </w:rPr>
        <w:t>第</w:t>
      </w:r>
      <w:r>
        <w:rPr>
          <w:rFonts w:ascii="Helvetica Neue" w:hAnsi="Helvetica Neue"/>
          <w:sz w:val="26"/>
          <w:szCs w:val="26"/>
          <w:rtl w:val="0"/>
          <w:lang w:val="zh-TW" w:eastAsia="zh-TW"/>
        </w:rPr>
        <w:t>3</w:t>
      </w:r>
      <w:r>
        <w:rPr>
          <w:sz w:val="26"/>
          <w:szCs w:val="26"/>
          <w:rtl w:val="0"/>
          <w:lang w:val="zh-TW" w:eastAsia="zh-TW"/>
        </w:rPr>
        <w:t>段</w:t>
      </w:r>
      <w:r>
        <w:rPr>
          <w:sz w:val="26"/>
          <w:szCs w:val="26"/>
          <w:rtl w:val="0"/>
          <w:lang w:val="zh-CN" w:eastAsia="zh-CN"/>
        </w:rPr>
        <w:t>的措辞</w:t>
      </w:r>
      <w:r>
        <w:rPr>
          <w:sz w:val="26"/>
          <w:szCs w:val="26"/>
          <w:rtl w:val="0"/>
          <w:lang w:val="zh-TW" w:eastAsia="zh-TW"/>
        </w:rPr>
        <w:t>有将工商业和人权对立的风险，要从</w:t>
      </w:r>
      <w:r>
        <w:rPr>
          <w:rFonts w:ascii="Helvetica Neue" w:hAnsi="Helvetica Neue" w:hint="default"/>
          <w:sz w:val="26"/>
          <w:szCs w:val="26"/>
          <w:rtl w:val="0"/>
          <w:lang w:val="zh-TW" w:eastAsia="zh-TW"/>
        </w:rPr>
        <w:t>“</w:t>
      </w:r>
      <w:r>
        <w:rPr>
          <w:sz w:val="26"/>
          <w:szCs w:val="26"/>
          <w:rtl w:val="0"/>
          <w:lang w:val="zh-TW" w:eastAsia="zh-TW"/>
        </w:rPr>
        <w:t>发展和人权是相互关联和互相支持</w:t>
      </w:r>
      <w:r>
        <w:rPr>
          <w:rFonts w:ascii="Helvetica Neue" w:hAnsi="Helvetica Neue" w:hint="default"/>
          <w:sz w:val="26"/>
          <w:szCs w:val="26"/>
          <w:rtl w:val="0"/>
          <w:lang w:val="zh-TW" w:eastAsia="zh-TW"/>
        </w:rPr>
        <w:t>”</w:t>
      </w:r>
      <w:r>
        <w:rPr>
          <w:sz w:val="26"/>
          <w:szCs w:val="26"/>
          <w:rtl w:val="0"/>
          <w:lang w:val="zh-TW" w:eastAsia="zh-TW"/>
        </w:rPr>
        <w:t>这一共识思考这一问题。我们这个法律文书和烟草控制框架公约（</w:t>
      </w:r>
      <w:r>
        <w:rPr>
          <w:rFonts w:ascii="Helvetica Neue" w:hAnsi="Helvetica Neue"/>
          <w:sz w:val="26"/>
          <w:szCs w:val="26"/>
          <w:rtl w:val="0"/>
          <w:lang w:val="en-US"/>
        </w:rPr>
        <w:t>Framework Convention on Tabaco</w:t>
      </w:r>
      <w:r>
        <w:rPr>
          <w:rFonts w:ascii="Helvetica Neue" w:hAnsi="Helvetica Neue"/>
          <w:sz w:val="26"/>
          <w:szCs w:val="26"/>
          <w:rtl w:val="0"/>
          <w:lang w:val="en-US"/>
        </w:rPr>
        <w:t>o</w:t>
      </w:r>
      <w:r>
        <w:rPr>
          <w:rFonts w:ascii="Helvetica Neue" w:hAnsi="Helvetica Neue"/>
          <w:sz w:val="26"/>
          <w:szCs w:val="26"/>
          <w:rtl w:val="0"/>
          <w:lang w:val="en-US"/>
        </w:rPr>
        <w:t xml:space="preserve"> Control</w:t>
      </w:r>
      <w:r>
        <w:rPr>
          <w:sz w:val="26"/>
          <w:szCs w:val="26"/>
          <w:rtl w:val="0"/>
          <w:lang w:val="zh-TW" w:eastAsia="zh-TW"/>
        </w:rPr>
        <w:t>）</w:t>
      </w:r>
      <w:r>
        <w:rPr>
          <w:sz w:val="26"/>
          <w:szCs w:val="26"/>
          <w:rtl w:val="0"/>
          <w:lang w:val="zh-CN" w:eastAsia="zh-CN"/>
        </w:rPr>
        <w:t>所处理关系的</w:t>
      </w:r>
      <w:r>
        <w:rPr>
          <w:sz w:val="26"/>
          <w:szCs w:val="26"/>
          <w:rtl w:val="0"/>
          <w:lang w:val="zh-TW" w:eastAsia="zh-TW"/>
        </w:rPr>
        <w:t>性质不同。</w:t>
      </w:r>
      <w:r>
        <w:rPr>
          <w:sz w:val="26"/>
          <w:szCs w:val="26"/>
          <w:rtl w:val="0"/>
          <w:lang w:val="zh-CN" w:eastAsia="zh-CN"/>
        </w:rPr>
        <w:t>在我们这个文书的情境下，</w:t>
      </w:r>
      <w:r>
        <w:rPr>
          <w:sz w:val="26"/>
          <w:szCs w:val="26"/>
          <w:rtl w:val="0"/>
          <w:lang w:val="zh-TW" w:eastAsia="zh-TW"/>
        </w:rPr>
        <w:t>工商业是促进发展的重要驱动力，从这个意义上讲也能够通过促进发展来促进人权，当然，要通过必要适当的规范确保在其活动中尊重人权</w:t>
      </w:r>
      <w:r>
        <w:rPr>
          <w:sz w:val="26"/>
          <w:szCs w:val="26"/>
          <w:rtl w:val="0"/>
          <w:lang w:val="zh-CN" w:eastAsia="zh-CN"/>
        </w:rPr>
        <w:t>，以及确保侵权行为发生时有有效的救济。这也是人权理事会</w:t>
      </w:r>
      <w:r>
        <w:rPr>
          <w:sz w:val="26"/>
          <w:szCs w:val="26"/>
          <w:rtl w:val="0"/>
          <w:lang w:val="zh-CN" w:eastAsia="zh-CN"/>
        </w:rPr>
        <w:t>26/9</w:t>
      </w:r>
      <w:r>
        <w:rPr>
          <w:sz w:val="26"/>
          <w:szCs w:val="26"/>
          <w:rtl w:val="0"/>
          <w:lang w:val="zh-CN" w:eastAsia="zh-CN"/>
        </w:rPr>
        <w:t>号决议所确认的</w:t>
      </w:r>
      <w:r>
        <w:rPr>
          <w:sz w:val="26"/>
          <w:szCs w:val="26"/>
          <w:rtl w:val="0"/>
          <w:lang w:val="zh-TW" w:eastAsia="zh-TW"/>
        </w:rPr>
        <w:t>。</w:t>
      </w:r>
      <w:r>
        <w:rPr>
          <w:sz w:val="26"/>
          <w:szCs w:val="26"/>
          <w:rtl w:val="0"/>
          <w:lang w:val="zh-CN" w:eastAsia="zh-CN"/>
        </w:rPr>
        <w:t>因此，</w:t>
      </w:r>
      <w:r>
        <w:rPr>
          <w:sz w:val="26"/>
          <w:szCs w:val="26"/>
          <w:rtl w:val="0"/>
          <w:lang w:val="zh-TW" w:eastAsia="zh-TW"/>
        </w:rPr>
        <w:t>我们建议</w:t>
      </w:r>
      <w:r>
        <w:rPr>
          <w:sz w:val="26"/>
          <w:szCs w:val="26"/>
          <w:rtl w:val="0"/>
          <w:lang w:val="zh-CN" w:eastAsia="zh-CN"/>
        </w:rPr>
        <w:t>以更加积极平衡的方式处理这一问题。即将相关内容移出第十五条，而放</w:t>
      </w:r>
      <w:r>
        <w:rPr>
          <w:sz w:val="26"/>
          <w:szCs w:val="26"/>
          <w:rtl w:val="0"/>
          <w:lang w:val="zh-TW" w:eastAsia="zh-TW"/>
        </w:rPr>
        <w:t>在序言</w:t>
      </w:r>
      <w:r>
        <w:rPr>
          <w:sz w:val="26"/>
          <w:szCs w:val="26"/>
          <w:rtl w:val="0"/>
          <w:lang w:val="zh-CN" w:eastAsia="zh-CN"/>
        </w:rPr>
        <w:t>中加以处理，即</w:t>
      </w:r>
      <w:r>
        <w:rPr>
          <w:sz w:val="26"/>
          <w:szCs w:val="26"/>
          <w:rtl w:val="0"/>
          <w:lang w:val="zh-TW" w:eastAsia="zh-TW"/>
        </w:rPr>
        <w:t>增加对工商业对发展的贡献以及确保工商业在其活动中尊重人权的内容。</w:t>
      </w:r>
      <w:r>
        <w:rPr>
          <w:sz w:val="26"/>
          <w:szCs w:val="26"/>
          <w:lang w:val="zh-TW" w:eastAsia="zh-TW"/>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2"/>
      <w:szCs w:val="22"/>
      <w:u w:val="none" w:color="000000"/>
      <w:vertAlign w:val="baseline"/>
      <w:lang w:val="zh-TW" w:eastAsia="zh-TW"/>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0CC353-4D8A-49BE-B78A-B183DC5FE72B}"/>
</file>

<file path=customXml/itemProps2.xml><?xml version="1.0" encoding="utf-8"?>
<ds:datastoreItem xmlns:ds="http://schemas.openxmlformats.org/officeDocument/2006/customXml" ds:itemID="{8ECC28D5-C7CE-45E6-BD3E-11DF76330285}"/>
</file>

<file path=customXml/itemProps3.xml><?xml version="1.0" encoding="utf-8"?>
<ds:datastoreItem xmlns:ds="http://schemas.openxmlformats.org/officeDocument/2006/customXml" ds:itemID="{DC65D317-E1D3-4BA5-8EF8-44F91A2A74E2}"/>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