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  <w:rPr>
          <w:rFonts w:ascii="Helvetica Neue" w:cs="Helvetica Neue" w:hAnsi="Helvetica Neue" w:eastAsia="Helvetica Neue"/>
          <w:sz w:val="28"/>
          <w:szCs w:val="28"/>
        </w:rPr>
      </w:pPr>
      <w:r>
        <w:rPr>
          <w:sz w:val="28"/>
          <w:szCs w:val="28"/>
          <w:rtl w:val="0"/>
          <w:lang w:val="zh-TW" w:eastAsia="zh-TW"/>
        </w:rPr>
        <w:t>中国代表团关于第五条</w:t>
      </w:r>
      <w:r>
        <w:rPr>
          <w:rFonts w:ascii="Helvetica Neue" w:hAnsi="Helvetica Neue" w:hint="default"/>
          <w:sz w:val="28"/>
          <w:szCs w:val="28"/>
          <w:rtl w:val="0"/>
          <w:lang w:val="zh-TW" w:eastAsia="zh-TW"/>
        </w:rPr>
        <w:t>“</w:t>
      </w:r>
      <w:r>
        <w:rPr>
          <w:sz w:val="28"/>
          <w:szCs w:val="28"/>
          <w:rtl w:val="0"/>
          <w:lang w:val="zh-TW" w:eastAsia="zh-TW"/>
        </w:rPr>
        <w:t>管辖权</w:t>
      </w:r>
      <w:r>
        <w:rPr>
          <w:rFonts w:ascii="Helvetica Neue" w:hAnsi="Helvetica Neue" w:hint="default"/>
          <w:sz w:val="28"/>
          <w:szCs w:val="28"/>
          <w:rtl w:val="0"/>
          <w:lang w:val="zh-TW" w:eastAsia="zh-TW"/>
        </w:rPr>
        <w:t>”</w:t>
      </w:r>
      <w:r>
        <w:rPr>
          <w:sz w:val="28"/>
          <w:szCs w:val="28"/>
          <w:rtl w:val="0"/>
          <w:lang w:val="zh-TW" w:eastAsia="zh-TW"/>
        </w:rPr>
        <w:t>的评论</w:t>
      </w:r>
    </w:p>
    <w:p>
      <w:pPr>
        <w:pStyle w:val="Body A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Body A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zh-TW" w:eastAsia="zh-TW"/>
        </w:rPr>
        <w:t xml:space="preserve">       </w:t>
      </w:r>
      <w:r>
        <w:rPr>
          <w:sz w:val="28"/>
          <w:szCs w:val="28"/>
          <w:rtl w:val="0"/>
          <w:lang w:val="zh-TW" w:eastAsia="zh-TW"/>
        </w:rPr>
        <w:t>第五条也是本文书中的重要条款，目前案文建议了两类管辖权，一是有关行为或不作为的发生地所在国（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>the S</w:t>
      </w:r>
      <w:r>
        <w:rPr>
          <w:rFonts w:ascii="Helvetica Neue" w:hAnsi="Helvetica Neue"/>
          <w:sz w:val="28"/>
          <w:szCs w:val="28"/>
          <w:rtl w:val="0"/>
          <w:lang w:val="en-US"/>
        </w:rPr>
        <w:t>tate where such acts or omissions occurred</w:t>
      </w:r>
      <w:r>
        <w:rPr>
          <w:sz w:val="28"/>
          <w:szCs w:val="28"/>
          <w:rtl w:val="0"/>
          <w:lang w:val="zh-TW" w:eastAsia="zh-TW"/>
        </w:rPr>
        <w:t>）的管辖权</w:t>
      </w:r>
      <w:r>
        <w:rPr>
          <w:sz w:val="28"/>
          <w:szCs w:val="28"/>
          <w:rtl w:val="0"/>
          <w:lang w:val="zh-TW" w:eastAsia="zh-TW"/>
        </w:rPr>
        <w:t>。这是属于公认的领土管辖权（</w:t>
      </w:r>
      <w:r>
        <w:rPr>
          <w:sz w:val="28"/>
          <w:szCs w:val="28"/>
          <w:rtl w:val="0"/>
          <w:lang w:val="en-US"/>
        </w:rPr>
        <w:t>territorial jurisdiction</w:t>
      </w:r>
      <w:r>
        <w:rPr>
          <w:sz w:val="28"/>
          <w:szCs w:val="28"/>
          <w:rtl w:val="0"/>
          <w:lang w:val="zh-TW" w:eastAsia="zh-TW"/>
        </w:rPr>
        <w:t>）</w:t>
      </w:r>
      <w:r>
        <w:rPr>
          <w:sz w:val="28"/>
          <w:szCs w:val="28"/>
          <w:rtl w:val="0"/>
          <w:lang w:val="zh-TW" w:eastAsia="zh-TW"/>
        </w:rPr>
        <w:t>，第二是有关法人（</w:t>
      </w:r>
      <w:r>
        <w:rPr>
          <w:rFonts w:ascii="Helvetica Neue" w:hAnsi="Helvetica Neue"/>
          <w:sz w:val="28"/>
          <w:szCs w:val="28"/>
          <w:rtl w:val="0"/>
          <w:lang w:val="pt-PT"/>
        </w:rPr>
        <w:t>legal person</w:t>
      </w:r>
      <w:r>
        <w:rPr>
          <w:sz w:val="28"/>
          <w:szCs w:val="28"/>
          <w:rtl w:val="0"/>
          <w:lang w:val="zh-TW" w:eastAsia="zh-TW"/>
        </w:rPr>
        <w:t>）或其他组织（</w:t>
      </w:r>
      <w:r>
        <w:rPr>
          <w:rFonts w:ascii="Helvetica Neue" w:hAnsi="Helvetica Neue"/>
          <w:sz w:val="28"/>
          <w:szCs w:val="28"/>
          <w:rtl w:val="0"/>
          <w:lang w:val="en-US"/>
        </w:rPr>
        <w:t>association</w:t>
      </w:r>
      <w:r>
        <w:rPr>
          <w:sz w:val="28"/>
          <w:szCs w:val="28"/>
          <w:rtl w:val="0"/>
          <w:lang w:val="zh-TW" w:eastAsia="zh-TW"/>
        </w:rPr>
        <w:t>）的住所地（</w:t>
      </w:r>
      <w:r>
        <w:rPr>
          <w:rFonts w:ascii="Helvetica Neue" w:hAnsi="Helvetica Neue"/>
          <w:sz w:val="28"/>
          <w:szCs w:val="28"/>
          <w:rtl w:val="0"/>
          <w:lang w:val="en-US"/>
        </w:rPr>
        <w:t>domicile</w:t>
      </w:r>
      <w:r>
        <w:rPr>
          <w:sz w:val="28"/>
          <w:szCs w:val="28"/>
          <w:rtl w:val="0"/>
          <w:lang w:val="zh-TW" w:eastAsia="zh-TW"/>
        </w:rPr>
        <w:t>）所在地国的管辖权</w:t>
      </w:r>
      <w:r>
        <w:rPr>
          <w:sz w:val="28"/>
          <w:szCs w:val="28"/>
          <w:rtl w:val="0"/>
          <w:lang w:val="zh-TW" w:eastAsia="zh-TW"/>
        </w:rPr>
        <w:t>。当侵权行为地和上述住所地不一致时，基于住所地的管辖权实际上构成一种域外管辖权（</w:t>
      </w:r>
      <w:r>
        <w:rPr>
          <w:sz w:val="28"/>
          <w:szCs w:val="28"/>
          <w:rtl w:val="0"/>
          <w:lang w:val="en-US"/>
        </w:rPr>
        <w:t>extraterritorial jurisdiction</w:t>
      </w:r>
      <w:r>
        <w:rPr>
          <w:sz w:val="28"/>
          <w:szCs w:val="28"/>
          <w:rtl w:val="0"/>
          <w:lang w:val="zh-TW" w:eastAsia="zh-TW"/>
        </w:rPr>
        <w:t>），而根据一般国际法，对域外管辖权应有合理的界定。因此，对目前关于基于住所地的管辖权的</w:t>
      </w:r>
      <w:r>
        <w:rPr>
          <w:sz w:val="28"/>
          <w:szCs w:val="28"/>
          <w:rtl w:val="0"/>
          <w:lang w:val="zh-TW" w:eastAsia="zh-TW"/>
        </w:rPr>
        <w:t>措辞还需要澄清或调整。</w:t>
      </w:r>
    </w:p>
    <w:p>
      <w:pPr>
        <w:pStyle w:val="Body A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zh-TW" w:eastAsia="zh-TW"/>
        </w:rPr>
        <w:t xml:space="preserve">      </w:t>
      </w:r>
      <w:r>
        <w:rPr>
          <w:sz w:val="28"/>
          <w:szCs w:val="28"/>
          <w:rtl w:val="0"/>
          <w:lang w:val="zh-TW" w:eastAsia="zh-TW"/>
        </w:rPr>
        <w:t>一是第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>2</w:t>
      </w:r>
      <w:r>
        <w:rPr>
          <w:sz w:val="28"/>
          <w:szCs w:val="28"/>
          <w:rtl w:val="0"/>
          <w:lang w:val="zh-TW" w:eastAsia="zh-TW"/>
        </w:rPr>
        <w:t>段对如何判断法人住所提出了标准。</w:t>
      </w:r>
      <w:r>
        <w:rPr>
          <w:rFonts w:ascii="Helvetica Neue" w:hAnsi="Helvetica Neue"/>
          <w:sz w:val="28"/>
          <w:szCs w:val="28"/>
          <w:rtl w:val="0"/>
          <w:lang w:val="en-US"/>
        </w:rPr>
        <w:t>C</w:t>
      </w:r>
      <w:r>
        <w:rPr>
          <w:sz w:val="28"/>
          <w:szCs w:val="28"/>
          <w:rtl w:val="0"/>
          <w:lang w:val="zh-TW" w:eastAsia="zh-TW"/>
        </w:rPr>
        <w:t>段</w:t>
      </w:r>
      <w:r>
        <w:rPr>
          <w:sz w:val="28"/>
          <w:szCs w:val="28"/>
          <w:rtl w:val="0"/>
          <w:lang w:val="zh-TW" w:eastAsia="zh-TW"/>
        </w:rPr>
        <w:t>提到</w:t>
      </w:r>
      <w:r>
        <w:rPr>
          <w:rFonts w:ascii="Helvetica Neue" w:hAnsi="Helvetica Neue" w:hint="default"/>
          <w:sz w:val="28"/>
          <w:szCs w:val="28"/>
          <w:rtl w:val="0"/>
          <w:lang w:val="zh-TW" w:eastAsia="zh-TW"/>
        </w:rPr>
        <w:t>“</w:t>
      </w:r>
      <w:r>
        <w:rPr>
          <w:rFonts w:ascii="Helvetica Neue" w:hAnsi="Helvetica Neue"/>
          <w:sz w:val="28"/>
          <w:szCs w:val="28"/>
          <w:rtl w:val="0"/>
          <w:lang w:val="en-US"/>
        </w:rPr>
        <w:t>substantial business interest</w:t>
      </w:r>
      <w:r>
        <w:rPr>
          <w:rFonts w:ascii="Helvetica Neue" w:hAnsi="Helvetica Neue" w:hint="default"/>
          <w:sz w:val="28"/>
          <w:szCs w:val="28"/>
          <w:rtl w:val="0"/>
          <w:lang w:val="zh-TW" w:eastAsia="zh-TW"/>
        </w:rPr>
        <w:t>”</w:t>
      </w:r>
      <w:r>
        <w:rPr>
          <w:sz w:val="28"/>
          <w:szCs w:val="28"/>
          <w:rtl w:val="0"/>
          <w:lang w:val="zh-TW" w:eastAsia="zh-TW"/>
        </w:rPr>
        <w:t>。这一概念模糊，不适合作为确定管辖权的连结点</w:t>
      </w:r>
      <w:r>
        <w:rPr>
          <w:sz w:val="28"/>
          <w:szCs w:val="28"/>
          <w:rtl w:val="0"/>
          <w:lang w:val="zh-TW" w:eastAsia="zh-TW"/>
        </w:rPr>
        <w:t>。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>D</w:t>
      </w:r>
      <w:r>
        <w:rPr>
          <w:sz w:val="28"/>
          <w:szCs w:val="28"/>
          <w:rtl w:val="0"/>
          <w:lang w:val="zh-TW" w:eastAsia="zh-TW"/>
        </w:rPr>
        <w:t>段提到法人因其在有关国家有各类分支机构（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subsidiary, agency, instrumentality, branch, representative office </w:t>
      </w:r>
      <w:r>
        <w:rPr>
          <w:sz w:val="28"/>
          <w:szCs w:val="28"/>
          <w:rtl w:val="0"/>
          <w:lang w:val="zh-TW" w:eastAsia="zh-TW"/>
        </w:rPr>
        <w:t>）而被认为在该国有住所，这种方式不是国际通行做法，建议删去。</w:t>
      </w:r>
    </w:p>
    <w:p>
      <w:pPr>
        <w:pStyle w:val="Body A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zh-TW" w:eastAsia="zh-TW"/>
        </w:rPr>
        <w:t xml:space="preserve">      </w:t>
      </w:r>
      <w:r>
        <w:rPr>
          <w:sz w:val="28"/>
          <w:szCs w:val="28"/>
          <w:rtl w:val="0"/>
          <w:lang w:val="zh-TW" w:eastAsia="zh-TW"/>
        </w:rPr>
        <w:t>二、本条在谈到自然人和法人外，还提到了由自然人或法人组成的集合组织（</w:t>
      </w:r>
      <w:r>
        <w:rPr>
          <w:rFonts w:ascii="Helvetica Neue" w:hAnsi="Helvetica Neue"/>
          <w:sz w:val="28"/>
          <w:szCs w:val="28"/>
          <w:rtl w:val="0"/>
          <w:lang w:val="en-US"/>
        </w:rPr>
        <w:t>association of a natural or legal persons</w:t>
      </w:r>
      <w:r>
        <w:rPr>
          <w:sz w:val="28"/>
          <w:szCs w:val="28"/>
          <w:rtl w:val="0"/>
          <w:lang w:val="zh-TW" w:eastAsia="zh-TW"/>
        </w:rPr>
        <w:t>）。这个概念模糊，而且会引发这个集合组织和其组成部分之间法律责任的归属或分配（</w:t>
      </w:r>
      <w:r>
        <w:rPr>
          <w:rFonts w:ascii="Helvetica Neue" w:hAnsi="Helvetica Neue"/>
          <w:sz w:val="28"/>
          <w:szCs w:val="28"/>
          <w:rtl w:val="0"/>
          <w:lang w:val="en-US"/>
        </w:rPr>
        <w:t>attribution or allocation of legal liabilities among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 xml:space="preserve"> the </w:t>
      </w:r>
      <w:r>
        <w:rPr>
          <w:rFonts w:ascii="Helvetica Neue" w:hAnsi="Helvetica Neue"/>
          <w:sz w:val="28"/>
          <w:szCs w:val="28"/>
          <w:rtl w:val="0"/>
          <w:lang w:val="en-US"/>
        </w:rPr>
        <w:t>concerned association and its constituents</w:t>
      </w:r>
      <w:r>
        <w:rPr>
          <w:sz w:val="28"/>
          <w:szCs w:val="28"/>
          <w:rtl w:val="0"/>
          <w:lang w:val="zh-TW" w:eastAsia="zh-TW"/>
        </w:rPr>
        <w:t>），这和第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>10</w:t>
      </w:r>
      <w:r>
        <w:rPr>
          <w:sz w:val="28"/>
          <w:szCs w:val="28"/>
          <w:rtl w:val="0"/>
          <w:lang w:val="zh-TW" w:eastAsia="zh-TW"/>
        </w:rPr>
        <w:t>条第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>6</w:t>
      </w:r>
      <w:r>
        <w:rPr>
          <w:sz w:val="28"/>
          <w:szCs w:val="28"/>
          <w:rtl w:val="0"/>
          <w:lang w:val="zh-TW" w:eastAsia="zh-TW"/>
        </w:rPr>
        <w:t>段确定法律责任的规定关系不清，需要修正</w:t>
      </w:r>
      <w:r>
        <w:rPr>
          <w:sz w:val="28"/>
          <w:szCs w:val="28"/>
          <w:rtl w:val="0"/>
          <w:lang w:val="zh-TW" w:eastAsia="zh-TW"/>
        </w:rPr>
        <w:t>。</w:t>
      </w:r>
    </w:p>
    <w:p>
      <w:pPr>
        <w:pStyle w:val="Body A"/>
        <w:rPr>
          <w:sz w:val="28"/>
          <w:szCs w:val="28"/>
          <w:lang w:val="zh-TW" w:eastAsia="zh-TW"/>
        </w:rPr>
      </w:pPr>
      <w:r>
        <w:rPr>
          <w:rFonts w:ascii="Helvetica Neue" w:hAnsi="Helvetica Neue"/>
          <w:sz w:val="28"/>
          <w:szCs w:val="28"/>
          <w:rtl w:val="0"/>
          <w:lang w:val="zh-TW" w:eastAsia="zh-TW"/>
        </w:rPr>
        <w:t xml:space="preserve">      </w:t>
      </w:r>
      <w:r>
        <w:rPr>
          <w:sz w:val="28"/>
          <w:szCs w:val="28"/>
          <w:rtl w:val="0"/>
          <w:lang w:val="zh-TW" w:eastAsia="zh-TW"/>
        </w:rPr>
        <w:t>三、本条第</w:t>
      </w:r>
      <w:r>
        <w:rPr>
          <w:rFonts w:ascii="Helvetica Neue" w:hAnsi="Helvetica Neue"/>
          <w:sz w:val="28"/>
          <w:szCs w:val="28"/>
          <w:rtl w:val="0"/>
          <w:lang w:val="zh-TW" w:eastAsia="zh-TW"/>
        </w:rPr>
        <w:t>3</w:t>
      </w:r>
      <w:r>
        <w:rPr>
          <w:sz w:val="28"/>
          <w:szCs w:val="28"/>
          <w:rtl w:val="0"/>
          <w:lang w:val="zh-TW" w:eastAsia="zh-TW"/>
        </w:rPr>
        <w:t>段涉及集体诉求（</w:t>
      </w:r>
      <w:r>
        <w:rPr>
          <w:rFonts w:ascii="Helvetica Neue" w:hAnsi="Helvetica Neue"/>
          <w:sz w:val="28"/>
          <w:szCs w:val="28"/>
          <w:rtl w:val="0"/>
          <w:lang w:val="en-US"/>
        </w:rPr>
        <w:t>class actions</w:t>
      </w:r>
      <w:r>
        <w:rPr>
          <w:sz w:val="28"/>
          <w:szCs w:val="28"/>
          <w:rtl w:val="0"/>
          <w:lang w:val="zh-TW" w:eastAsia="zh-TW"/>
        </w:rPr>
        <w:t>／</w:t>
      </w:r>
      <w:r>
        <w:rPr>
          <w:rFonts w:ascii="Helvetica Neue" w:hAnsi="Helvetica Neue"/>
          <w:sz w:val="28"/>
          <w:szCs w:val="28"/>
          <w:rtl w:val="0"/>
          <w:lang w:val="en-US"/>
        </w:rPr>
        <w:t>collective claims</w:t>
      </w:r>
      <w:r>
        <w:rPr>
          <w:sz w:val="28"/>
          <w:szCs w:val="28"/>
          <w:rtl w:val="0"/>
          <w:lang w:val="zh-TW" w:eastAsia="zh-TW"/>
        </w:rPr>
        <w:t>），其中提到在例外情况下，申诉人可能不需其他申诉人的同意而代表他们采取行动。这可能和国家的国内法不一致，而且这本身也不是管辖权条款的内容，</w:t>
      </w:r>
      <w:r>
        <w:rPr>
          <w:sz w:val="28"/>
          <w:szCs w:val="28"/>
          <w:rtl w:val="0"/>
          <w:lang w:val="zh-TW" w:eastAsia="zh-TW"/>
        </w:rPr>
        <w:t>建议</w:t>
      </w:r>
      <w:r>
        <w:rPr>
          <w:sz w:val="28"/>
          <w:szCs w:val="28"/>
          <w:rtl w:val="0"/>
          <w:lang w:val="zh-TW" w:eastAsia="zh-TW"/>
        </w:rPr>
        <w:t>删去</w:t>
      </w:r>
      <w:r>
        <w:rPr>
          <w:sz w:val="28"/>
          <w:szCs w:val="28"/>
          <w:rtl w:val="0"/>
          <w:lang w:val="zh-CN" w:eastAsia="zh-CN"/>
        </w:rPr>
        <w:t>。</w:t>
      </w:r>
    </w:p>
    <w:p>
      <w:pPr>
        <w:pStyle w:val="Body A"/>
      </w:pPr>
      <w:r>
        <w:rPr>
          <w:sz w:val="28"/>
          <w:szCs w:val="28"/>
          <w:rtl w:val="0"/>
          <w:lang w:val="zh-CN" w:eastAsia="zh-CN"/>
        </w:rPr>
        <w:t xml:space="preserve">       最后，我们重申，应谨慎对待任何增加域外管辖权的建议。域外管辖权的设立必须限于现行国际法允许的范围，符合合理性原则且仅作为例外情况。而所谓的普遍管辖权是没有合理基础的域外管辖权，在现行国际法下没有依据，不应采用。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AFD5CC-ECDC-4506-8704-4EA1CEF48307}"/>
</file>

<file path=customXml/itemProps2.xml><?xml version="1.0" encoding="utf-8"?>
<ds:datastoreItem xmlns:ds="http://schemas.openxmlformats.org/officeDocument/2006/customXml" ds:itemID="{A1E252F7-B5A0-4000-AEF2-874C6CDC6FE6}"/>
</file>

<file path=customXml/itemProps3.xml><?xml version="1.0" encoding="utf-8"?>
<ds:datastoreItem xmlns:ds="http://schemas.openxmlformats.org/officeDocument/2006/customXml" ds:itemID="{9C9CFA21-2EC6-4DA8-B631-61828B13E79F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