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50" w:rsidRPr="00AB7E06" w:rsidRDefault="005F1D50" w:rsidP="005F1D50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AB7E06">
        <w:rPr>
          <w:rFonts w:ascii="Cambria" w:hAnsi="Cambria"/>
          <w:b/>
          <w:sz w:val="24"/>
          <w:szCs w:val="24"/>
        </w:rPr>
        <w:t>Comentarios generales de Chile</w:t>
      </w:r>
    </w:p>
    <w:p w:rsidR="005F1D50" w:rsidRPr="00AB7E06" w:rsidRDefault="005F1D50" w:rsidP="005F1D50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AB7E06">
        <w:rPr>
          <w:rFonts w:ascii="Cambria" w:hAnsi="Cambria"/>
          <w:b/>
          <w:sz w:val="24"/>
          <w:szCs w:val="24"/>
        </w:rPr>
        <w:t xml:space="preserve">4ª Sesión del Grupo de Trabajo Intergubernamental para la elaboración de un </w:t>
      </w:r>
      <w:proofErr w:type="gramStart"/>
      <w:r w:rsidRPr="00AB7E06">
        <w:rPr>
          <w:rFonts w:ascii="Cambria" w:hAnsi="Cambria"/>
          <w:b/>
          <w:sz w:val="24"/>
          <w:szCs w:val="24"/>
        </w:rPr>
        <w:t>instrumentos vinculante</w:t>
      </w:r>
      <w:proofErr w:type="gramEnd"/>
      <w:r w:rsidRPr="00AB7E06">
        <w:rPr>
          <w:rFonts w:ascii="Cambria" w:hAnsi="Cambria"/>
          <w:b/>
          <w:sz w:val="24"/>
          <w:szCs w:val="24"/>
        </w:rPr>
        <w:t xml:space="preserve"> sobre empresas y derechos humanos</w:t>
      </w:r>
    </w:p>
    <w:p w:rsidR="005F1D50" w:rsidRPr="00AB7E06" w:rsidRDefault="005F1D50" w:rsidP="005F1D50">
      <w:pPr>
        <w:pStyle w:val="NoSpacing"/>
        <w:jc w:val="center"/>
        <w:rPr>
          <w:rFonts w:ascii="Cambria" w:hAnsi="Cambria"/>
        </w:rPr>
      </w:pPr>
    </w:p>
    <w:p w:rsidR="005F1D50" w:rsidRPr="00AB7E06" w:rsidRDefault="005F1D50" w:rsidP="005F1D50">
      <w:pPr>
        <w:pStyle w:val="NoSpacing"/>
        <w:jc w:val="center"/>
        <w:rPr>
          <w:rFonts w:ascii="Cambria" w:hAnsi="Cambria"/>
        </w:rPr>
      </w:pPr>
      <w:r w:rsidRPr="00AB7E06">
        <w:rPr>
          <w:rFonts w:ascii="Cambria" w:hAnsi="Cambria"/>
        </w:rPr>
        <w:t>Artículo 6 Prescripción</w:t>
      </w:r>
    </w:p>
    <w:p w:rsidR="005F1D50" w:rsidRPr="00AB7E06" w:rsidRDefault="005F1D50" w:rsidP="005F1D50">
      <w:pPr>
        <w:pStyle w:val="NoSpacing"/>
        <w:jc w:val="center"/>
        <w:rPr>
          <w:rFonts w:ascii="Cambria" w:hAnsi="Cambria"/>
        </w:rPr>
      </w:pPr>
      <w:r w:rsidRPr="00AB7E06">
        <w:rPr>
          <w:rFonts w:ascii="Cambria" w:hAnsi="Cambria"/>
        </w:rPr>
        <w:t>Artículo 7 Derecho Aplicable</w:t>
      </w:r>
    </w:p>
    <w:p w:rsidR="005F1D50" w:rsidRPr="00AB7E06" w:rsidRDefault="005F1D50" w:rsidP="005F1D50">
      <w:pPr>
        <w:pStyle w:val="NoSpacing"/>
        <w:jc w:val="center"/>
        <w:rPr>
          <w:rFonts w:ascii="Cambria" w:hAnsi="Cambria"/>
        </w:rPr>
      </w:pPr>
      <w:r w:rsidRPr="00AB7E06">
        <w:rPr>
          <w:rFonts w:ascii="Cambria" w:hAnsi="Cambria"/>
        </w:rPr>
        <w:t>Artículo 13 Consistencia con el Derecho Internacional</w:t>
      </w:r>
    </w:p>
    <w:p w:rsidR="004944D3" w:rsidRDefault="004944D3"/>
    <w:p w:rsidR="005F1D50" w:rsidRDefault="005F1D50"/>
    <w:p w:rsidR="005F1D50" w:rsidRPr="00AB7E06" w:rsidRDefault="005F1D50" w:rsidP="005F1D50">
      <w:pPr>
        <w:pStyle w:val="NoSpacing"/>
        <w:pBdr>
          <w:bottom w:val="single" w:sz="6" w:space="1" w:color="auto"/>
        </w:pBdr>
        <w:jc w:val="center"/>
        <w:rPr>
          <w:rFonts w:ascii="Cambria" w:hAnsi="Cambria"/>
        </w:rPr>
      </w:pPr>
      <w:r w:rsidRPr="00AB7E06">
        <w:rPr>
          <w:rFonts w:ascii="Cambria" w:hAnsi="Cambria"/>
        </w:rPr>
        <w:t>Ginebra, 16 de octubre</w:t>
      </w:r>
    </w:p>
    <w:p w:rsidR="005F1D50" w:rsidRDefault="005F1D50" w:rsidP="005F1D50">
      <w:pPr>
        <w:jc w:val="both"/>
        <w:rPr>
          <w:rFonts w:ascii="Cambria" w:hAnsi="Cambria"/>
        </w:rPr>
      </w:pPr>
    </w:p>
    <w:p w:rsidR="005F1D50" w:rsidRPr="002E38D4" w:rsidRDefault="005F1D50" w:rsidP="005F1D50">
      <w:pPr>
        <w:jc w:val="both"/>
        <w:rPr>
          <w:rFonts w:ascii="Cambria" w:hAnsi="Cambria"/>
        </w:rPr>
      </w:pPr>
      <w:r w:rsidRPr="002E38D4">
        <w:rPr>
          <w:rFonts w:ascii="Cambria" w:hAnsi="Cambria"/>
        </w:rPr>
        <w:t>Señor Presidente-Relator,</w:t>
      </w:r>
    </w:p>
    <w:p w:rsidR="005F1D50" w:rsidRPr="002E38D4" w:rsidRDefault="005F1D50" w:rsidP="005F1D50">
      <w:pPr>
        <w:jc w:val="both"/>
        <w:rPr>
          <w:rFonts w:ascii="Cambria" w:hAnsi="Cambria"/>
        </w:rPr>
      </w:pPr>
      <w:r w:rsidRPr="002E38D4">
        <w:rPr>
          <w:rFonts w:ascii="Cambria" w:hAnsi="Cambria"/>
        </w:rPr>
        <w:t xml:space="preserve">En primer </w:t>
      </w:r>
      <w:proofErr w:type="gramStart"/>
      <w:r w:rsidRPr="002E38D4">
        <w:rPr>
          <w:rFonts w:ascii="Cambria" w:hAnsi="Cambria"/>
        </w:rPr>
        <w:t>lugar</w:t>
      </w:r>
      <w:proofErr w:type="gramEnd"/>
      <w:r w:rsidRPr="002E38D4">
        <w:rPr>
          <w:rFonts w:ascii="Cambria" w:hAnsi="Cambria"/>
        </w:rPr>
        <w:t xml:space="preserve"> queremos agradecer la introducción de sobre los artículos del borrador del instrumento que serán discutidos hoy. En opinión de Chile, son temas de alta sensibilidad al tratar sobre aspectos jurídic</w:t>
      </w:r>
      <w:r>
        <w:rPr>
          <w:rFonts w:ascii="Cambria" w:hAnsi="Cambria"/>
        </w:rPr>
        <w:t>os, por lo cual</w:t>
      </w:r>
      <w:r w:rsidRPr="002E38D4">
        <w:rPr>
          <w:rFonts w:ascii="Cambria" w:hAnsi="Cambria"/>
        </w:rPr>
        <w:t xml:space="preserve"> se requiere lograr una redacción equilibrada y </w:t>
      </w:r>
      <w:r>
        <w:rPr>
          <w:rFonts w:ascii="Cambria" w:hAnsi="Cambria"/>
        </w:rPr>
        <w:t>que</w:t>
      </w:r>
      <w:r w:rsidRPr="002E38D4">
        <w:rPr>
          <w:rFonts w:ascii="Cambria" w:hAnsi="Cambria"/>
        </w:rPr>
        <w:t xml:space="preserve"> confiera obligaciones claras, sobre la base del derecho internacional y que logre generar </w:t>
      </w:r>
      <w:r>
        <w:rPr>
          <w:rFonts w:ascii="Cambria" w:hAnsi="Cambria"/>
        </w:rPr>
        <w:t xml:space="preserve">una </w:t>
      </w:r>
      <w:r w:rsidRPr="002E38D4">
        <w:rPr>
          <w:rFonts w:ascii="Cambria" w:hAnsi="Cambria"/>
        </w:rPr>
        <w:t>convergencia entre las diferencias partes involucradas en la negociación.</w:t>
      </w:r>
    </w:p>
    <w:p w:rsidR="005F1D50" w:rsidRDefault="005F1D50" w:rsidP="005F1D50">
      <w:pPr>
        <w:jc w:val="both"/>
        <w:rPr>
          <w:rFonts w:ascii="Cambria" w:eastAsia="Times New Roman" w:hAnsi="Cambria" w:cs="Times New Roman"/>
          <w:lang w:eastAsia="es-ES_tradnl"/>
        </w:rPr>
      </w:pPr>
      <w:r w:rsidRPr="00A41209">
        <w:rPr>
          <w:rFonts w:ascii="Cambria" w:hAnsi="Cambria"/>
          <w:u w:val="single"/>
        </w:rPr>
        <w:t>Respecto del artículo 6</w:t>
      </w:r>
      <w:r>
        <w:rPr>
          <w:rFonts w:ascii="Cambria" w:hAnsi="Cambria"/>
        </w:rPr>
        <w:t xml:space="preserve"> que trata de la Prescripción</w:t>
      </w:r>
      <w:r w:rsidRPr="002E38D4">
        <w:rPr>
          <w:rFonts w:ascii="Cambria" w:hAnsi="Cambria"/>
        </w:rPr>
        <w:t xml:space="preserve">, </w:t>
      </w:r>
      <w:r>
        <w:rPr>
          <w:rFonts w:ascii="Cambria" w:eastAsia="Times New Roman" w:hAnsi="Cambria" w:cs="Times New Roman"/>
          <w:lang w:eastAsia="es-ES_tradnl"/>
        </w:rPr>
        <w:t>estimamos no</w:t>
      </w:r>
      <w:r w:rsidRPr="002E38D4">
        <w:rPr>
          <w:rFonts w:ascii="Cambria" w:eastAsia="Times New Roman" w:hAnsi="Cambria" w:cs="Times New Roman"/>
          <w:lang w:eastAsia="es-ES_tradnl"/>
        </w:rPr>
        <w:t xml:space="preserve"> conveniente aludir a la imprescriptibilidad de los crímenes de derecho internacional, dado que la imprescriptibilidad de los crímenes de más grave trascendencia para la comunidad internacional (genocidio, crímenes de lesa humanidad y crímenes de guerra) ya constituye</w:t>
      </w:r>
      <w:r>
        <w:rPr>
          <w:rFonts w:ascii="Cambria" w:eastAsia="Times New Roman" w:hAnsi="Cambria" w:cs="Times New Roman"/>
          <w:lang w:eastAsia="es-ES_tradnl"/>
        </w:rPr>
        <w:t>n</w:t>
      </w:r>
      <w:r w:rsidRPr="002E38D4">
        <w:rPr>
          <w:rFonts w:ascii="Cambria" w:eastAsia="Times New Roman" w:hAnsi="Cambria" w:cs="Times New Roman"/>
          <w:lang w:eastAsia="es-ES_tradnl"/>
        </w:rPr>
        <w:t xml:space="preserve"> una norma consuetudina</w:t>
      </w:r>
      <w:r>
        <w:rPr>
          <w:rFonts w:ascii="Cambria" w:eastAsia="Times New Roman" w:hAnsi="Cambria" w:cs="Times New Roman"/>
          <w:lang w:eastAsia="es-ES_tradnl"/>
        </w:rPr>
        <w:t>ria vinculante para los Estados. P</w:t>
      </w:r>
      <w:r w:rsidRPr="002E38D4">
        <w:rPr>
          <w:rFonts w:ascii="Cambria" w:eastAsia="Times New Roman" w:hAnsi="Cambria" w:cs="Times New Roman"/>
          <w:lang w:eastAsia="es-ES_tradnl"/>
        </w:rPr>
        <w:t xml:space="preserve">ero no existe consenso sobre este punto en cuanto a otros ilícitos internacionales. </w:t>
      </w:r>
    </w:p>
    <w:p w:rsidR="005F1D50" w:rsidRPr="002E38D4" w:rsidRDefault="005F1D50" w:rsidP="005F1D50">
      <w:pPr>
        <w:jc w:val="both"/>
        <w:rPr>
          <w:rFonts w:ascii="Cambria" w:eastAsia="Times New Roman" w:hAnsi="Cambria" w:cs="Times New Roman"/>
          <w:lang w:eastAsia="es-ES_tradnl"/>
        </w:rPr>
      </w:pPr>
      <w:r w:rsidRPr="002E38D4">
        <w:rPr>
          <w:rFonts w:ascii="Cambria" w:eastAsia="Times New Roman" w:hAnsi="Cambria" w:cs="Times New Roman"/>
          <w:lang w:eastAsia="es-ES_tradnl"/>
        </w:rPr>
        <w:t xml:space="preserve">En este contexto, si esta norma se mantiene de la forma </w:t>
      </w:r>
      <w:r>
        <w:rPr>
          <w:rFonts w:ascii="Cambria" w:eastAsia="Times New Roman" w:hAnsi="Cambria" w:cs="Times New Roman"/>
          <w:lang w:eastAsia="es-ES_tradnl"/>
        </w:rPr>
        <w:t>redactada en el borrador del instrumento,</w:t>
      </w:r>
      <w:r w:rsidRPr="002E38D4">
        <w:rPr>
          <w:rFonts w:ascii="Cambria" w:eastAsia="Times New Roman" w:hAnsi="Cambria" w:cs="Times New Roman"/>
          <w:lang w:eastAsia="es-ES_tradnl"/>
        </w:rPr>
        <w:t xml:space="preserve"> existe una </w:t>
      </w:r>
      <w:r>
        <w:rPr>
          <w:rFonts w:ascii="Cambria" w:eastAsia="Times New Roman" w:hAnsi="Cambria" w:cs="Times New Roman"/>
          <w:lang w:eastAsia="es-ES_tradnl"/>
        </w:rPr>
        <w:t>alta</w:t>
      </w:r>
      <w:r w:rsidRPr="002E38D4">
        <w:rPr>
          <w:rFonts w:ascii="Cambria" w:eastAsia="Times New Roman" w:hAnsi="Cambria" w:cs="Times New Roman"/>
          <w:lang w:eastAsia="es-ES_tradnl"/>
        </w:rPr>
        <w:t xml:space="preserve"> posibilidad de que los tipos penales cubiertos por</w:t>
      </w:r>
      <w:r>
        <w:rPr>
          <w:rFonts w:ascii="Cambria" w:eastAsia="Times New Roman" w:hAnsi="Cambria" w:cs="Times New Roman"/>
          <w:lang w:eastAsia="es-ES_tradnl"/>
        </w:rPr>
        <w:t xml:space="preserve"> la disposición sean materia controversia entre los Estados, quitando impulso al enfoque primordial del instrumento. </w:t>
      </w:r>
    </w:p>
    <w:p w:rsidR="005F1D50" w:rsidRPr="0086745C" w:rsidRDefault="005F1D50" w:rsidP="005F1D50">
      <w:pPr>
        <w:jc w:val="both"/>
        <w:rPr>
          <w:rFonts w:ascii="Cambria" w:eastAsia="Times New Roman" w:hAnsi="Cambria" w:cs="Times New Roman"/>
          <w:lang w:eastAsia="es-ES_tradnl"/>
        </w:rPr>
      </w:pPr>
      <w:r>
        <w:rPr>
          <w:rFonts w:ascii="Cambria" w:eastAsia="Times New Roman" w:hAnsi="Cambria" w:cs="Times New Roman"/>
          <w:lang w:eastAsia="es-ES_tradnl"/>
        </w:rPr>
        <w:t xml:space="preserve">Adicionalmente, </w:t>
      </w:r>
      <w:r w:rsidRPr="002E38D4">
        <w:rPr>
          <w:rFonts w:ascii="Cambria" w:hAnsi="Cambria"/>
        </w:rPr>
        <w:t xml:space="preserve">creemos que el texto contiene una serie de adjetivos que </w:t>
      </w:r>
      <w:r>
        <w:rPr>
          <w:rFonts w:ascii="Cambria" w:hAnsi="Cambria"/>
        </w:rPr>
        <w:t xml:space="preserve">requieren explicase el </w:t>
      </w:r>
      <w:proofErr w:type="spellStart"/>
      <w:r>
        <w:rPr>
          <w:rFonts w:ascii="Cambria" w:hAnsi="Cambria"/>
        </w:rPr>
        <w:t>por qué</w:t>
      </w:r>
      <w:proofErr w:type="spellEnd"/>
      <w:r>
        <w:rPr>
          <w:rFonts w:ascii="Cambria" w:hAnsi="Cambria"/>
        </w:rPr>
        <w:t xml:space="preserve"> de su</w:t>
      </w:r>
      <w:r w:rsidRPr="002E38D4">
        <w:rPr>
          <w:rFonts w:ascii="Cambria" w:hAnsi="Cambria"/>
        </w:rPr>
        <w:t xml:space="preserve"> inclusión o considerar su eliminaci</w:t>
      </w:r>
      <w:r>
        <w:rPr>
          <w:rFonts w:ascii="Cambria" w:hAnsi="Cambria"/>
        </w:rPr>
        <w:t>ón del texto. Me refiero a términos que aparecen en este artículo como “excesivamente restrictivas”, “plazo adecuado” y “particularmente en casos ocurridos en el exterior”.</w:t>
      </w:r>
    </w:p>
    <w:p w:rsidR="005F1D50" w:rsidRDefault="005F1D50" w:rsidP="005F1D50">
      <w:pPr>
        <w:jc w:val="both"/>
        <w:rPr>
          <w:rFonts w:ascii="Cambria" w:hAnsi="Cambria"/>
        </w:rPr>
      </w:pPr>
      <w:r w:rsidRPr="00A41209">
        <w:rPr>
          <w:rFonts w:ascii="Cambria" w:hAnsi="Cambria"/>
          <w:u w:val="single"/>
        </w:rPr>
        <w:t>Sobre el artículo 7</w:t>
      </w:r>
      <w:r>
        <w:rPr>
          <w:rFonts w:ascii="Cambria" w:hAnsi="Cambria"/>
        </w:rPr>
        <w:t xml:space="preserve">, derecho aplicable. Estimamos que se requieren mayores precisiones sobre la redacción del artículo, dado que versa sobre aspectos de sustancia y procedimiento, y en nuestra opinión, está escrito de forma abierta, lo que podría originar posibles divergencias de interpretación y posteriores controversias entre las partes. </w:t>
      </w:r>
    </w:p>
    <w:p w:rsidR="005F1D50" w:rsidRDefault="005F1D50" w:rsidP="005F1D5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Consideramos que debe darse un debate sobre la pertinencia de incluir el parágrafo 2, en el cual se considera la inclusión en el texto que, a petición de las víctimas, </w:t>
      </w:r>
      <w:proofErr w:type="gramStart"/>
      <w:r>
        <w:rPr>
          <w:rFonts w:ascii="Cambria" w:hAnsi="Cambria"/>
        </w:rPr>
        <w:t>las reclamaciones formuladas ante un tribunal competente se podrá</w:t>
      </w:r>
      <w:proofErr w:type="gramEnd"/>
      <w:r>
        <w:rPr>
          <w:rFonts w:ascii="Cambria" w:hAnsi="Cambria"/>
        </w:rPr>
        <w:t xml:space="preserve"> regir por la legislación de la Parte donde esté domiciliada la persona implicada en las actividades empresariales de carácter transnacional. Más allá de posibles mecanismos de cooperación y de asistencia que puedan existir, resultará un procedimiento complejo y el cual podría prestarse a una serie abusos de interpretación.</w:t>
      </w:r>
    </w:p>
    <w:p w:rsidR="005F1D50" w:rsidRPr="0025219E" w:rsidRDefault="005F1D50" w:rsidP="005F1D50">
      <w:pPr>
        <w:jc w:val="both"/>
        <w:rPr>
          <w:rFonts w:ascii="Cambria" w:eastAsia="Times New Roman" w:hAnsi="Cambria" w:cs="Times New Roman"/>
          <w:lang w:eastAsia="es-ES_tradnl"/>
        </w:rPr>
      </w:pPr>
      <w:r>
        <w:rPr>
          <w:rFonts w:ascii="Cambria" w:eastAsia="Times New Roman" w:hAnsi="Cambria" w:cs="Times New Roman"/>
          <w:lang w:eastAsia="es-ES_tradnl"/>
        </w:rPr>
        <w:lastRenderedPageBreak/>
        <w:t>En efecto, una de las interpretaciones que se pueden obtener de este parágrafo es que</w:t>
      </w:r>
      <w:r w:rsidRPr="002E38D4">
        <w:rPr>
          <w:rFonts w:ascii="Cambria" w:eastAsia="Times New Roman" w:hAnsi="Cambria" w:cs="Times New Roman"/>
          <w:lang w:eastAsia="es-ES_tradnl"/>
        </w:rPr>
        <w:t xml:space="preserve"> las reclamaciones por violaciones de derechos humanos pueden ser conocidas por los tribunales de un país distinto al de comisión los hechos, y que ellos podrían llegar a aplicar su propio derecho nacional sustantivo para evaluar la conducta de la empresa, si sus disposiciones internas relativas al conflicto de leyes lo llegaran a permitir. Ello también implicaría, indirectamente, una evaluación de la conducta del Estado donde ocurrieron los hechos.</w:t>
      </w:r>
    </w:p>
    <w:p w:rsidR="005F1D50" w:rsidRPr="00487F0E" w:rsidRDefault="005F1D50" w:rsidP="005F1D50">
      <w:pPr>
        <w:jc w:val="both"/>
        <w:rPr>
          <w:rFonts w:ascii="Cambria" w:eastAsia="Times New Roman" w:hAnsi="Cambria" w:cs="Times New Roman"/>
          <w:lang w:eastAsia="es-ES_tradnl"/>
        </w:rPr>
      </w:pPr>
      <w:r w:rsidRPr="00A41209">
        <w:rPr>
          <w:rFonts w:ascii="Cambria" w:hAnsi="Cambria"/>
          <w:u w:val="single"/>
        </w:rPr>
        <w:t>En relación al artículo 13, Consistencia con el Derecho Internacional</w:t>
      </w:r>
      <w:r w:rsidRPr="00A41209">
        <w:rPr>
          <w:rFonts w:ascii="Cambria" w:hAnsi="Cambria"/>
        </w:rPr>
        <w:t xml:space="preserve"> </w:t>
      </w:r>
      <w:r>
        <w:rPr>
          <w:rFonts w:ascii="Cambria" w:hAnsi="Cambria"/>
        </w:rPr>
        <w:t>E</w:t>
      </w:r>
      <w:r w:rsidRPr="00A41209">
        <w:rPr>
          <w:rFonts w:ascii="Cambria" w:hAnsi="Cambria"/>
        </w:rPr>
        <w:t xml:space="preserve">ntendemos </w:t>
      </w:r>
      <w:r w:rsidRPr="00A41209">
        <w:rPr>
          <w:rFonts w:ascii="Cambria" w:eastAsia="Times New Roman" w:hAnsi="Cambria" w:cs="Times New Roman"/>
          <w:lang w:eastAsia="es-ES_tradnl"/>
        </w:rPr>
        <w:t xml:space="preserve">que este artículo </w:t>
      </w:r>
      <w:r w:rsidRPr="00487F0E">
        <w:rPr>
          <w:rFonts w:ascii="Cambria" w:eastAsia="Times New Roman" w:hAnsi="Cambria" w:cs="Times New Roman"/>
          <w:lang w:eastAsia="es-ES_tradnl"/>
        </w:rPr>
        <w:t xml:space="preserve">debería </w:t>
      </w:r>
      <w:r>
        <w:rPr>
          <w:rFonts w:ascii="Cambria" w:eastAsia="Times New Roman" w:hAnsi="Cambria" w:cs="Times New Roman"/>
          <w:lang w:eastAsia="es-ES_tradnl"/>
        </w:rPr>
        <w:t>referirse sólo a</w:t>
      </w:r>
      <w:r w:rsidRPr="00487F0E">
        <w:rPr>
          <w:rFonts w:ascii="Cambria" w:eastAsia="Times New Roman" w:hAnsi="Cambria" w:cs="Times New Roman"/>
          <w:lang w:eastAsia="es-ES_tradnl"/>
        </w:rPr>
        <w:t xml:space="preserve"> lo dispuesto en el Art. 31.3.c. de la Convención de Vien</w:t>
      </w:r>
      <w:r>
        <w:rPr>
          <w:rFonts w:ascii="Cambria" w:eastAsia="Times New Roman" w:hAnsi="Cambria" w:cs="Times New Roman"/>
          <w:lang w:eastAsia="es-ES_tradnl"/>
        </w:rPr>
        <w:t>a sobre Derecho de los Tratados.</w:t>
      </w:r>
    </w:p>
    <w:p w:rsidR="005F1D50" w:rsidRPr="00AB7E06" w:rsidRDefault="005F1D50" w:rsidP="005F1D50">
      <w:pPr>
        <w:jc w:val="both"/>
        <w:rPr>
          <w:rFonts w:ascii="Cambria" w:hAnsi="Cambria"/>
        </w:rPr>
      </w:pPr>
    </w:p>
    <w:p w:rsidR="005F1D50" w:rsidRPr="00AB7E06" w:rsidRDefault="005F1D50" w:rsidP="005F1D50">
      <w:pPr>
        <w:jc w:val="both"/>
        <w:rPr>
          <w:rFonts w:ascii="Cambria" w:hAnsi="Cambria"/>
        </w:rPr>
      </w:pPr>
    </w:p>
    <w:p w:rsidR="005F1D50" w:rsidRPr="00AB7E06" w:rsidRDefault="005F1D50" w:rsidP="005F1D50">
      <w:pPr>
        <w:jc w:val="both"/>
        <w:rPr>
          <w:rFonts w:ascii="Cambria" w:hAnsi="Cambria"/>
        </w:rPr>
      </w:pPr>
    </w:p>
    <w:p w:rsidR="005F1D50" w:rsidRPr="00AB7E06" w:rsidRDefault="005F1D50" w:rsidP="005F1D50">
      <w:pPr>
        <w:jc w:val="both"/>
        <w:rPr>
          <w:rFonts w:ascii="Cambria" w:hAnsi="Cambria"/>
        </w:rPr>
      </w:pPr>
    </w:p>
    <w:p w:rsidR="005F1D50" w:rsidRPr="00AB7E06" w:rsidRDefault="005F1D50" w:rsidP="005F1D50">
      <w:pPr>
        <w:jc w:val="both"/>
        <w:rPr>
          <w:rFonts w:ascii="Cambria" w:hAnsi="Cambria"/>
        </w:rPr>
      </w:pPr>
    </w:p>
    <w:p w:rsidR="005F1D50" w:rsidRPr="00AB7E06" w:rsidRDefault="005F1D50" w:rsidP="005F1D50">
      <w:pPr>
        <w:jc w:val="both"/>
        <w:rPr>
          <w:rFonts w:ascii="Cambria" w:hAnsi="Cambria"/>
        </w:rPr>
      </w:pPr>
    </w:p>
    <w:p w:rsidR="005F1D50" w:rsidRPr="005F1D50" w:rsidRDefault="005F1D50">
      <w:bookmarkStart w:id="0" w:name="_GoBack"/>
      <w:bookmarkEnd w:id="0"/>
    </w:p>
    <w:sectPr w:rsidR="005F1D50" w:rsidRPr="005F1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50"/>
    <w:rsid w:val="004944D3"/>
    <w:rsid w:val="005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0FCF"/>
  <w15:chartTrackingRefBased/>
  <w15:docId w15:val="{70138985-4459-48B1-803F-64189D02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D5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D5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E0140A-3A91-42D8-808D-BFE1309632A3}"/>
</file>

<file path=customXml/itemProps2.xml><?xml version="1.0" encoding="utf-8"?>
<ds:datastoreItem xmlns:ds="http://schemas.openxmlformats.org/officeDocument/2006/customXml" ds:itemID="{7637F7DB-EE56-41B9-A9BE-399C46A94B74}"/>
</file>

<file path=customXml/itemProps3.xml><?xml version="1.0" encoding="utf-8"?>
<ds:datastoreItem xmlns:ds="http://schemas.openxmlformats.org/officeDocument/2006/customXml" ds:itemID="{13927CA0-9957-4820-B31F-5133954FFA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2019-01-08T13:46:00Z</dcterms:created>
  <dcterms:modified xsi:type="dcterms:W3CDTF">2019-01-08T13:46:00Z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