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9D4" w:rsidRPr="006521DB" w:rsidRDefault="006521DB" w:rsidP="006521D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/>
          <w:sz w:val="28"/>
          <w:szCs w:val="28"/>
          <w:u w:color="000000"/>
          <w:lang w:val="en-US"/>
        </w:rPr>
      </w:pPr>
      <w:r w:rsidRPr="006521DB">
        <w:rPr>
          <w:rFonts w:ascii="Times New Roman" w:hAnsi="Times New Roman"/>
          <w:noProof/>
          <w:sz w:val="28"/>
          <w:szCs w:val="28"/>
          <w:u w:color="000000"/>
        </w:rPr>
        <w:drawing>
          <wp:inline distT="0" distB="0" distL="0" distR="0" wp14:anchorId="2CB5F320" wp14:editId="5B3CDB27">
            <wp:extent cx="786765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9D4" w:rsidRPr="006521DB" w:rsidRDefault="00DD6013" w:rsidP="006521D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en-US"/>
        </w:rPr>
      </w:pPr>
      <w:r w:rsidRPr="006521DB">
        <w:rPr>
          <w:rFonts w:ascii="Times New Roman" w:hAnsi="Times New Roman"/>
          <w:b/>
          <w:bCs/>
          <w:i/>
          <w:iCs/>
          <w:sz w:val="28"/>
          <w:szCs w:val="28"/>
          <w:u w:color="000000"/>
          <w:lang w:val="en-US"/>
        </w:rPr>
        <w:t>Permanent Mission of Brazil to the United Nations in Geneva</w:t>
      </w:r>
    </w:p>
    <w:p w:rsidR="00301513" w:rsidRDefault="003015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</w:p>
    <w:p w:rsidR="006521DB" w:rsidRPr="006521DB" w:rsidRDefault="003015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Human Rights Council</w:t>
      </w:r>
    </w:p>
    <w:p w:rsidR="00DD6013" w:rsidRDefault="00DD60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</w:p>
    <w:p w:rsidR="00DD6013" w:rsidRDefault="003015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  <w:r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Open Ended Working Group on the elaboration of </w:t>
      </w:r>
      <w:proofErr w:type="spellStart"/>
      <w:r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a</w:t>
      </w:r>
      <w:proofErr w:type="spellEnd"/>
      <w:r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international legally binding instrument on transnational corporations and other business enterprises with respect to human rights</w:t>
      </w: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– </w:t>
      </w:r>
      <w:r w:rsidR="002723EA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OEIGWG – </w:t>
      </w: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4</w:t>
      </w:r>
      <w:r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session</w:t>
      </w:r>
    </w:p>
    <w:p w:rsidR="00301513" w:rsidRDefault="003015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</w:p>
    <w:p w:rsidR="00D429D4" w:rsidRPr="006521DB" w:rsidRDefault="00301513" w:rsidP="006521DB">
      <w:pPr>
        <w:pStyle w:val="Pardfau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October</w:t>
      </w:r>
      <w:r w:rsidR="00DD6013" w:rsidRPr="006521DB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1</w:t>
      </w: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5</w:t>
      </w:r>
      <w:r w:rsidR="00DD6013"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DD6013" w:rsidRPr="006521DB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2018</w:t>
      </w:r>
    </w:p>
    <w:p w:rsidR="00D429D4" w:rsidRDefault="00D429D4" w:rsidP="006521DB">
      <w:pPr>
        <w:pStyle w:val="Pardfaut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</w:p>
    <w:p w:rsidR="00D429D4" w:rsidRDefault="00D429D4" w:rsidP="006521DB">
      <w:pPr>
        <w:pStyle w:val="Pardfau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6521DB" w:rsidRDefault="006521DB" w:rsidP="00DD6013">
      <w:pPr>
        <w:pStyle w:val="Pardfau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Mr. President,</w:t>
      </w:r>
    </w:p>
    <w:p w:rsidR="006521DB" w:rsidRPr="006521DB" w:rsidRDefault="006521DB" w:rsidP="006521DB">
      <w:pPr>
        <w:pStyle w:val="Pardfau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 take this opportun</w:t>
      </w:r>
      <w:bookmarkStart w:id="0" w:name="_GoBack"/>
      <w:bookmarkEnd w:id="0"/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ity to congratulate Ambassador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Luis Gallegos for his election as the chair of the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Open Ended Working Group on the elaboration of </w:t>
      </w:r>
      <w:proofErr w:type="spellStart"/>
      <w:proofErr w:type="gramStart"/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</w:t>
      </w:r>
      <w:proofErr w:type="spellEnd"/>
      <w:proofErr w:type="gramEnd"/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international legally binding instrument on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transnational corporations and other business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enterprises with respect to human rights.</w:t>
      </w: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 would like to thank Ecuador for presenting the zero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draft of the binding instrument on business and human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rights.</w:t>
      </w: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As Brazil has highlighted on previous occasions, we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reiterate our view that limiting the scope of the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instrument to transnational activities of companies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may create protection gaps and render implementation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ineffective. In line with the Guiding Principles on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Business and Human Rights (UNGPs), an internationally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binding instrument should apply to all business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enterprises, regardless of size, sector, location,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ownership and structure.</w:t>
      </w: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Brazil believes that the UNGPs should be the basis for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future binding instrument. We should build on the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existing guidelines to elaborate the normative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framework for business enterprises, in all their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activities. In this regard, we believe that the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proposed definition of "transnational activities"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gives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rise to the perception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lastRenderedPageBreak/>
        <w:t>that certain categories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of companies are not obliged to follow human rights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standards and that states need not regulate them.</w:t>
      </w: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We are pleased to note that the draft text addresses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crucial area of prevention, in order to avoid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human rights violations 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and abuses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from occurring in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first place. In this sense, Brazil shares the view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that states hold the primary responsibility under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international law for the promotion and protection of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human rights. We also believe that it is incumbent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upon governments to exercise due diligence to prevent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violations and abuses and ensure accountability for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actions of business enterprises that take place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within its territory or jurisdiction.</w:t>
      </w: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As the draft currently stands, however, it is not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clear to us how due diligence measures can be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undertaken on the "transnational activities" of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business enterprises, since these business operations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by definition normally take place in other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jurisdictions. The text appears, also, to be silent on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question of due diligence on local business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activities of transnational enterprises, which may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also have a bearing on human rights.</w:t>
      </w: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Likewise, Brazil considers that the definition of the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appropriate jurisdiction, the applicable law and the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consistency of international obligations are central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to the operationalization of the proposed agreement.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We understand that the "international activities"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undertaken by business enterprises poses challenges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for state authorities in the enforcement of human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rights standards, which merits special consideration.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As contained in the draft, the proposed disciplines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raise risks of unwarranted litigation, forum shopping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and legal uncertainty which may hamper business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activities, without necessarily protecting the human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rights of affected individuals.</w:t>
      </w: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Given the complexity of the issues raised in the draft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binding instrument and the potential impact on foreign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activities of business enterprises, Brazil believes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that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lastRenderedPageBreak/>
        <w:t>we must proceed with caution in our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deliberations, building consensus and bridging gaps to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reach a common understanding.</w:t>
      </w: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 this regard, we welcome the initiative taken by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Ecuador to publish the proposed work program for the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current OEIWG meeting, together with draft program for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next session.</w:t>
      </w:r>
    </w:p>
    <w:p w:rsidR="003F3F44" w:rsidRPr="003F3F44" w:rsidRDefault="003F3F44" w:rsidP="00301513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D429D4" w:rsidRPr="006521DB" w:rsidRDefault="003F3F44" w:rsidP="00301513">
      <w:pPr>
        <w:pStyle w:val="Pardfau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Brazil is convinced that the current session can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contribute to improve our understanding of the draft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and promote convergence between negotiating parties.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There is a long road ahead. We are ready to engage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constructively with member states and civil society 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on this important matter</w:t>
      </w:r>
      <w:r w:rsidRPr="003F3F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.</w:t>
      </w:r>
    </w:p>
    <w:p w:rsidR="00D429D4" w:rsidRPr="006521DB" w:rsidRDefault="00D429D4" w:rsidP="00301513">
      <w:pPr>
        <w:pStyle w:val="Pardfau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D429D4" w:rsidRDefault="006521DB" w:rsidP="00301513">
      <w:pPr>
        <w:pStyle w:val="Pardfau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 thank you.</w:t>
      </w:r>
    </w:p>
    <w:p w:rsidR="006521DB" w:rsidRPr="006521DB" w:rsidRDefault="006521DB" w:rsidP="006521DB">
      <w:pPr>
        <w:pStyle w:val="Pardfau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D429D4" w:rsidRPr="006521DB" w:rsidRDefault="00DD6013" w:rsidP="006521DB">
      <w:pPr>
        <w:pStyle w:val="Pardfaut"/>
        <w:ind w:firstLine="709"/>
        <w:jc w:val="right"/>
        <w:rPr>
          <w:rFonts w:hint="eastAsia"/>
          <w:sz w:val="28"/>
          <w:szCs w:val="28"/>
          <w:lang w:val="en-US"/>
        </w:rPr>
      </w:pPr>
      <w:r w:rsidRPr="006521DB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(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556</w:t>
      </w:r>
      <w:r w:rsidRPr="006521DB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words)</w:t>
      </w:r>
    </w:p>
    <w:sectPr w:rsidR="00D429D4" w:rsidRPr="006521D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50" w:rsidRDefault="00DD6013">
      <w:r>
        <w:separator/>
      </w:r>
    </w:p>
  </w:endnote>
  <w:endnote w:type="continuationSeparator" w:id="0">
    <w:p w:rsidR="000A4E50" w:rsidRDefault="00DD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D4" w:rsidRDefault="00D429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50" w:rsidRDefault="00DD6013">
      <w:r>
        <w:separator/>
      </w:r>
    </w:p>
  </w:footnote>
  <w:footnote w:type="continuationSeparator" w:id="0">
    <w:p w:rsidR="000A4E50" w:rsidRDefault="00DD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D4" w:rsidRDefault="00D429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29D4"/>
    <w:rsid w:val="000A4E50"/>
    <w:rsid w:val="002723EA"/>
    <w:rsid w:val="00301513"/>
    <w:rsid w:val="003F3F44"/>
    <w:rsid w:val="006521DB"/>
    <w:rsid w:val="006F72A8"/>
    <w:rsid w:val="00D429D4"/>
    <w:rsid w:val="00D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8B3CDE-18EB-415F-9AFF-7FA52B1A1807}"/>
</file>

<file path=customXml/itemProps2.xml><?xml version="1.0" encoding="utf-8"?>
<ds:datastoreItem xmlns:ds="http://schemas.openxmlformats.org/officeDocument/2006/customXml" ds:itemID="{E6719BF0-5883-4526-A0FE-46CE22EBD482}"/>
</file>

<file path=customXml/itemProps3.xml><?xml version="1.0" encoding="utf-8"?>
<ds:datastoreItem xmlns:ds="http://schemas.openxmlformats.org/officeDocument/2006/customXml" ds:itemID="{42CECBCB-12B6-4695-89CF-3E4F86293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Canário de Oliveira</dc:creator>
  <cp:lastModifiedBy>Marcia Canário de Oliveira</cp:lastModifiedBy>
  <cp:revision>2</cp:revision>
  <cp:lastPrinted>2018-10-15T07:18:00Z</cp:lastPrinted>
  <dcterms:created xsi:type="dcterms:W3CDTF">2018-10-15T07:27:00Z</dcterms:created>
  <dcterms:modified xsi:type="dcterms:W3CDTF">2018-10-15T07:27:00Z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