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4B4" w:rsidRPr="0006183F" w:rsidRDefault="001924B4">
      <w:pPr>
        <w:spacing w:after="0" w:line="240" w:lineRule="auto"/>
        <w:jc w:val="both"/>
        <w:rPr>
          <w:rFonts w:ascii="Times New Roman" w:hAnsi="Times New Roman" w:cs="Times New Roman"/>
          <w:b/>
          <w:bCs/>
          <w:sz w:val="20"/>
          <w:szCs w:val="20"/>
          <w:lang w:val="es-ES"/>
        </w:rPr>
      </w:pPr>
    </w:p>
    <w:p w:rsidR="001924B4" w:rsidRPr="0006183F" w:rsidRDefault="001924B4" w:rsidP="001924B4">
      <w:pPr>
        <w:shd w:val="clear" w:color="auto" w:fill="FFFFFF"/>
        <w:jc w:val="center"/>
        <w:outlineLvl w:val="1"/>
        <w:rPr>
          <w:rFonts w:ascii="Times New Roman" w:eastAsia="Calibri" w:hAnsi="Times New Roman" w:cs="Times New Roman"/>
          <w:b/>
          <w:bCs/>
          <w:color w:val="303030"/>
          <w:sz w:val="20"/>
          <w:szCs w:val="20"/>
          <w:shd w:val="clear" w:color="auto" w:fill="FFFFFF"/>
          <w:lang w:val="es-ES"/>
        </w:rPr>
      </w:pPr>
      <w:r w:rsidRPr="0006183F">
        <w:rPr>
          <w:rFonts w:ascii="Times New Roman" w:eastAsia="Calibri" w:hAnsi="Times New Roman" w:cs="Times New Roman"/>
          <w:b/>
          <w:bCs/>
          <w:color w:val="303030"/>
          <w:sz w:val="20"/>
          <w:szCs w:val="20"/>
          <w:shd w:val="clear" w:color="auto" w:fill="FFFFFF"/>
          <w:lang w:val="es-ES"/>
        </w:rPr>
        <w:t>Open-ended intergovernmental working group on transnational corporations and other business enterprises with respect to human rights</w:t>
      </w:r>
    </w:p>
    <w:p w:rsidR="001924B4" w:rsidRPr="0006183F" w:rsidRDefault="001924B4" w:rsidP="001924B4">
      <w:pPr>
        <w:shd w:val="clear" w:color="auto" w:fill="FFFFFF"/>
        <w:jc w:val="center"/>
        <w:outlineLvl w:val="1"/>
        <w:rPr>
          <w:rFonts w:ascii="Times New Roman" w:eastAsia="Calibri" w:hAnsi="Times New Roman" w:cs="Times New Roman"/>
          <w:b/>
          <w:bCs/>
          <w:color w:val="303030"/>
          <w:sz w:val="20"/>
          <w:szCs w:val="20"/>
          <w:shd w:val="clear" w:color="auto" w:fill="FFFFFF"/>
          <w:lang w:val="es-ES"/>
        </w:rPr>
      </w:pPr>
    </w:p>
    <w:p w:rsidR="001924B4" w:rsidRPr="0006183F" w:rsidRDefault="001924B4" w:rsidP="001924B4">
      <w:pPr>
        <w:shd w:val="clear" w:color="auto" w:fill="FFFFFF"/>
        <w:jc w:val="center"/>
        <w:outlineLvl w:val="1"/>
        <w:rPr>
          <w:rFonts w:ascii="Times New Roman" w:hAnsi="Times New Roman" w:cs="Times New Roman"/>
          <w:b/>
          <w:i/>
          <w:sz w:val="20"/>
          <w:szCs w:val="20"/>
          <w:u w:val="single"/>
          <w:lang w:val="es-ES"/>
        </w:rPr>
      </w:pPr>
      <w:r w:rsidRPr="0006183F">
        <w:rPr>
          <w:rFonts w:ascii="Times New Roman" w:eastAsia="Calibri" w:hAnsi="Times New Roman" w:cs="Times New Roman"/>
          <w:b/>
          <w:bCs/>
          <w:i/>
          <w:color w:val="303030"/>
          <w:sz w:val="20"/>
          <w:szCs w:val="20"/>
          <w:shd w:val="clear" w:color="auto" w:fill="FFFFFF"/>
          <w:lang w:val="es-ES"/>
        </w:rPr>
        <w:t>Second session, 24 – 28 October 2016</w:t>
      </w:r>
    </w:p>
    <w:p w:rsidR="001924B4" w:rsidRPr="0006183F" w:rsidRDefault="001924B4" w:rsidP="001924B4">
      <w:pPr>
        <w:shd w:val="clear" w:color="auto" w:fill="FFFFFF"/>
        <w:jc w:val="center"/>
        <w:outlineLvl w:val="1"/>
        <w:rPr>
          <w:rFonts w:ascii="Times New Roman" w:hAnsi="Times New Roman" w:cs="Times New Roman"/>
          <w:b/>
          <w:bCs/>
          <w:color w:val="303030"/>
          <w:sz w:val="20"/>
          <w:szCs w:val="20"/>
          <w:lang w:val="es-ES"/>
        </w:rPr>
      </w:pPr>
      <w:r w:rsidRPr="0006183F">
        <w:rPr>
          <w:rFonts w:ascii="Times New Roman" w:hAnsi="Times New Roman" w:cs="Times New Roman"/>
          <w:b/>
          <w:sz w:val="20"/>
          <w:szCs w:val="20"/>
          <w:u w:val="single"/>
          <w:lang w:val="es-ES"/>
        </w:rPr>
        <w:t xml:space="preserve"> </w:t>
      </w:r>
    </w:p>
    <w:p w:rsidR="001924B4" w:rsidRPr="0006183F" w:rsidRDefault="001924B4" w:rsidP="001924B4">
      <w:pPr>
        <w:jc w:val="center"/>
        <w:rPr>
          <w:rFonts w:ascii="Times New Roman" w:hAnsi="Times New Roman" w:cs="Times New Roman"/>
          <w:b/>
          <w:sz w:val="20"/>
          <w:szCs w:val="20"/>
          <w:u w:val="single"/>
          <w:lang w:val="es-ES"/>
        </w:rPr>
      </w:pPr>
      <w:r w:rsidRPr="0006183F">
        <w:rPr>
          <w:rFonts w:ascii="Times New Roman" w:hAnsi="Times New Roman" w:cs="Times New Roman"/>
          <w:b/>
          <w:sz w:val="20"/>
          <w:szCs w:val="20"/>
          <w:u w:val="single"/>
          <w:lang w:val="es-ES"/>
        </w:rPr>
        <w:t>FORM for NGOs and other relevant stakeholders submitting a written contribution</w:t>
      </w:r>
    </w:p>
    <w:p w:rsidR="001924B4" w:rsidRPr="0006183F" w:rsidRDefault="001924B4" w:rsidP="001924B4">
      <w:pPr>
        <w:rPr>
          <w:rFonts w:ascii="Times New Roman" w:hAnsi="Times New Roman" w:cs="Times New Roman"/>
          <w:sz w:val="20"/>
          <w:szCs w:val="20"/>
          <w:lang w:val="es-ES"/>
        </w:rPr>
      </w:pPr>
    </w:p>
    <w:p w:rsidR="001924B4" w:rsidRPr="0006183F" w:rsidRDefault="001924B4" w:rsidP="001924B4">
      <w:pPr>
        <w:rPr>
          <w:rFonts w:ascii="Times New Roman" w:hAnsi="Times New Roman" w:cs="Times New Roman"/>
          <w:sz w:val="20"/>
          <w:szCs w:val="20"/>
          <w:lang w:val="es-ES"/>
        </w:rPr>
      </w:pPr>
      <w:r w:rsidRPr="0006183F">
        <w:rPr>
          <w:rFonts w:ascii="Times New Roman" w:hAnsi="Times New Roman" w:cs="Times New Roman"/>
          <w:sz w:val="20"/>
          <w:szCs w:val="20"/>
          <w:lang w:val="es-ES"/>
        </w:rPr>
        <w:t>Please note that the written contribution is formatted and issued, unedited, in the language(s) received from the submitting organization (it should be submitted in one of the official UN languages).</w:t>
      </w:r>
    </w:p>
    <w:p w:rsidR="001924B4" w:rsidRPr="0006183F" w:rsidRDefault="001924B4" w:rsidP="001924B4">
      <w:pPr>
        <w:autoSpaceDE w:val="0"/>
        <w:autoSpaceDN w:val="0"/>
        <w:adjustRightInd w:val="0"/>
        <w:spacing w:before="120" w:after="120"/>
        <w:jc w:val="both"/>
        <w:rPr>
          <w:rFonts w:ascii="Times New Roman" w:hAnsi="Times New Roman" w:cs="Times New Roman"/>
          <w:sz w:val="20"/>
          <w:szCs w:val="20"/>
          <w:lang w:val="es-ES"/>
        </w:rPr>
      </w:pPr>
      <w:r w:rsidRPr="0006183F">
        <w:rPr>
          <w:rFonts w:ascii="Times New Roman" w:hAnsi="Times New Roman" w:cs="Times New Roman"/>
          <w:sz w:val="20"/>
          <w:szCs w:val="20"/>
          <w:lang w:val="es-ES"/>
        </w:rPr>
        <w:t xml:space="preserve">In order for your contribution to be published on the OEIWG web page prior to the session, the deadline for submission is 30 September 2016. All submissions are final. </w:t>
      </w:r>
    </w:p>
    <w:p w:rsidR="001924B4" w:rsidRPr="0006183F" w:rsidRDefault="001924B4" w:rsidP="001924B4">
      <w:pPr>
        <w:rPr>
          <w:rFonts w:ascii="Times New Roman" w:hAnsi="Times New Roman" w:cs="Times New Roman"/>
          <w:sz w:val="20"/>
          <w:szCs w:val="20"/>
          <w:lang w:val="es-ES"/>
        </w:rPr>
      </w:pPr>
      <w:r w:rsidRPr="0006183F">
        <w:rPr>
          <w:rFonts w:ascii="Times New Roman" w:hAnsi="Times New Roman" w:cs="Times New Roman"/>
          <w:sz w:val="20"/>
          <w:szCs w:val="20"/>
          <w:lang w:val="es-ES"/>
        </w:rPr>
        <w:t xml:space="preserve">Please fill out </w:t>
      </w:r>
      <w:r w:rsidRPr="0006183F">
        <w:rPr>
          <w:rFonts w:ascii="Times New Roman" w:hAnsi="Times New Roman" w:cs="Times New Roman"/>
          <w:b/>
          <w:sz w:val="20"/>
          <w:szCs w:val="20"/>
          <w:lang w:val="es-ES"/>
        </w:rPr>
        <w:t>this</w:t>
      </w:r>
      <w:r w:rsidRPr="0006183F">
        <w:rPr>
          <w:rFonts w:ascii="Times New Roman" w:hAnsi="Times New Roman" w:cs="Times New Roman"/>
          <w:sz w:val="20"/>
          <w:szCs w:val="20"/>
          <w:lang w:val="es-ES"/>
        </w:rPr>
        <w:t xml:space="preserve"> FORM and CHECKLIST to submit your written contribution and send it to the address indicated below. Your information goes after each arrow.</w:t>
      </w:r>
    </w:p>
    <w:p w:rsidR="001924B4" w:rsidRPr="0006183F" w:rsidRDefault="001924B4" w:rsidP="001924B4">
      <w:pPr>
        <w:rPr>
          <w:rFonts w:ascii="Times New Roman" w:hAnsi="Times New Roman" w:cs="Times New Roman"/>
          <w:sz w:val="20"/>
          <w:szCs w:val="20"/>
          <w:lang w:val="es-ES"/>
        </w:rPr>
      </w:pPr>
    </w:p>
    <w:p w:rsidR="001924B4" w:rsidRPr="0006183F" w:rsidRDefault="001924B4" w:rsidP="001924B4">
      <w:pPr>
        <w:spacing w:line="220" w:lineRule="atLeast"/>
        <w:ind w:left="480"/>
        <w:rPr>
          <w:rFonts w:ascii="Times New Roman" w:hAnsi="Times New Roman" w:cs="Times New Roman"/>
          <w:sz w:val="20"/>
          <w:szCs w:val="20"/>
          <w:lang w:val="es-ES"/>
        </w:rPr>
      </w:pPr>
      <w:r w:rsidRPr="0006183F">
        <w:rPr>
          <w:rFonts w:ascii="Times New Roman" w:hAnsi="Times New Roman" w:cs="Times New Roman"/>
          <w:b/>
          <w:sz w:val="20"/>
          <w:szCs w:val="20"/>
          <w:lang w:val="es-ES"/>
        </w:rPr>
        <w:t>1.</w:t>
      </w:r>
      <w:r w:rsidRPr="0006183F">
        <w:rPr>
          <w:rFonts w:ascii="Times New Roman" w:hAnsi="Times New Roman" w:cs="Times New Roman"/>
          <w:sz w:val="20"/>
          <w:szCs w:val="20"/>
          <w:lang w:val="es-ES"/>
        </w:rPr>
        <w:tab/>
        <w:t xml:space="preserve">Please indicate the contact information for the representative submitting the written contribution (i.e. name, mobile, email) here: </w:t>
      </w:r>
      <w:r w:rsidRPr="0006183F">
        <w:rPr>
          <w:rFonts w:ascii="Times New Roman" w:hAnsi="Times New Roman" w:cs="Times New Roman"/>
          <w:noProof/>
          <w:sz w:val="20"/>
          <w:szCs w:val="20"/>
          <w:lang w:val="es-ES" w:eastAsia="de-DE"/>
        </w:rPr>
        <w:drawing>
          <wp:inline distT="0" distB="0" distL="0" distR="0" wp14:anchorId="755C6198" wp14:editId="7419023F">
            <wp:extent cx="161925" cy="171450"/>
            <wp:effectExtent l="0" t="0" r="9525" b="0"/>
            <wp:docPr id="6" name="Grafik 6" descr="MCj04421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4214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06183F">
        <w:rPr>
          <w:rFonts w:ascii="Times New Roman" w:hAnsi="Times New Roman" w:cs="Times New Roman"/>
          <w:sz w:val="20"/>
          <w:szCs w:val="20"/>
          <w:lang w:val="es-ES"/>
        </w:rPr>
        <w:t xml:space="preserve"> FIAN International e.V, Ana María Suarez Franco, </w:t>
      </w:r>
      <w:hyperlink r:id="rId9" w:history="1">
        <w:r w:rsidRPr="0006183F">
          <w:rPr>
            <w:rStyle w:val="Hyperlink"/>
            <w:rFonts w:ascii="Times New Roman" w:hAnsi="Times New Roman" w:cs="Times New Roman"/>
            <w:sz w:val="20"/>
            <w:szCs w:val="20"/>
            <w:lang w:val="es-ES"/>
          </w:rPr>
          <w:t>suarez-franco@fian.org</w:t>
        </w:r>
      </w:hyperlink>
      <w:r w:rsidRPr="0006183F">
        <w:rPr>
          <w:rFonts w:ascii="Times New Roman" w:hAnsi="Times New Roman" w:cs="Times New Roman"/>
          <w:sz w:val="20"/>
          <w:szCs w:val="20"/>
          <w:lang w:val="es-ES"/>
        </w:rPr>
        <w:t>; mobile: +41787962254</w:t>
      </w:r>
    </w:p>
    <w:p w:rsidR="001924B4" w:rsidRPr="0006183F" w:rsidRDefault="001924B4" w:rsidP="001924B4">
      <w:pPr>
        <w:spacing w:line="220" w:lineRule="atLeast"/>
        <w:rPr>
          <w:rFonts w:ascii="Times New Roman" w:hAnsi="Times New Roman" w:cs="Times New Roman"/>
          <w:b/>
          <w:sz w:val="20"/>
          <w:szCs w:val="20"/>
          <w:lang w:val="es-ES"/>
        </w:rPr>
      </w:pPr>
    </w:p>
    <w:p w:rsidR="001924B4" w:rsidRPr="0006183F" w:rsidRDefault="001924B4" w:rsidP="001924B4">
      <w:pPr>
        <w:spacing w:line="220" w:lineRule="atLeast"/>
        <w:ind w:left="480"/>
        <w:rPr>
          <w:rFonts w:ascii="Times New Roman" w:hAnsi="Times New Roman" w:cs="Times New Roman"/>
          <w:sz w:val="20"/>
          <w:szCs w:val="20"/>
          <w:lang w:val="es-ES"/>
        </w:rPr>
      </w:pPr>
      <w:r w:rsidRPr="0006183F">
        <w:rPr>
          <w:rFonts w:ascii="Times New Roman" w:hAnsi="Times New Roman" w:cs="Times New Roman"/>
          <w:b/>
          <w:sz w:val="20"/>
          <w:szCs w:val="20"/>
          <w:lang w:val="es-ES"/>
        </w:rPr>
        <w:t>2. (a)</w:t>
      </w:r>
      <w:r w:rsidRPr="0006183F">
        <w:rPr>
          <w:rFonts w:ascii="Times New Roman" w:hAnsi="Times New Roman" w:cs="Times New Roman"/>
          <w:sz w:val="20"/>
          <w:szCs w:val="20"/>
          <w:lang w:val="es-ES"/>
        </w:rPr>
        <w:t xml:space="preserve">  If this is an individual contribution, please indicate here your organization's name (kindly state in brackets whether your organization has ECOSOC consultative status (i.e. General, Special, or Roster). </w:t>
      </w:r>
      <w:r w:rsidRPr="0006183F">
        <w:rPr>
          <w:rFonts w:ascii="Times New Roman" w:hAnsi="Times New Roman" w:cs="Times New Roman"/>
          <w:noProof/>
          <w:sz w:val="20"/>
          <w:szCs w:val="20"/>
          <w:lang w:val="es-ES" w:eastAsia="de-DE"/>
        </w:rPr>
        <w:drawing>
          <wp:inline distT="0" distB="0" distL="0" distR="0" wp14:anchorId="7E7818CE" wp14:editId="605C82A8">
            <wp:extent cx="161925" cy="171450"/>
            <wp:effectExtent l="0" t="0" r="9525" b="0"/>
            <wp:docPr id="5" name="Grafik 5" descr="MCj04421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4214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p>
    <w:p w:rsidR="001924B4" w:rsidRPr="0006183F" w:rsidRDefault="001924B4" w:rsidP="001924B4">
      <w:pPr>
        <w:spacing w:line="220" w:lineRule="atLeast"/>
        <w:rPr>
          <w:rFonts w:ascii="Times New Roman" w:hAnsi="Times New Roman" w:cs="Times New Roman"/>
          <w:sz w:val="20"/>
          <w:szCs w:val="20"/>
          <w:lang w:val="es-ES"/>
        </w:rPr>
      </w:pPr>
      <w:r w:rsidRPr="0006183F">
        <w:rPr>
          <w:rFonts w:ascii="Times New Roman" w:hAnsi="Times New Roman" w:cs="Times New Roman"/>
          <w:sz w:val="20"/>
          <w:szCs w:val="20"/>
          <w:lang w:val="es-ES"/>
        </w:rPr>
        <w:t>or,</w:t>
      </w:r>
    </w:p>
    <w:p w:rsidR="001924B4" w:rsidRPr="0006183F" w:rsidRDefault="001924B4" w:rsidP="001924B4">
      <w:pPr>
        <w:rPr>
          <w:rFonts w:ascii="Times New Roman" w:hAnsi="Times New Roman" w:cs="Times New Roman"/>
          <w:sz w:val="20"/>
          <w:szCs w:val="20"/>
          <w:lang w:val="es-ES"/>
        </w:rPr>
      </w:pPr>
      <w:r w:rsidRPr="0006183F">
        <w:rPr>
          <w:rFonts w:ascii="Times New Roman" w:hAnsi="Times New Roman" w:cs="Times New Roman"/>
          <w:b/>
          <w:sz w:val="20"/>
          <w:szCs w:val="20"/>
          <w:lang w:val="es-ES"/>
        </w:rPr>
        <w:t xml:space="preserve">2. (b)  </w:t>
      </w:r>
      <w:r w:rsidRPr="0006183F">
        <w:rPr>
          <w:rFonts w:ascii="Times New Roman" w:hAnsi="Times New Roman" w:cs="Times New Roman"/>
          <w:sz w:val="20"/>
          <w:szCs w:val="20"/>
          <w:lang w:val="es-ES"/>
        </w:rPr>
        <w:t xml:space="preserve">If this is a joint contribution including ECOSOC NGO(s), list here the co-sponsoring ECOSOC NGO(s) as they appear in the ECOSOC database and their status (in brackets): Group all General NGOs first, group the Special second, group the Roster third. </w:t>
      </w:r>
      <w:r w:rsidRPr="0006183F">
        <w:rPr>
          <w:rFonts w:ascii="Times New Roman" w:hAnsi="Times New Roman" w:cs="Times New Roman"/>
          <w:noProof/>
          <w:sz w:val="20"/>
          <w:szCs w:val="20"/>
          <w:lang w:val="es-ES" w:eastAsia="de-DE"/>
        </w:rPr>
        <w:drawing>
          <wp:inline distT="0" distB="0" distL="0" distR="0" wp14:anchorId="580D4F8E" wp14:editId="11B1E357">
            <wp:extent cx="161925" cy="171450"/>
            <wp:effectExtent l="0" t="0" r="9525" b="0"/>
            <wp:docPr id="4" name="Grafik 4" descr="MCj04421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4214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06183F">
        <w:rPr>
          <w:rFonts w:ascii="Times New Roman" w:hAnsi="Times New Roman" w:cs="Times New Roman"/>
          <w:sz w:val="20"/>
          <w:szCs w:val="20"/>
          <w:lang w:val="es-ES"/>
        </w:rPr>
        <w:t xml:space="preserve"> Institute for Policy Studies/Transnational Institute (Special consultative status) ; FIAN International e.V (Roster status)</w:t>
      </w:r>
    </w:p>
    <w:p w:rsidR="001924B4" w:rsidRPr="0006183F" w:rsidRDefault="001924B4" w:rsidP="001924B4">
      <w:pPr>
        <w:spacing w:line="220" w:lineRule="atLeast"/>
        <w:ind w:left="480"/>
        <w:rPr>
          <w:rFonts w:ascii="Times New Roman" w:hAnsi="Times New Roman" w:cs="Times New Roman"/>
          <w:sz w:val="20"/>
          <w:szCs w:val="20"/>
          <w:lang w:val="es-ES"/>
        </w:rPr>
      </w:pPr>
    </w:p>
    <w:p w:rsidR="001924B4" w:rsidRPr="0006183F" w:rsidRDefault="001924B4" w:rsidP="001924B4">
      <w:pPr>
        <w:autoSpaceDE w:val="0"/>
        <w:autoSpaceDN w:val="0"/>
        <w:adjustRightInd w:val="0"/>
        <w:spacing w:after="0" w:line="240" w:lineRule="auto"/>
        <w:jc w:val="both"/>
        <w:rPr>
          <w:rFonts w:ascii="Times New Roman" w:hAnsi="Times New Roman" w:cs="Times New Roman"/>
          <w:bCs/>
          <w:sz w:val="20"/>
          <w:szCs w:val="20"/>
          <w:lang w:val="es-ES"/>
        </w:rPr>
      </w:pPr>
      <w:r w:rsidRPr="0006183F">
        <w:rPr>
          <w:rFonts w:ascii="Times New Roman" w:hAnsi="Times New Roman" w:cs="Times New Roman"/>
          <w:b/>
          <w:sz w:val="20"/>
          <w:szCs w:val="20"/>
          <w:lang w:val="es-ES"/>
        </w:rPr>
        <w:t>4.</w:t>
      </w:r>
      <w:r w:rsidRPr="0006183F">
        <w:rPr>
          <w:rFonts w:ascii="Times New Roman" w:hAnsi="Times New Roman" w:cs="Times New Roman"/>
          <w:sz w:val="20"/>
          <w:szCs w:val="20"/>
          <w:lang w:val="es-ES"/>
        </w:rPr>
        <w:tab/>
        <w:t xml:space="preserve">Indicate the TITLE for the written contribution (in original language) here: </w:t>
      </w:r>
      <w:r w:rsidRPr="0006183F">
        <w:rPr>
          <w:rFonts w:ascii="Times New Roman" w:hAnsi="Times New Roman" w:cs="Times New Roman"/>
          <w:noProof/>
          <w:sz w:val="20"/>
          <w:szCs w:val="20"/>
          <w:lang w:val="es-ES" w:eastAsia="de-DE"/>
        </w:rPr>
        <w:drawing>
          <wp:inline distT="0" distB="0" distL="0" distR="0" wp14:anchorId="706B3188" wp14:editId="5B581FB2">
            <wp:extent cx="161925" cy="171450"/>
            <wp:effectExtent l="0" t="0" r="9525" b="0"/>
            <wp:docPr id="2" name="Grafik 2" descr="MCj04421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4214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06183F">
        <w:rPr>
          <w:rFonts w:ascii="Times New Roman" w:hAnsi="Times New Roman" w:cs="Times New Roman"/>
          <w:sz w:val="20"/>
          <w:szCs w:val="20"/>
          <w:lang w:val="es-ES"/>
        </w:rPr>
        <w:t xml:space="preserve"> </w:t>
      </w:r>
      <w:r w:rsidRPr="0006183F">
        <w:rPr>
          <w:rFonts w:ascii="Times New Roman" w:hAnsi="Times New Roman" w:cs="Times New Roman"/>
          <w:bCs/>
          <w:sz w:val="20"/>
          <w:szCs w:val="20"/>
          <w:lang w:val="es-ES"/>
        </w:rPr>
        <w:t>Accountability of TNCs for impairment of Human Rights: The Extraterritoriality Aspect</w:t>
      </w:r>
    </w:p>
    <w:p w:rsidR="001924B4" w:rsidRPr="0006183F" w:rsidRDefault="001924B4" w:rsidP="001924B4">
      <w:pPr>
        <w:spacing w:line="220" w:lineRule="atLeast"/>
        <w:ind w:left="480"/>
        <w:rPr>
          <w:rFonts w:ascii="Times New Roman" w:hAnsi="Times New Roman" w:cs="Times New Roman"/>
          <w:sz w:val="20"/>
          <w:szCs w:val="20"/>
          <w:lang w:val="es-ES"/>
        </w:rPr>
      </w:pPr>
    </w:p>
    <w:p w:rsidR="001924B4" w:rsidRPr="0006183F" w:rsidRDefault="001924B4" w:rsidP="001924B4">
      <w:pPr>
        <w:ind w:left="360"/>
        <w:rPr>
          <w:rFonts w:ascii="Times New Roman" w:hAnsi="Times New Roman" w:cs="Times New Roman"/>
          <w:sz w:val="20"/>
          <w:szCs w:val="20"/>
          <w:lang w:val="es-ES"/>
        </w:rPr>
      </w:pPr>
    </w:p>
    <w:p w:rsidR="001924B4" w:rsidRPr="0006183F" w:rsidRDefault="001924B4" w:rsidP="001924B4">
      <w:pPr>
        <w:rPr>
          <w:rFonts w:ascii="Times New Roman" w:hAnsi="Times New Roman" w:cs="Times New Roman"/>
          <w:b/>
          <w:sz w:val="20"/>
          <w:szCs w:val="20"/>
          <w:u w:val="single"/>
          <w:lang w:val="es-ES"/>
        </w:rPr>
      </w:pPr>
      <w:r w:rsidRPr="0006183F">
        <w:rPr>
          <w:rFonts w:ascii="Times New Roman" w:hAnsi="Times New Roman" w:cs="Times New Roman"/>
          <w:b/>
          <w:sz w:val="20"/>
          <w:szCs w:val="20"/>
          <w:u w:val="single"/>
          <w:lang w:val="es-ES"/>
        </w:rPr>
        <w:t xml:space="preserve">Please make sure that:  </w:t>
      </w:r>
    </w:p>
    <w:p w:rsidR="001924B4" w:rsidRPr="0006183F" w:rsidRDefault="001924B4" w:rsidP="001924B4">
      <w:pPr>
        <w:rPr>
          <w:rFonts w:ascii="Times New Roman" w:hAnsi="Times New Roman" w:cs="Times New Roman"/>
          <w:sz w:val="20"/>
          <w:szCs w:val="20"/>
          <w:lang w:val="es-ES"/>
        </w:rPr>
      </w:pPr>
    </w:p>
    <w:p w:rsidR="001924B4" w:rsidRPr="0006183F" w:rsidRDefault="001924B4" w:rsidP="001924B4">
      <w:pPr>
        <w:numPr>
          <w:ilvl w:val="0"/>
          <w:numId w:val="1"/>
        </w:numPr>
        <w:spacing w:after="0" w:line="240" w:lineRule="auto"/>
        <w:rPr>
          <w:rFonts w:ascii="Times New Roman" w:hAnsi="Times New Roman" w:cs="Times New Roman"/>
          <w:sz w:val="20"/>
          <w:szCs w:val="20"/>
          <w:lang w:val="es-ES"/>
        </w:rPr>
      </w:pPr>
      <w:r w:rsidRPr="0006183F">
        <w:rPr>
          <w:rFonts w:ascii="Times New Roman" w:hAnsi="Times New Roman" w:cs="Times New Roman"/>
          <w:sz w:val="20"/>
          <w:szCs w:val="20"/>
          <w:lang w:val="es-ES"/>
        </w:rPr>
        <w:t xml:space="preserve">The written contribution is in MS WORD document format (Font Times New Roman 10; no bold; no underline; no italics). </w:t>
      </w:r>
    </w:p>
    <w:p w:rsidR="001924B4" w:rsidRPr="0006183F" w:rsidRDefault="001924B4" w:rsidP="001924B4">
      <w:pPr>
        <w:rPr>
          <w:rFonts w:ascii="Times New Roman" w:hAnsi="Times New Roman" w:cs="Times New Roman"/>
          <w:sz w:val="20"/>
          <w:szCs w:val="20"/>
          <w:lang w:val="es-ES"/>
        </w:rPr>
      </w:pPr>
    </w:p>
    <w:p w:rsidR="001924B4" w:rsidRPr="0006183F" w:rsidRDefault="001924B4" w:rsidP="001924B4">
      <w:pPr>
        <w:numPr>
          <w:ilvl w:val="0"/>
          <w:numId w:val="2"/>
        </w:numPr>
        <w:spacing w:after="0" w:line="240" w:lineRule="auto"/>
        <w:rPr>
          <w:rFonts w:ascii="Times New Roman" w:hAnsi="Times New Roman" w:cs="Times New Roman"/>
          <w:sz w:val="20"/>
          <w:szCs w:val="20"/>
          <w:lang w:val="es-ES"/>
        </w:rPr>
      </w:pPr>
      <w:r w:rsidRPr="0006183F">
        <w:rPr>
          <w:rFonts w:ascii="Times New Roman" w:hAnsi="Times New Roman" w:cs="Times New Roman"/>
          <w:sz w:val="20"/>
          <w:szCs w:val="20"/>
          <w:lang w:val="es-ES"/>
        </w:rPr>
        <w:t>Please use the Spell/grammar check on your text</w:t>
      </w:r>
      <w:r w:rsidRPr="0006183F">
        <w:rPr>
          <w:rFonts w:ascii="Times New Roman" w:hAnsi="Times New Roman" w:cs="Times New Roman"/>
          <w:spacing w:val="-12"/>
          <w:sz w:val="20"/>
          <w:szCs w:val="20"/>
          <w:lang w:val="es-ES"/>
        </w:rPr>
        <w:t>. (Go to Tools, Spelling &amp; Grammar)</w:t>
      </w:r>
    </w:p>
    <w:p w:rsidR="001924B4" w:rsidRPr="0006183F" w:rsidRDefault="001924B4" w:rsidP="001924B4">
      <w:pPr>
        <w:rPr>
          <w:rFonts w:ascii="Times New Roman" w:hAnsi="Times New Roman" w:cs="Times New Roman"/>
          <w:sz w:val="20"/>
          <w:szCs w:val="20"/>
          <w:lang w:val="es-ES"/>
        </w:rPr>
      </w:pPr>
    </w:p>
    <w:p w:rsidR="001924B4" w:rsidRPr="0006183F" w:rsidRDefault="001924B4" w:rsidP="001924B4">
      <w:pPr>
        <w:numPr>
          <w:ilvl w:val="0"/>
          <w:numId w:val="2"/>
        </w:numPr>
        <w:spacing w:after="0" w:line="240" w:lineRule="auto"/>
        <w:rPr>
          <w:rFonts w:ascii="Times New Roman" w:hAnsi="Times New Roman" w:cs="Times New Roman"/>
          <w:sz w:val="20"/>
          <w:szCs w:val="20"/>
          <w:lang w:val="es-ES"/>
        </w:rPr>
      </w:pPr>
      <w:r w:rsidRPr="0006183F">
        <w:rPr>
          <w:rFonts w:ascii="Times New Roman" w:hAnsi="Times New Roman" w:cs="Times New Roman"/>
          <w:sz w:val="20"/>
          <w:szCs w:val="20"/>
          <w:lang w:val="es-ES"/>
        </w:rPr>
        <w:t xml:space="preserve">Different language versions of one statement should be sent in the same email, but using </w:t>
      </w:r>
      <w:r w:rsidRPr="0006183F">
        <w:rPr>
          <w:rFonts w:ascii="Times New Roman" w:hAnsi="Times New Roman" w:cs="Times New Roman"/>
          <w:b/>
          <w:sz w:val="20"/>
          <w:szCs w:val="20"/>
          <w:u w:val="single"/>
          <w:lang w:val="es-ES"/>
        </w:rPr>
        <w:t>a separate form</w:t>
      </w:r>
      <w:r w:rsidRPr="0006183F">
        <w:rPr>
          <w:rFonts w:ascii="Times New Roman" w:hAnsi="Times New Roman" w:cs="Times New Roman"/>
          <w:sz w:val="20"/>
          <w:szCs w:val="20"/>
          <w:lang w:val="es-ES"/>
        </w:rPr>
        <w:t xml:space="preserve"> for each.</w:t>
      </w:r>
    </w:p>
    <w:p w:rsidR="001924B4" w:rsidRPr="0006183F" w:rsidRDefault="001924B4" w:rsidP="001924B4">
      <w:pPr>
        <w:rPr>
          <w:rFonts w:ascii="Times New Roman" w:hAnsi="Times New Roman" w:cs="Times New Roman"/>
          <w:sz w:val="20"/>
          <w:szCs w:val="20"/>
          <w:lang w:val="es-ES"/>
        </w:rPr>
      </w:pPr>
    </w:p>
    <w:p w:rsidR="001924B4" w:rsidRPr="0006183F" w:rsidRDefault="001924B4" w:rsidP="001924B4">
      <w:pPr>
        <w:numPr>
          <w:ilvl w:val="0"/>
          <w:numId w:val="2"/>
        </w:numPr>
        <w:spacing w:after="0" w:line="240" w:lineRule="auto"/>
        <w:rPr>
          <w:rFonts w:ascii="Times New Roman" w:hAnsi="Times New Roman" w:cs="Times New Roman"/>
          <w:b/>
          <w:sz w:val="20"/>
          <w:szCs w:val="20"/>
          <w:lang w:val="es-ES"/>
        </w:rPr>
      </w:pPr>
      <w:r w:rsidRPr="0006183F">
        <w:rPr>
          <w:rFonts w:ascii="Times New Roman" w:hAnsi="Times New Roman" w:cs="Times New Roman"/>
          <w:sz w:val="20"/>
          <w:szCs w:val="20"/>
          <w:lang w:val="es-ES"/>
        </w:rPr>
        <w:lastRenderedPageBreak/>
        <w:t xml:space="preserve">Email the document to: </w:t>
      </w:r>
      <w:hyperlink r:id="rId10" w:history="1">
        <w:r w:rsidRPr="0006183F">
          <w:rPr>
            <w:rFonts w:ascii="Times New Roman" w:hAnsi="Times New Roman" w:cs="Times New Roman"/>
            <w:color w:val="0000FF"/>
            <w:sz w:val="20"/>
            <w:szCs w:val="20"/>
            <w:shd w:val="clear" w:color="auto" w:fill="FFFFFF"/>
            <w:lang w:val="es-ES"/>
          </w:rPr>
          <w:t>igwg-tncs@ohchr.org</w:t>
        </w:r>
      </w:hyperlink>
    </w:p>
    <w:p w:rsidR="001924B4" w:rsidRPr="0006183F" w:rsidRDefault="001924B4" w:rsidP="001924B4">
      <w:pPr>
        <w:rPr>
          <w:rFonts w:ascii="Times New Roman" w:hAnsi="Times New Roman" w:cs="Times New Roman"/>
          <w:b/>
          <w:sz w:val="20"/>
          <w:szCs w:val="20"/>
          <w:lang w:val="es-ES"/>
        </w:rPr>
      </w:pPr>
      <w:bookmarkStart w:id="0" w:name="_GoBack"/>
      <w:bookmarkEnd w:id="0"/>
    </w:p>
    <w:p w:rsidR="001924B4" w:rsidRPr="0006183F" w:rsidRDefault="001924B4" w:rsidP="001924B4">
      <w:pPr>
        <w:jc w:val="center"/>
        <w:rPr>
          <w:rFonts w:ascii="Times New Roman" w:hAnsi="Times New Roman" w:cs="Times New Roman"/>
          <w:sz w:val="20"/>
          <w:szCs w:val="20"/>
          <w:lang w:val="es-ES"/>
        </w:rPr>
      </w:pPr>
      <w:r w:rsidRPr="0006183F">
        <w:rPr>
          <w:rFonts w:ascii="Times New Roman" w:hAnsi="Times New Roman" w:cs="Times New Roman"/>
          <w:b/>
          <w:sz w:val="20"/>
          <w:szCs w:val="20"/>
          <w:u w:val="single"/>
          <w:lang w:val="es-ES"/>
        </w:rPr>
        <w:t>PLEASE PASTE THE FINAL TEXT BELOW</w:t>
      </w:r>
      <w:r w:rsidRPr="0006183F">
        <w:rPr>
          <w:rFonts w:ascii="Times New Roman" w:hAnsi="Times New Roman" w:cs="Times New Roman"/>
          <w:sz w:val="20"/>
          <w:szCs w:val="20"/>
          <w:lang w:val="es-ES"/>
        </w:rPr>
        <w:t>:</w:t>
      </w:r>
      <w:r w:rsidRPr="0006183F">
        <w:rPr>
          <w:rFonts w:ascii="Times New Roman" w:hAnsi="Times New Roman" w:cs="Times New Roman"/>
          <w:noProof/>
          <w:sz w:val="20"/>
          <w:szCs w:val="20"/>
          <w:lang w:val="es-ES" w:eastAsia="de-DE"/>
        </w:rPr>
        <w:drawing>
          <wp:inline distT="0" distB="0" distL="0" distR="0" wp14:anchorId="5EC4E214" wp14:editId="4222011E">
            <wp:extent cx="266700" cy="276225"/>
            <wp:effectExtent l="0" t="0" r="0" b="9525"/>
            <wp:docPr id="1" name="Grafik 1" descr="MCj044214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421460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p w:rsidR="001924B4" w:rsidRPr="0006183F" w:rsidRDefault="001924B4">
      <w:pPr>
        <w:spacing w:after="0" w:line="240" w:lineRule="auto"/>
        <w:jc w:val="both"/>
        <w:rPr>
          <w:rFonts w:ascii="Times New Roman" w:hAnsi="Times New Roman" w:cs="Times New Roman"/>
          <w:b/>
          <w:bCs/>
          <w:sz w:val="20"/>
          <w:szCs w:val="20"/>
          <w:lang w:val="es-ES"/>
        </w:rPr>
      </w:pPr>
    </w:p>
    <w:p w:rsidR="001924B4" w:rsidRPr="0006183F" w:rsidRDefault="001924B4">
      <w:pPr>
        <w:spacing w:after="0" w:line="240" w:lineRule="auto"/>
        <w:jc w:val="both"/>
        <w:rPr>
          <w:rFonts w:ascii="Times New Roman" w:hAnsi="Times New Roman" w:cs="Times New Roman"/>
          <w:bCs/>
          <w:sz w:val="20"/>
          <w:szCs w:val="20"/>
          <w:lang w:val="es-ES"/>
        </w:rPr>
      </w:pPr>
    </w:p>
    <w:p w:rsidR="00274343" w:rsidRPr="0006183F" w:rsidRDefault="00047DA1">
      <w:pPr>
        <w:spacing w:after="0" w:line="240" w:lineRule="auto"/>
        <w:jc w:val="both"/>
        <w:rPr>
          <w:rFonts w:ascii="Times New Roman" w:hAnsi="Times New Roman" w:cs="Times New Roman"/>
          <w:bCs/>
          <w:sz w:val="20"/>
          <w:szCs w:val="20"/>
          <w:lang w:val="es-ES"/>
        </w:rPr>
      </w:pPr>
      <w:r w:rsidRPr="0006183F">
        <w:rPr>
          <w:rFonts w:ascii="Times New Roman" w:hAnsi="Times New Roman" w:cs="Times New Roman"/>
          <w:bCs/>
          <w:sz w:val="20"/>
          <w:szCs w:val="20"/>
          <w:lang w:val="es-ES"/>
        </w:rPr>
        <w:t>Responsabilidad de las ETNs por perjuicios a los derechos humanos: el aspecto extraterritorial.</w:t>
      </w:r>
    </w:p>
    <w:p w:rsidR="00274343" w:rsidRPr="0006183F" w:rsidRDefault="00274343">
      <w:pPr>
        <w:spacing w:after="0" w:line="240" w:lineRule="auto"/>
        <w:jc w:val="both"/>
        <w:rPr>
          <w:rFonts w:ascii="Times New Roman" w:hAnsi="Times New Roman" w:cs="Times New Roman"/>
          <w:bCs/>
          <w:sz w:val="20"/>
          <w:szCs w:val="20"/>
          <w:lang w:val="es-ES"/>
        </w:rPr>
      </w:pPr>
    </w:p>
    <w:p w:rsidR="00274343" w:rsidRPr="0006183F" w:rsidRDefault="00047DA1" w:rsidP="00047DA1">
      <w:pPr>
        <w:pStyle w:val="Textkrper"/>
        <w:spacing w:after="0"/>
        <w:jc w:val="both"/>
        <w:rPr>
          <w:rFonts w:ascii="Times New Roman" w:hAnsi="Times New Roman" w:cs="Times New Roman"/>
          <w:sz w:val="20"/>
          <w:szCs w:val="20"/>
          <w:lang w:val="es-ES"/>
        </w:rPr>
      </w:pPr>
      <w:bookmarkStart w:id="1" w:name="__DdeLink__1282_1772027441"/>
      <w:r w:rsidRPr="0006183F">
        <w:rPr>
          <w:rFonts w:ascii="Times New Roman" w:hAnsi="Times New Roman" w:cs="Times New Roman"/>
          <w:iCs/>
          <w:sz w:val="20"/>
          <w:szCs w:val="20"/>
          <w:lang w:val="es-ES"/>
        </w:rPr>
        <w:t xml:space="preserve">La </w:t>
      </w:r>
      <w:r w:rsidRPr="0006183F">
        <w:rPr>
          <w:rFonts w:ascii="Times New Roman" w:hAnsi="Times New Roman" w:cs="Times New Roman"/>
          <w:iCs/>
          <w:color w:val="010101"/>
          <w:sz w:val="20"/>
          <w:szCs w:val="20"/>
          <w:lang w:val="es-ES"/>
        </w:rPr>
        <w:t xml:space="preserve">Campaña Global para Desmantelar el Poder de las Transnacionales y Poner fin a la Impunidad (Campaña Global) </w:t>
      </w:r>
      <w:r w:rsidRPr="0006183F">
        <w:rPr>
          <w:rFonts w:ascii="Times New Roman" w:hAnsi="Times New Roman" w:cs="Times New Roman"/>
          <w:iCs/>
          <w:sz w:val="20"/>
          <w:szCs w:val="20"/>
          <w:lang w:val="es-ES"/>
        </w:rPr>
        <w:t>f</w:t>
      </w:r>
      <w:bookmarkEnd w:id="1"/>
      <w:r w:rsidRPr="0006183F">
        <w:rPr>
          <w:rFonts w:ascii="Times New Roman" w:hAnsi="Times New Roman" w:cs="Times New Roman"/>
          <w:iCs/>
          <w:sz w:val="20"/>
          <w:szCs w:val="20"/>
          <w:lang w:val="es-ES"/>
        </w:rPr>
        <w:t xml:space="preserve">acilitó la elaboración de seis </w:t>
      </w:r>
      <w:r w:rsidR="0006183F" w:rsidRPr="0006183F">
        <w:rPr>
          <w:rFonts w:ascii="Times New Roman" w:hAnsi="Times New Roman" w:cs="Times New Roman"/>
          <w:iCs/>
          <w:sz w:val="20"/>
          <w:szCs w:val="20"/>
          <w:lang w:val="es-ES"/>
        </w:rPr>
        <w:t>contribuciones</w:t>
      </w:r>
      <w:r w:rsidRPr="0006183F">
        <w:rPr>
          <w:rFonts w:ascii="Times New Roman" w:hAnsi="Times New Roman" w:cs="Times New Roman"/>
          <w:iCs/>
          <w:sz w:val="20"/>
          <w:szCs w:val="20"/>
          <w:lang w:val="es-ES"/>
        </w:rPr>
        <w:t xml:space="preserve"> escritas para consideración de la Segunda Sesión del “Grupo de Trabajo Intergubernamental sobre Empresas Transnacionales y otras empresas en relación a los derechos humanos” que tiene lugar en Ginebra entre los días 24 y 28 de octubre de 2016. Son parte de la contribución de la Campaña Global al mandato del Grupo de Trabajo para desarrollar un “instrumento internacional legalmente vinculante sobre Empresas Transnacionales (ETNs) y otras empresas en relación a los Derechos Humanos”. </w:t>
      </w:r>
      <w:r w:rsidR="001924B4" w:rsidRPr="0006183F">
        <w:rPr>
          <w:rFonts w:ascii="Times New Roman" w:hAnsi="Times New Roman" w:cs="Times New Roman"/>
          <w:iCs/>
          <w:sz w:val="20"/>
          <w:szCs w:val="20"/>
          <w:lang w:val="es-ES"/>
        </w:rPr>
        <w:t xml:space="preserve">Las </w:t>
      </w:r>
      <w:r w:rsidR="0006183F" w:rsidRPr="0006183F">
        <w:rPr>
          <w:rFonts w:ascii="Times New Roman" w:hAnsi="Times New Roman" w:cs="Times New Roman"/>
          <w:iCs/>
          <w:sz w:val="20"/>
          <w:szCs w:val="20"/>
          <w:lang w:val="es-ES"/>
        </w:rPr>
        <w:t>contribuciones</w:t>
      </w:r>
      <w:r w:rsidR="001924B4" w:rsidRPr="0006183F">
        <w:rPr>
          <w:rFonts w:ascii="Times New Roman" w:hAnsi="Times New Roman" w:cs="Times New Roman"/>
          <w:iCs/>
          <w:sz w:val="20"/>
          <w:szCs w:val="20"/>
          <w:lang w:val="es-ES"/>
        </w:rPr>
        <w:t xml:space="preserve"> e</w:t>
      </w:r>
      <w:r w:rsidRPr="0006183F">
        <w:rPr>
          <w:rFonts w:ascii="Times New Roman" w:hAnsi="Times New Roman" w:cs="Times New Roman"/>
          <w:iCs/>
          <w:sz w:val="20"/>
          <w:szCs w:val="20"/>
          <w:lang w:val="es-ES"/>
        </w:rPr>
        <w:t>xpresan su diversidad y la convicción de que un instrumento legalmente vinculante es esencial para dos dimensiones del trabajo de la Campaña: poner fin a la impunidad de las ETNs y contestar su poder sistémico que ha causado impactos inéditos en la vida diaria de las comunidades afectadas.</w:t>
      </w:r>
    </w:p>
    <w:p w:rsidR="00274343" w:rsidRPr="0006183F" w:rsidRDefault="00274343">
      <w:pPr>
        <w:pStyle w:val="Textkrper"/>
        <w:spacing w:after="0"/>
        <w:jc w:val="center"/>
        <w:rPr>
          <w:rFonts w:ascii="Times New Roman" w:hAnsi="Times New Roman" w:cs="Times New Roman"/>
          <w:iCs/>
          <w:sz w:val="20"/>
          <w:szCs w:val="20"/>
          <w:lang w:val="es-ES"/>
        </w:rPr>
      </w:pPr>
    </w:p>
    <w:p w:rsidR="00274343" w:rsidRPr="0006183F" w:rsidRDefault="00047DA1">
      <w:pPr>
        <w:jc w:val="both"/>
        <w:rPr>
          <w:rFonts w:ascii="Times New Roman" w:hAnsi="Times New Roman" w:cs="Times New Roman"/>
          <w:sz w:val="20"/>
          <w:szCs w:val="20"/>
          <w:lang w:val="es-ES"/>
        </w:rPr>
      </w:pPr>
      <w:r w:rsidRPr="0006183F">
        <w:rPr>
          <w:rFonts w:ascii="Times New Roman" w:hAnsi="Times New Roman" w:cs="Times New Roman"/>
          <w:iCs/>
          <w:sz w:val="20"/>
          <w:szCs w:val="20"/>
          <w:lang w:val="es-ES"/>
        </w:rPr>
        <w:t>La efectiva protección de los derechos humanos requ</w:t>
      </w:r>
      <w:r w:rsidR="001924B4" w:rsidRPr="0006183F">
        <w:rPr>
          <w:rFonts w:ascii="Times New Roman" w:hAnsi="Times New Roman" w:cs="Times New Roman"/>
          <w:iCs/>
          <w:sz w:val="20"/>
          <w:szCs w:val="20"/>
          <w:lang w:val="es-ES"/>
        </w:rPr>
        <w:t xml:space="preserve">iere que las ETNs no menoscaben </w:t>
      </w:r>
      <w:r w:rsidRPr="0006183F">
        <w:rPr>
          <w:rFonts w:ascii="Times New Roman" w:hAnsi="Times New Roman" w:cs="Times New Roman"/>
          <w:iCs/>
          <w:sz w:val="20"/>
          <w:szCs w:val="20"/>
          <w:lang w:val="es-ES"/>
        </w:rPr>
        <w:t xml:space="preserve">los derechos humanos en donde quiera que estas operen. Esto incluye la obligación de no dañar </w:t>
      </w:r>
      <w:r w:rsidR="001924B4" w:rsidRPr="0006183F">
        <w:rPr>
          <w:rFonts w:ascii="Times New Roman" w:hAnsi="Times New Roman" w:cs="Times New Roman"/>
          <w:iCs/>
          <w:sz w:val="20"/>
          <w:szCs w:val="20"/>
          <w:lang w:val="es-ES"/>
        </w:rPr>
        <w:t>el disfrute</w:t>
      </w:r>
      <w:r w:rsidRPr="0006183F">
        <w:rPr>
          <w:rFonts w:ascii="Times New Roman" w:hAnsi="Times New Roman" w:cs="Times New Roman"/>
          <w:iCs/>
          <w:sz w:val="20"/>
          <w:szCs w:val="20"/>
          <w:lang w:val="es-ES"/>
        </w:rPr>
        <w:t xml:space="preserve"> de los derechos humanos y la reversión de</w:t>
      </w:r>
      <w:r w:rsidR="001924B4" w:rsidRPr="0006183F">
        <w:rPr>
          <w:rFonts w:ascii="Times New Roman" w:hAnsi="Times New Roman" w:cs="Times New Roman"/>
          <w:iCs/>
          <w:sz w:val="20"/>
          <w:szCs w:val="20"/>
          <w:lang w:val="es-ES"/>
        </w:rPr>
        <w:t xml:space="preserve"> tales daños cuando ellos ocurra</w:t>
      </w:r>
      <w:r w:rsidRPr="0006183F">
        <w:rPr>
          <w:rFonts w:ascii="Times New Roman" w:hAnsi="Times New Roman" w:cs="Times New Roman"/>
          <w:iCs/>
          <w:sz w:val="20"/>
          <w:szCs w:val="20"/>
          <w:lang w:val="es-ES"/>
        </w:rPr>
        <w:t xml:space="preserve">n. Los estados de origen de las ETNs tienen la obligación de respetar, proteger, cumplir y remediar los </w:t>
      </w:r>
      <w:r w:rsidR="0006183F" w:rsidRPr="0006183F">
        <w:rPr>
          <w:rFonts w:ascii="Times New Roman" w:hAnsi="Times New Roman" w:cs="Times New Roman"/>
          <w:iCs/>
          <w:sz w:val="20"/>
          <w:szCs w:val="20"/>
          <w:lang w:val="es-ES"/>
        </w:rPr>
        <w:t>crímenes</w:t>
      </w:r>
      <w:r w:rsidRPr="0006183F">
        <w:rPr>
          <w:rFonts w:ascii="Times New Roman" w:hAnsi="Times New Roman" w:cs="Times New Roman"/>
          <w:iCs/>
          <w:sz w:val="20"/>
          <w:szCs w:val="20"/>
          <w:lang w:val="es-ES"/>
        </w:rPr>
        <w:t xml:space="preserve"> de derechos humanos de las ETNs</w:t>
      </w:r>
      <w:r w:rsidR="001924B4" w:rsidRPr="0006183F">
        <w:rPr>
          <w:rFonts w:ascii="Times New Roman" w:hAnsi="Times New Roman" w:cs="Times New Roman"/>
          <w:iCs/>
          <w:sz w:val="20"/>
          <w:szCs w:val="20"/>
          <w:lang w:val="es-ES"/>
        </w:rPr>
        <w:t>,</w:t>
      </w:r>
      <w:r w:rsidRPr="0006183F">
        <w:rPr>
          <w:rFonts w:ascii="Times New Roman" w:hAnsi="Times New Roman" w:cs="Times New Roman"/>
          <w:iCs/>
          <w:sz w:val="20"/>
          <w:szCs w:val="20"/>
          <w:lang w:val="es-ES"/>
        </w:rPr>
        <w:t xml:space="preserve"> tal como lo establece los Principios de Maastricht sobre Obligaciones Extraterritoriales en el materia de derechos </w:t>
      </w:r>
      <w:r w:rsidR="0006183F" w:rsidRPr="0006183F">
        <w:rPr>
          <w:rFonts w:ascii="Times New Roman" w:hAnsi="Times New Roman" w:cs="Times New Roman"/>
          <w:iCs/>
          <w:sz w:val="20"/>
          <w:szCs w:val="20"/>
          <w:lang w:val="es-ES"/>
        </w:rPr>
        <w:t>Económicos, Sociales y culturales,</w:t>
      </w:r>
      <w:r w:rsidRPr="0006183F">
        <w:rPr>
          <w:rFonts w:ascii="Times New Roman" w:hAnsi="Times New Roman" w:cs="Times New Roman"/>
          <w:iCs/>
          <w:sz w:val="20"/>
          <w:szCs w:val="20"/>
          <w:lang w:val="es-ES"/>
        </w:rPr>
        <w:t xml:space="preserve"> según el derecho internacional. </w:t>
      </w:r>
    </w:p>
    <w:p w:rsidR="00274343" w:rsidRPr="0006183F" w:rsidRDefault="00047DA1">
      <w:pPr>
        <w:pStyle w:val="TE1"/>
        <w:spacing w:after="0"/>
        <w:rPr>
          <w:rFonts w:cs="Times New Roman"/>
          <w:szCs w:val="20"/>
        </w:rPr>
      </w:pPr>
      <w:r w:rsidRPr="0006183F">
        <w:rPr>
          <w:rFonts w:cs="Times New Roman"/>
          <w:szCs w:val="20"/>
        </w:rPr>
        <w:t xml:space="preserve">En su </w:t>
      </w:r>
      <w:r w:rsidRPr="0006183F">
        <w:rPr>
          <w:rFonts w:cs="Times New Roman"/>
          <w:bCs/>
          <w:iCs/>
          <w:szCs w:val="20"/>
        </w:rPr>
        <w:t>Declaración sobre las obligaciones de los Estados partes en relación con el sector empresarial y los derechos económicos, sociales y culturales</w:t>
      </w:r>
      <w:r w:rsidRPr="0006183F">
        <w:rPr>
          <w:rStyle w:val="Ancredenotedebasdepage"/>
          <w:rFonts w:cs="Times New Roman"/>
          <w:bCs/>
          <w:iCs/>
          <w:szCs w:val="20"/>
        </w:rPr>
        <w:footnoteReference w:id="1"/>
      </w:r>
      <w:r w:rsidRPr="0006183F">
        <w:rPr>
          <w:rFonts w:cs="Times New Roman"/>
          <w:szCs w:val="20"/>
        </w:rPr>
        <w:t>, el Comité de Derechos Económicos, Sociales y Culturales de la ONU (CDESC) precisa la obligación de los Estados de protege</w:t>
      </w:r>
      <w:r w:rsidR="0006183F" w:rsidRPr="0006183F">
        <w:rPr>
          <w:rFonts w:cs="Times New Roman"/>
          <w:szCs w:val="20"/>
        </w:rPr>
        <w:t>r frente a los abusos cometido</w:t>
      </w:r>
      <w:r w:rsidRPr="0006183F">
        <w:rPr>
          <w:rFonts w:cs="Times New Roman"/>
          <w:szCs w:val="20"/>
        </w:rPr>
        <w:t>s por terceros.</w:t>
      </w:r>
    </w:p>
    <w:p w:rsidR="00274343" w:rsidRPr="0006183F" w:rsidRDefault="00274343">
      <w:pPr>
        <w:rPr>
          <w:rFonts w:ascii="Times New Roman" w:hAnsi="Times New Roman" w:cs="Times New Roman"/>
          <w:sz w:val="20"/>
          <w:szCs w:val="20"/>
          <w:lang w:val="es-ES"/>
        </w:rPr>
      </w:pPr>
    </w:p>
    <w:p w:rsidR="00274343" w:rsidRPr="0006183F" w:rsidRDefault="00047DA1">
      <w:pPr>
        <w:rPr>
          <w:rFonts w:ascii="Times New Roman" w:hAnsi="Times New Roman" w:cs="Times New Roman"/>
          <w:sz w:val="20"/>
          <w:szCs w:val="20"/>
          <w:lang w:val="es-ES"/>
        </w:rPr>
      </w:pPr>
      <w:r w:rsidRPr="0006183F">
        <w:rPr>
          <w:rFonts w:ascii="Times New Roman" w:hAnsi="Times New Roman" w:cs="Times New Roman"/>
          <w:sz w:val="20"/>
          <w:szCs w:val="20"/>
          <w:lang w:val="es-ES"/>
        </w:rPr>
        <w:t xml:space="preserve">En una de sus decisiones, el </w:t>
      </w:r>
      <w:r w:rsidRPr="0006183F">
        <w:rPr>
          <w:rFonts w:ascii="Times New Roman" w:hAnsi="Times New Roman" w:cs="Times New Roman"/>
          <w:bCs/>
          <w:iCs/>
          <w:sz w:val="20"/>
          <w:szCs w:val="20"/>
          <w:lang w:val="es-ES"/>
        </w:rPr>
        <w:t>Comité de Derechos Humanos</w:t>
      </w:r>
      <w:r w:rsidRPr="0006183F">
        <w:rPr>
          <w:rFonts w:ascii="Times New Roman" w:hAnsi="Times New Roman" w:cs="Times New Roman"/>
          <w:sz w:val="20"/>
          <w:szCs w:val="20"/>
          <w:lang w:val="es-ES"/>
        </w:rPr>
        <w:t xml:space="preserve"> solicitó a </w:t>
      </w:r>
      <w:r w:rsidRPr="0006183F">
        <w:rPr>
          <w:rFonts w:ascii="Times New Roman" w:hAnsi="Times New Roman" w:cs="Times New Roman"/>
          <w:bCs/>
          <w:iCs/>
          <w:sz w:val="20"/>
          <w:szCs w:val="20"/>
          <w:lang w:val="es-ES"/>
        </w:rPr>
        <w:t>Alemania</w:t>
      </w:r>
      <w:r w:rsidRPr="0006183F">
        <w:rPr>
          <w:rFonts w:ascii="Times New Roman" w:hAnsi="Times New Roman" w:cs="Times New Roman"/>
          <w:sz w:val="20"/>
          <w:szCs w:val="20"/>
          <w:lang w:val="es-ES"/>
        </w:rPr>
        <w:t xml:space="preserve"> que anuncie claramente:</w:t>
      </w:r>
    </w:p>
    <w:p w:rsidR="00274343" w:rsidRPr="0006183F" w:rsidRDefault="0006183F">
      <w:pPr>
        <w:pStyle w:val="TE1"/>
        <w:spacing w:after="0"/>
        <w:rPr>
          <w:rFonts w:cs="Times New Roman"/>
          <w:szCs w:val="20"/>
        </w:rPr>
      </w:pPr>
      <w:r>
        <w:rPr>
          <w:rFonts w:cs="Times New Roman"/>
          <w:szCs w:val="20"/>
        </w:rPr>
        <w:t>«…l</w:t>
      </w:r>
      <w:r w:rsidRPr="0006183F">
        <w:rPr>
          <w:rFonts w:cs="Times New Roman"/>
          <w:szCs w:val="20"/>
        </w:rPr>
        <w:t>a</w:t>
      </w:r>
      <w:r w:rsidR="00047DA1" w:rsidRPr="0006183F">
        <w:rPr>
          <w:rFonts w:cs="Times New Roman"/>
          <w:szCs w:val="20"/>
        </w:rPr>
        <w:t xml:space="preserve"> expectativa de que todas las empresas comerciales domiciliadas en su territorio y/o su jurisdicción respetarán la normativa de los derechos humanos de conformidad con el Pacto en todas sus actividades. Se </w:t>
      </w:r>
      <w:r w:rsidR="00047DA1" w:rsidRPr="0006183F">
        <w:rPr>
          <w:rFonts w:cs="Times New Roman"/>
          <w:szCs w:val="20"/>
          <w:highlight w:val="white"/>
        </w:rPr>
        <w:t xml:space="preserve">le alienta también a </w:t>
      </w:r>
      <w:r w:rsidR="00047DA1" w:rsidRPr="0006183F">
        <w:rPr>
          <w:rFonts w:cs="Times New Roman"/>
          <w:bCs/>
          <w:szCs w:val="20"/>
          <w:highlight w:val="white"/>
        </w:rPr>
        <w:t xml:space="preserve">adoptar las medidas adecuadas para reforzar las vías de recurso habilitadas a fin de proteger a las víctimas de actividades de esas empresas comerciales en </w:t>
      </w:r>
      <w:r>
        <w:rPr>
          <w:rFonts w:cs="Times New Roman"/>
          <w:bCs/>
          <w:szCs w:val="20"/>
        </w:rPr>
        <w:t>el extranjero</w:t>
      </w:r>
      <w:r w:rsidR="00047DA1" w:rsidRPr="0006183F">
        <w:rPr>
          <w:rFonts w:cs="Times New Roman"/>
          <w:bCs/>
          <w:szCs w:val="20"/>
        </w:rPr>
        <w:t>»</w:t>
      </w:r>
      <w:r w:rsidR="00047DA1" w:rsidRPr="0006183F">
        <w:rPr>
          <w:rStyle w:val="Ancredenotedebasdepage"/>
          <w:rFonts w:cs="Times New Roman"/>
          <w:bCs/>
          <w:szCs w:val="20"/>
        </w:rPr>
        <w:footnoteReference w:id="2"/>
      </w:r>
      <w:r w:rsidR="00047DA1" w:rsidRPr="0006183F">
        <w:rPr>
          <w:rFonts w:cs="Times New Roman"/>
          <w:szCs w:val="20"/>
        </w:rPr>
        <w:t>.</w:t>
      </w:r>
    </w:p>
    <w:p w:rsidR="00274343" w:rsidRPr="0006183F" w:rsidRDefault="00274343">
      <w:pPr>
        <w:pStyle w:val="TE1"/>
        <w:spacing w:after="0"/>
        <w:rPr>
          <w:rFonts w:cs="Times New Roman"/>
          <w:szCs w:val="20"/>
        </w:rPr>
      </w:pPr>
    </w:p>
    <w:p w:rsidR="00274343" w:rsidRPr="0006183F" w:rsidRDefault="00047DA1">
      <w:pPr>
        <w:pStyle w:val="TE1"/>
        <w:spacing w:after="0"/>
        <w:ind w:firstLine="0"/>
        <w:rPr>
          <w:rFonts w:cs="Times New Roman"/>
          <w:szCs w:val="20"/>
        </w:rPr>
      </w:pPr>
      <w:r w:rsidRPr="0006183F">
        <w:rPr>
          <w:rFonts w:cs="Times New Roman"/>
          <w:spacing w:val="-2"/>
          <w:szCs w:val="20"/>
        </w:rPr>
        <w:t xml:space="preserve">El Comité de los Derechos del Niño, órgano de la ONU encargado de supervisar la aplicación de la Convención de los Derechos del Niño, adoptó en 2013 una </w:t>
      </w:r>
      <w:r w:rsidRPr="0006183F">
        <w:rPr>
          <w:rFonts w:cs="Times New Roman"/>
          <w:bCs/>
          <w:iCs/>
          <w:spacing w:val="-2"/>
          <w:szCs w:val="20"/>
        </w:rPr>
        <w:t>Observación General sobre las obligaciones de los Estados en relación con el Impacto del Sector Empresarial sobre los Derechos del Niño</w:t>
      </w:r>
      <w:r w:rsidRPr="0006183F">
        <w:rPr>
          <w:rStyle w:val="Ancredenotedebasdepage"/>
          <w:rFonts w:cs="Times New Roman"/>
          <w:bCs/>
          <w:iCs/>
          <w:spacing w:val="-2"/>
          <w:szCs w:val="20"/>
        </w:rPr>
        <w:footnoteReference w:id="3"/>
      </w:r>
      <w:r w:rsidRPr="0006183F">
        <w:rPr>
          <w:rFonts w:cs="Times New Roman"/>
          <w:bCs/>
          <w:iCs/>
          <w:spacing w:val="-2"/>
          <w:szCs w:val="20"/>
        </w:rPr>
        <w:t xml:space="preserve">. </w:t>
      </w:r>
      <w:r w:rsidRPr="0006183F">
        <w:rPr>
          <w:rFonts w:cs="Times New Roman"/>
          <w:spacing w:val="-2"/>
          <w:szCs w:val="20"/>
        </w:rPr>
        <w:t>El Comité estima que las acti</w:t>
      </w:r>
      <w:r w:rsidRPr="0006183F">
        <w:rPr>
          <w:rFonts w:cs="Times New Roman"/>
          <w:spacing w:val="-2"/>
          <w:szCs w:val="20"/>
        </w:rPr>
        <w:softHyphen/>
        <w:t>vidades extraterritoriales de las ETNs deben ser reguladas por los Estados de origen (o de sede):</w:t>
      </w:r>
    </w:p>
    <w:p w:rsidR="00274343" w:rsidRPr="0006183F" w:rsidRDefault="00274343">
      <w:pPr>
        <w:pStyle w:val="TE1"/>
        <w:spacing w:after="0"/>
        <w:ind w:firstLine="0"/>
        <w:rPr>
          <w:rFonts w:cs="Times New Roman"/>
          <w:szCs w:val="20"/>
        </w:rPr>
      </w:pPr>
    </w:p>
    <w:p w:rsidR="00274343" w:rsidRPr="0006183F" w:rsidRDefault="00047DA1">
      <w:pPr>
        <w:pStyle w:val="TE1"/>
        <w:spacing w:after="0"/>
        <w:ind w:firstLine="0"/>
        <w:rPr>
          <w:rFonts w:cs="Times New Roman"/>
          <w:szCs w:val="20"/>
        </w:rPr>
      </w:pPr>
      <w:r w:rsidRPr="0006183F">
        <w:rPr>
          <w:rFonts w:cs="Times New Roman"/>
          <w:bCs/>
          <w:iCs/>
          <w:spacing w:val="-2"/>
          <w:szCs w:val="20"/>
        </w:rPr>
        <w:t xml:space="preserve">“Los Estados receptores tienen la responsabilidad primordial de respetar, proteger y hacer efectivos los derechos del niño dentro de su jurisdicción. Deberán velar por que todas las empresas, incluidas las ETNs que operen dentro de sus fronteras, estén debidamente reguladas por un marco jurídico e institucional que garantice que sus actividades no afecten negativamente a los derechos del niño ni contribuyan o secunden violaciones de los derechos en jurisdicciones extranjeras.” </w:t>
      </w:r>
      <w:r w:rsidRPr="0006183F">
        <w:rPr>
          <w:rFonts w:cs="Times New Roman"/>
          <w:bCs/>
          <w:spacing w:val="-2"/>
          <w:szCs w:val="20"/>
        </w:rPr>
        <w:t>(§ 42).</w:t>
      </w:r>
      <w:r w:rsidRPr="0006183F">
        <w:rPr>
          <w:rFonts w:cs="Times New Roman"/>
          <w:bCs/>
          <w:iCs/>
          <w:spacing w:val="-2"/>
          <w:szCs w:val="20"/>
        </w:rPr>
        <w:t xml:space="preserve"> </w:t>
      </w:r>
    </w:p>
    <w:p w:rsidR="00274343" w:rsidRPr="0006183F" w:rsidRDefault="00274343">
      <w:pPr>
        <w:pStyle w:val="TE1"/>
        <w:spacing w:after="0"/>
        <w:ind w:firstLine="0"/>
        <w:rPr>
          <w:rFonts w:cs="Times New Roman"/>
          <w:bCs/>
          <w:iCs/>
          <w:spacing w:val="-2"/>
          <w:szCs w:val="20"/>
        </w:rPr>
      </w:pPr>
    </w:p>
    <w:p w:rsidR="00274343" w:rsidRPr="0006183F" w:rsidRDefault="00047DA1">
      <w:pPr>
        <w:pStyle w:val="TE1"/>
        <w:ind w:firstLine="0"/>
        <w:rPr>
          <w:rFonts w:cs="Times New Roman"/>
          <w:iCs/>
          <w:szCs w:val="20"/>
        </w:rPr>
      </w:pPr>
      <w:r w:rsidRPr="0006183F">
        <w:rPr>
          <w:rFonts w:cs="Times New Roman"/>
          <w:iCs/>
          <w:szCs w:val="20"/>
        </w:rPr>
        <w:t>Los Principios de Maastricht también contemplan las obligaciones extra-territoriales de los Estados de proteger los derechos humanos contra actores no estatales:</w:t>
      </w:r>
    </w:p>
    <w:p w:rsidR="00274343" w:rsidRPr="0006183F" w:rsidRDefault="00047DA1">
      <w:pPr>
        <w:jc w:val="both"/>
        <w:rPr>
          <w:rFonts w:ascii="Times New Roman" w:hAnsi="Times New Roman" w:cs="Times New Roman"/>
          <w:sz w:val="20"/>
          <w:szCs w:val="20"/>
          <w:lang w:val="es-ES"/>
        </w:rPr>
      </w:pPr>
      <w:r w:rsidRPr="0006183F">
        <w:rPr>
          <w:rFonts w:ascii="Times New Roman" w:hAnsi="Times New Roman" w:cs="Times New Roman"/>
          <w:sz w:val="20"/>
          <w:szCs w:val="20"/>
          <w:lang w:val="es-ES"/>
        </w:rPr>
        <w:t>El Principio 24 de Maastricht señala que la obligación de los Estados de tomar medidas necesarias para garantizar los derechos económicos, sociales y culturales se refiere a los actores no estatales sujetos al poder regulatorio del Estado</w:t>
      </w:r>
      <w:r w:rsidR="0006183F" w:rsidRPr="0006183F">
        <w:rPr>
          <w:rStyle w:val="Funotenzeichen"/>
          <w:rFonts w:ascii="Times New Roman" w:hAnsi="Times New Roman" w:cs="Times New Roman"/>
          <w:sz w:val="20"/>
          <w:szCs w:val="20"/>
          <w:lang w:val="es-ES"/>
        </w:rPr>
        <w:footnoteReference w:id="4"/>
      </w:r>
      <w:r w:rsidRPr="0006183F">
        <w:rPr>
          <w:rFonts w:ascii="Times New Roman" w:hAnsi="Times New Roman" w:cs="Times New Roman"/>
          <w:sz w:val="20"/>
          <w:szCs w:val="20"/>
          <w:lang w:val="es-ES"/>
        </w:rPr>
        <w:t>. En otras palabras, un Estado puede regular y garantizar protección en territorio extranjero sólo si tiene los poderes y jurisdicción para hacerlo.</w:t>
      </w:r>
    </w:p>
    <w:p w:rsidR="00274343" w:rsidRPr="0006183F" w:rsidRDefault="00047DA1">
      <w:pPr>
        <w:jc w:val="both"/>
        <w:rPr>
          <w:rFonts w:ascii="Times New Roman" w:hAnsi="Times New Roman" w:cs="Times New Roman"/>
          <w:sz w:val="20"/>
          <w:szCs w:val="20"/>
          <w:lang w:val="es-ES"/>
        </w:rPr>
      </w:pPr>
      <w:r w:rsidRPr="0006183F">
        <w:rPr>
          <w:rFonts w:ascii="Times New Roman" w:hAnsi="Times New Roman" w:cs="Times New Roman"/>
          <w:sz w:val="20"/>
          <w:szCs w:val="20"/>
          <w:lang w:val="es-ES"/>
        </w:rPr>
        <w:t xml:space="preserve">El Principio 25 de Maastricht describe cuando tal jurisdicción tiene lugar. El mismo principio también implica que varios estados puedan al mismo tiempo tener tal jurisdicción en línea con el principio de cooperación y con el Principio 37 de Maastricht que llama a “todos los Estados involucrados” a proveer remedio. El Principio 25c deja claro que son los Estados los que tienen la obligación de proteger – de forma directa o a </w:t>
      </w:r>
      <w:r w:rsidR="0006183F" w:rsidRPr="0006183F">
        <w:rPr>
          <w:rFonts w:ascii="Times New Roman" w:hAnsi="Times New Roman" w:cs="Times New Roman"/>
          <w:sz w:val="20"/>
          <w:szCs w:val="20"/>
          <w:lang w:val="es-ES"/>
        </w:rPr>
        <w:t>través</w:t>
      </w:r>
      <w:r w:rsidRPr="0006183F">
        <w:rPr>
          <w:rFonts w:ascii="Times New Roman" w:hAnsi="Times New Roman" w:cs="Times New Roman"/>
          <w:sz w:val="20"/>
          <w:szCs w:val="20"/>
          <w:lang w:val="es-ES"/>
        </w:rPr>
        <w:t xml:space="preserve"> de la filial o empresa controlada. En este sentido, una empresa puede tener varios estados de origen.</w:t>
      </w:r>
    </w:p>
    <w:p w:rsidR="00274343" w:rsidRPr="0006183F" w:rsidRDefault="00047DA1">
      <w:pPr>
        <w:jc w:val="both"/>
        <w:rPr>
          <w:rFonts w:ascii="Times New Roman" w:hAnsi="Times New Roman" w:cs="Times New Roman"/>
          <w:sz w:val="20"/>
          <w:szCs w:val="20"/>
          <w:lang w:val="es-ES"/>
        </w:rPr>
      </w:pPr>
      <w:r w:rsidRPr="0006183F">
        <w:rPr>
          <w:rFonts w:ascii="Times New Roman" w:hAnsi="Times New Roman" w:cs="Times New Roman"/>
          <w:sz w:val="20"/>
          <w:szCs w:val="20"/>
          <w:lang w:val="es-ES"/>
        </w:rPr>
        <w:t>Esto implica que debe ser una meta común de los Estados el superar las barreras corporativas que ocultan la responsabilidad de las ETNs y de las personas que toman las decisiones en nombre de ellas – derecho civil y criminal.</w:t>
      </w:r>
    </w:p>
    <w:p w:rsidR="00274343" w:rsidRPr="0006183F" w:rsidRDefault="00047DA1">
      <w:pPr>
        <w:jc w:val="both"/>
        <w:rPr>
          <w:rFonts w:ascii="Times New Roman" w:hAnsi="Times New Roman" w:cs="Times New Roman"/>
          <w:sz w:val="20"/>
          <w:szCs w:val="20"/>
          <w:lang w:val="es-ES"/>
        </w:rPr>
      </w:pPr>
      <w:r w:rsidRPr="0006183F">
        <w:rPr>
          <w:rFonts w:ascii="Times New Roman" w:hAnsi="Times New Roman" w:cs="Times New Roman"/>
          <w:sz w:val="20"/>
          <w:szCs w:val="20"/>
          <w:lang w:val="es-ES"/>
        </w:rPr>
        <w:t xml:space="preserve">Los paraísos fiscales y el uso de complejos mecanismos corporativos para escapar de la responsabilidad son instrumentos jurídicos utilizados para garantizar los bienes de las corporaciones – que se traduce en impunidad por el daño causado por la actividad de la compañía. El esquema de las ETNs permite además la protección de los bienes de la </w:t>
      </w:r>
      <w:r w:rsidR="0006183F">
        <w:rPr>
          <w:rFonts w:ascii="Times New Roman" w:hAnsi="Times New Roman" w:cs="Times New Roman"/>
          <w:sz w:val="20"/>
          <w:szCs w:val="20"/>
          <w:lang w:val="es-ES"/>
        </w:rPr>
        <w:t>casa matriz</w:t>
      </w:r>
      <w:r w:rsidRPr="0006183F">
        <w:rPr>
          <w:rFonts w:ascii="Times New Roman" w:hAnsi="Times New Roman" w:cs="Times New Roman"/>
          <w:sz w:val="20"/>
          <w:szCs w:val="20"/>
          <w:lang w:val="es-ES"/>
        </w:rPr>
        <w:t>, eludiendo sus responsabilidades en materia civil y penal (en Estados en las que pueden confiar); mientras que sus subsidiarias, que son de hecho responsables por sus actividades, permanecen carentes de bienes con los que responder (en Estados en las que hay riesgos durante la operación).</w:t>
      </w:r>
    </w:p>
    <w:p w:rsidR="00274343" w:rsidRPr="0006183F" w:rsidRDefault="00047DA1">
      <w:pPr>
        <w:spacing w:after="0" w:line="240" w:lineRule="auto"/>
        <w:jc w:val="both"/>
        <w:rPr>
          <w:rFonts w:ascii="Times New Roman" w:hAnsi="Times New Roman" w:cs="Times New Roman"/>
          <w:sz w:val="20"/>
          <w:szCs w:val="20"/>
          <w:lang w:val="es-ES"/>
        </w:rPr>
      </w:pPr>
      <w:r w:rsidRPr="0006183F">
        <w:rPr>
          <w:rFonts w:ascii="Times New Roman" w:hAnsi="Times New Roman" w:cs="Times New Roman"/>
          <w:sz w:val="20"/>
          <w:szCs w:val="20"/>
          <w:lang w:val="es-ES"/>
        </w:rPr>
        <w:t xml:space="preserve">Así, cuando se aplica el principio de la responsabilidad limitada a la creación de una subsidiaria en el exterior, la casa matriz de la empresa y la subsidiaria son consideradas como dos entidades completamente separadas. Esta estrategia es un escudo para proteger a la empresa matriz de cualquier tipo de responsabilidad por las acciones de sus subsidiarias en el exterior. </w:t>
      </w:r>
    </w:p>
    <w:p w:rsidR="00274343" w:rsidRPr="0006183F" w:rsidRDefault="00274343">
      <w:pPr>
        <w:spacing w:after="0" w:line="240" w:lineRule="auto"/>
        <w:jc w:val="both"/>
        <w:rPr>
          <w:rFonts w:ascii="Times New Roman" w:hAnsi="Times New Roman" w:cs="Times New Roman"/>
          <w:sz w:val="20"/>
          <w:szCs w:val="20"/>
          <w:lang w:val="es-ES"/>
        </w:rPr>
      </w:pPr>
    </w:p>
    <w:p w:rsidR="00274343" w:rsidRPr="0006183F" w:rsidRDefault="00047DA1">
      <w:pPr>
        <w:spacing w:after="0" w:line="240" w:lineRule="auto"/>
        <w:jc w:val="both"/>
        <w:rPr>
          <w:rFonts w:ascii="Times New Roman" w:hAnsi="Times New Roman" w:cs="Times New Roman"/>
          <w:sz w:val="20"/>
          <w:szCs w:val="20"/>
          <w:lang w:val="es-ES"/>
        </w:rPr>
      </w:pPr>
      <w:r w:rsidRPr="0006183F">
        <w:rPr>
          <w:rFonts w:ascii="Times New Roman" w:hAnsi="Times New Roman" w:cs="Times New Roman"/>
          <w:sz w:val="20"/>
          <w:szCs w:val="20"/>
          <w:lang w:val="es-ES"/>
        </w:rPr>
        <w:t>En consecuencia, a partir de la comprensión de la estructura de la compañía transnacional, es necesario establecer la presunción de que, de hecho, a pesar de que las ETNs están compuestas por diversas entidades legales, consisten en una sola unidad económica – un grupo articulado y cohesionado con objetivos comunes. De esta forma, se justificaría considerar que las acciones efectuadas por sus subsidiarias son responsabilidad de la casa matriz y, por ello, de los estados de origen</w:t>
      </w:r>
      <w:r w:rsidR="0006183F">
        <w:rPr>
          <w:rFonts w:ascii="Times New Roman" w:hAnsi="Times New Roman" w:cs="Times New Roman"/>
          <w:sz w:val="20"/>
          <w:szCs w:val="20"/>
          <w:lang w:val="es-ES"/>
        </w:rPr>
        <w:t>, como lo estipula</w:t>
      </w:r>
      <w:r w:rsidRPr="0006183F">
        <w:rPr>
          <w:rFonts w:ascii="Times New Roman" w:hAnsi="Times New Roman" w:cs="Times New Roman"/>
          <w:sz w:val="20"/>
          <w:szCs w:val="20"/>
          <w:lang w:val="es-ES"/>
        </w:rPr>
        <w:t xml:space="preserve"> el Principio 25 de Maastricht. Esto se justifica por la misma naturaleza descentralizada de las actividades comerciales, basadas en un patrón de externalización de la producción (descentralización productiva), que es el elemento central de este proceso productivo. </w:t>
      </w:r>
    </w:p>
    <w:p w:rsidR="00274343" w:rsidRPr="0006183F" w:rsidRDefault="00274343">
      <w:pPr>
        <w:spacing w:after="0" w:line="240" w:lineRule="auto"/>
        <w:jc w:val="both"/>
        <w:rPr>
          <w:rFonts w:ascii="Times New Roman" w:hAnsi="Times New Roman" w:cs="Times New Roman"/>
          <w:sz w:val="20"/>
          <w:szCs w:val="20"/>
          <w:lang w:val="es-ES"/>
        </w:rPr>
      </w:pPr>
    </w:p>
    <w:p w:rsidR="00274343" w:rsidRPr="0006183F" w:rsidRDefault="00047DA1">
      <w:pPr>
        <w:spacing w:after="0" w:line="240" w:lineRule="auto"/>
        <w:jc w:val="both"/>
        <w:rPr>
          <w:rFonts w:ascii="Times New Roman" w:hAnsi="Times New Roman" w:cs="Times New Roman"/>
          <w:sz w:val="20"/>
          <w:szCs w:val="20"/>
          <w:lang w:val="es-ES"/>
        </w:rPr>
      </w:pPr>
      <w:r w:rsidRPr="0006183F">
        <w:rPr>
          <w:rFonts w:ascii="Times New Roman" w:hAnsi="Times New Roman" w:cs="Times New Roman"/>
          <w:sz w:val="20"/>
          <w:szCs w:val="20"/>
          <w:lang w:val="es-ES"/>
        </w:rPr>
        <w:t>Existe así una responsabilidad conjunta entre las ETNs y sus subsidiarias, así como en relación a su cadena de proveedores, licenciadas y contratistas; y todos comparten la responsabilidad por perjuicios contra los derechos civiles, políticos, sociales, económicos, culturales y ambientales, por estar conectadas, a través de su práctica económica, con las ETNs.</w:t>
      </w:r>
    </w:p>
    <w:p w:rsidR="00274343" w:rsidRPr="0006183F" w:rsidRDefault="00274343">
      <w:pPr>
        <w:spacing w:after="0" w:line="240" w:lineRule="auto"/>
        <w:jc w:val="both"/>
        <w:rPr>
          <w:rFonts w:ascii="Times New Roman" w:hAnsi="Times New Roman" w:cs="Times New Roman"/>
          <w:sz w:val="20"/>
          <w:szCs w:val="20"/>
          <w:lang w:val="es-ES"/>
        </w:rPr>
      </w:pPr>
    </w:p>
    <w:p w:rsidR="00274343" w:rsidRPr="0006183F" w:rsidRDefault="00047DA1">
      <w:pPr>
        <w:spacing w:after="0" w:line="240" w:lineRule="auto"/>
        <w:jc w:val="both"/>
        <w:rPr>
          <w:rFonts w:ascii="Times New Roman" w:hAnsi="Times New Roman" w:cs="Times New Roman"/>
          <w:sz w:val="20"/>
          <w:szCs w:val="20"/>
          <w:lang w:val="es-ES"/>
        </w:rPr>
      </w:pPr>
      <w:r w:rsidRPr="0006183F">
        <w:rPr>
          <w:rFonts w:ascii="Times New Roman" w:hAnsi="Times New Roman" w:cs="Times New Roman"/>
          <w:sz w:val="20"/>
          <w:szCs w:val="20"/>
          <w:lang w:val="es-ES"/>
        </w:rPr>
        <w:t xml:space="preserve">Por lo tanto, para posibilitar la responsabilización de las ETNs por los componentes de su cadena productiva, la información sobre las actividades de las empresas debería fluir de forma libre y transparente, lo que podría prevenir también que los Estados se comprometan a través de acuerdos secretos con las ETNs. Para lograrlo, las ETNs deben hacer pública la lista de países en los que operan, identificando sus afiliadas, proveedores, subcontratistas y licenciados, así como la forma legal en la que participan en otras compañías o entidades legales. Deben publicar sus ingresos, el número de trabajadores/as que emplean, sus fondos y los impuestos pagos en cada país.  </w:t>
      </w:r>
    </w:p>
    <w:p w:rsidR="00274343" w:rsidRPr="0006183F" w:rsidRDefault="00274343">
      <w:pPr>
        <w:spacing w:after="0" w:line="240" w:lineRule="auto"/>
        <w:jc w:val="both"/>
        <w:rPr>
          <w:rFonts w:ascii="Times New Roman" w:hAnsi="Times New Roman" w:cs="Times New Roman"/>
          <w:sz w:val="20"/>
          <w:szCs w:val="20"/>
          <w:lang w:val="es-ES"/>
        </w:rPr>
      </w:pPr>
    </w:p>
    <w:p w:rsidR="00274343" w:rsidRPr="0006183F" w:rsidRDefault="00047DA1">
      <w:pPr>
        <w:spacing w:after="0" w:line="240" w:lineRule="auto"/>
        <w:jc w:val="both"/>
        <w:rPr>
          <w:rFonts w:ascii="Times New Roman" w:hAnsi="Times New Roman" w:cs="Times New Roman"/>
          <w:sz w:val="20"/>
          <w:szCs w:val="20"/>
          <w:lang w:val="es-ES"/>
        </w:rPr>
      </w:pPr>
      <w:r w:rsidRPr="0006183F">
        <w:rPr>
          <w:rFonts w:ascii="Times New Roman" w:hAnsi="Times New Roman" w:cs="Times New Roman"/>
          <w:sz w:val="20"/>
          <w:szCs w:val="20"/>
          <w:lang w:val="es-ES"/>
        </w:rPr>
        <w:t xml:space="preserve">Es clave que los Estados desarrollen leyes sobre crímenes corporativas, derecho civil y administrativo para que éstos se transformen en instrumentos para la protección de los derechos humanos contra las ETNs y otras empresas y que los jueces interpreten las leyes de acuerdo con las obligaciones de derechos humanos de su Estado y la primacía de los derechos humanos. Más aún, los Gobiernos debe incorporar clausulas sociales, laborales y ambientales en las licitaciones públicas, además de evitar servicios y productos derivados de ETNs – o de sus cadenas productivas – en las que los derechos humanos han sido perjudicados. </w:t>
      </w:r>
    </w:p>
    <w:p w:rsidR="00274343" w:rsidRPr="0006183F" w:rsidRDefault="00274343">
      <w:pPr>
        <w:spacing w:after="0" w:line="240" w:lineRule="auto"/>
        <w:jc w:val="both"/>
        <w:rPr>
          <w:rFonts w:ascii="Times New Roman" w:hAnsi="Times New Roman" w:cs="Times New Roman"/>
          <w:sz w:val="20"/>
          <w:szCs w:val="20"/>
          <w:lang w:val="es-ES"/>
        </w:rPr>
      </w:pPr>
    </w:p>
    <w:p w:rsidR="00274343" w:rsidRPr="0006183F" w:rsidRDefault="00047DA1">
      <w:pPr>
        <w:spacing w:after="0" w:line="240" w:lineRule="auto"/>
        <w:jc w:val="both"/>
        <w:rPr>
          <w:rFonts w:ascii="Times New Roman" w:hAnsi="Times New Roman" w:cs="Times New Roman"/>
          <w:sz w:val="20"/>
          <w:szCs w:val="20"/>
          <w:lang w:val="es-ES"/>
        </w:rPr>
      </w:pPr>
      <w:r w:rsidRPr="0006183F">
        <w:rPr>
          <w:rFonts w:ascii="Times New Roman" w:hAnsi="Times New Roman" w:cs="Times New Roman"/>
          <w:sz w:val="20"/>
          <w:szCs w:val="20"/>
          <w:lang w:val="es-ES"/>
        </w:rPr>
        <w:t>Más aún, cuando el mecanismo de la cooperación, junto con el principio de la complementariedad, no se muestra eficiente, debe</w:t>
      </w:r>
      <w:r w:rsidR="007B0B48">
        <w:rPr>
          <w:rFonts w:ascii="Times New Roman" w:hAnsi="Times New Roman" w:cs="Times New Roman"/>
          <w:sz w:val="20"/>
          <w:szCs w:val="20"/>
          <w:lang w:val="es-ES"/>
        </w:rPr>
        <w:t>ría</w:t>
      </w:r>
      <w:r w:rsidRPr="0006183F">
        <w:rPr>
          <w:rFonts w:ascii="Times New Roman" w:hAnsi="Times New Roman" w:cs="Times New Roman"/>
          <w:sz w:val="20"/>
          <w:szCs w:val="20"/>
          <w:lang w:val="es-ES"/>
        </w:rPr>
        <w:t xml:space="preserve"> </w:t>
      </w:r>
      <w:r w:rsidR="007B0B48">
        <w:rPr>
          <w:rFonts w:ascii="Times New Roman" w:hAnsi="Times New Roman" w:cs="Times New Roman"/>
          <w:sz w:val="20"/>
          <w:szCs w:val="20"/>
          <w:lang w:val="es-ES"/>
        </w:rPr>
        <w:t>considerarse</w:t>
      </w:r>
      <w:r w:rsidRPr="0006183F">
        <w:rPr>
          <w:rFonts w:ascii="Times New Roman" w:hAnsi="Times New Roman" w:cs="Times New Roman"/>
          <w:sz w:val="20"/>
          <w:szCs w:val="20"/>
          <w:lang w:val="es-ES"/>
        </w:rPr>
        <w:t xml:space="preserve"> la posibilidad de acceder a una corte internacional</w:t>
      </w:r>
      <w:r w:rsidR="007B0B48">
        <w:rPr>
          <w:rFonts w:ascii="Times New Roman" w:hAnsi="Times New Roman" w:cs="Times New Roman"/>
          <w:sz w:val="20"/>
          <w:szCs w:val="20"/>
          <w:lang w:val="es-ES"/>
        </w:rPr>
        <w:t>. La noción de agotamiento</w:t>
      </w:r>
      <w:r w:rsidRPr="0006183F">
        <w:rPr>
          <w:rFonts w:ascii="Times New Roman" w:hAnsi="Times New Roman" w:cs="Times New Roman"/>
          <w:sz w:val="20"/>
          <w:szCs w:val="20"/>
          <w:lang w:val="es-ES"/>
        </w:rPr>
        <w:t xml:space="preserve"> de los </w:t>
      </w:r>
      <w:r w:rsidR="007B0B48">
        <w:rPr>
          <w:rFonts w:ascii="Times New Roman" w:hAnsi="Times New Roman" w:cs="Times New Roman"/>
          <w:sz w:val="20"/>
          <w:szCs w:val="20"/>
          <w:lang w:val="es-ES"/>
        </w:rPr>
        <w:t>mecanismos nacionales de remedio</w:t>
      </w:r>
      <w:r w:rsidRPr="0006183F">
        <w:rPr>
          <w:rFonts w:ascii="Times New Roman" w:hAnsi="Times New Roman" w:cs="Times New Roman"/>
          <w:sz w:val="20"/>
          <w:szCs w:val="20"/>
          <w:lang w:val="es-ES"/>
        </w:rPr>
        <w:t xml:space="preserve"> debe ser flexibilizada c</w:t>
      </w:r>
      <w:r w:rsidR="007B0B48">
        <w:rPr>
          <w:rFonts w:ascii="Times New Roman" w:hAnsi="Times New Roman" w:cs="Times New Roman"/>
          <w:sz w:val="20"/>
          <w:szCs w:val="20"/>
          <w:lang w:val="es-ES"/>
        </w:rPr>
        <w:t>uando casos individuales presenten</w:t>
      </w:r>
      <w:r w:rsidRPr="0006183F">
        <w:rPr>
          <w:rFonts w:ascii="Times New Roman" w:hAnsi="Times New Roman" w:cs="Times New Roman"/>
          <w:sz w:val="20"/>
          <w:szCs w:val="20"/>
          <w:lang w:val="es-ES"/>
        </w:rPr>
        <w:t xml:space="preserve"> dificultades para el acceso a los tribunales domésticos o </w:t>
      </w:r>
      <w:r w:rsidR="007B0B48">
        <w:rPr>
          <w:rFonts w:ascii="Times New Roman" w:hAnsi="Times New Roman" w:cs="Times New Roman"/>
          <w:sz w:val="20"/>
          <w:szCs w:val="20"/>
          <w:lang w:val="es-ES"/>
        </w:rPr>
        <w:t xml:space="preserve">existe la probabilidad de que se trate de </w:t>
      </w:r>
      <w:r w:rsidRPr="0006183F">
        <w:rPr>
          <w:rFonts w:ascii="Times New Roman" w:hAnsi="Times New Roman" w:cs="Times New Roman"/>
          <w:sz w:val="20"/>
          <w:szCs w:val="20"/>
          <w:lang w:val="es-ES"/>
        </w:rPr>
        <w:t>un proces</w:t>
      </w:r>
      <w:r w:rsidR="007B0B48">
        <w:rPr>
          <w:rFonts w:ascii="Times New Roman" w:hAnsi="Times New Roman" w:cs="Times New Roman"/>
          <w:sz w:val="20"/>
          <w:szCs w:val="20"/>
          <w:lang w:val="es-ES"/>
        </w:rPr>
        <w:t>o injusto o no efectivo</w:t>
      </w:r>
      <w:r w:rsidRPr="0006183F">
        <w:rPr>
          <w:rFonts w:ascii="Times New Roman" w:hAnsi="Times New Roman" w:cs="Times New Roman"/>
          <w:sz w:val="20"/>
          <w:szCs w:val="20"/>
          <w:lang w:val="es-ES"/>
        </w:rPr>
        <w:t xml:space="preserve">. </w:t>
      </w:r>
    </w:p>
    <w:p w:rsidR="00274343" w:rsidRPr="0006183F" w:rsidRDefault="00274343">
      <w:pPr>
        <w:spacing w:after="0" w:line="240" w:lineRule="auto"/>
        <w:jc w:val="both"/>
        <w:rPr>
          <w:rFonts w:ascii="Times New Roman" w:hAnsi="Times New Roman" w:cs="Times New Roman"/>
          <w:sz w:val="20"/>
          <w:szCs w:val="20"/>
          <w:lang w:val="es-ES"/>
        </w:rPr>
      </w:pPr>
    </w:p>
    <w:p w:rsidR="00274343" w:rsidRPr="0006183F" w:rsidRDefault="00047DA1">
      <w:pPr>
        <w:spacing w:after="0" w:line="240" w:lineRule="auto"/>
        <w:jc w:val="both"/>
        <w:rPr>
          <w:rFonts w:ascii="Times New Roman" w:hAnsi="Times New Roman" w:cs="Times New Roman"/>
          <w:sz w:val="20"/>
          <w:szCs w:val="20"/>
          <w:lang w:val="es-ES"/>
        </w:rPr>
      </w:pPr>
      <w:r w:rsidRPr="0006183F">
        <w:rPr>
          <w:rFonts w:ascii="Times New Roman" w:hAnsi="Times New Roman" w:cs="Times New Roman"/>
          <w:sz w:val="20"/>
          <w:szCs w:val="20"/>
          <w:lang w:val="es-ES"/>
        </w:rPr>
        <w:t>Más aún, si tanto el estado de origen como el anfitrión enfrentan dificultades para implementar los pasos necesarios para remediar los ab</w:t>
      </w:r>
      <w:r w:rsidR="007B0B48">
        <w:rPr>
          <w:rFonts w:ascii="Times New Roman" w:hAnsi="Times New Roman" w:cs="Times New Roman"/>
          <w:sz w:val="20"/>
          <w:szCs w:val="20"/>
          <w:lang w:val="es-ES"/>
        </w:rPr>
        <w:t>u</w:t>
      </w:r>
      <w:r w:rsidRPr="0006183F">
        <w:rPr>
          <w:rFonts w:ascii="Times New Roman" w:hAnsi="Times New Roman" w:cs="Times New Roman"/>
          <w:sz w:val="20"/>
          <w:szCs w:val="20"/>
          <w:lang w:val="es-ES"/>
        </w:rPr>
        <w:t>sos, se puede prever, como sugiere el Profesor Olivier de Schutter (2006)</w:t>
      </w:r>
      <w:r w:rsidRPr="0006183F">
        <w:rPr>
          <w:rStyle w:val="Ancredenotedebasdepage"/>
          <w:rFonts w:ascii="Times New Roman" w:hAnsi="Times New Roman" w:cs="Times New Roman"/>
          <w:sz w:val="20"/>
          <w:szCs w:val="20"/>
          <w:lang w:val="es-ES"/>
        </w:rPr>
        <w:footnoteReference w:id="5"/>
      </w:r>
      <w:r w:rsidRPr="0006183F">
        <w:rPr>
          <w:rFonts w:ascii="Times New Roman" w:hAnsi="Times New Roman" w:cs="Times New Roman"/>
          <w:sz w:val="20"/>
          <w:szCs w:val="20"/>
          <w:lang w:val="es-ES"/>
        </w:rPr>
        <w:t xml:space="preserve">, la creación lo que </w:t>
      </w:r>
      <w:r w:rsidR="007B0B48" w:rsidRPr="0006183F">
        <w:rPr>
          <w:rFonts w:ascii="Times New Roman" w:hAnsi="Times New Roman" w:cs="Times New Roman"/>
          <w:sz w:val="20"/>
          <w:szCs w:val="20"/>
          <w:lang w:val="es-ES"/>
        </w:rPr>
        <w:t>él</w:t>
      </w:r>
      <w:r w:rsidRPr="0006183F">
        <w:rPr>
          <w:rFonts w:ascii="Times New Roman" w:hAnsi="Times New Roman" w:cs="Times New Roman"/>
          <w:sz w:val="20"/>
          <w:szCs w:val="20"/>
          <w:lang w:val="es-ES"/>
        </w:rPr>
        <w:t xml:space="preserve"> llama un </w:t>
      </w:r>
      <w:r w:rsidRPr="0006183F">
        <w:rPr>
          <w:rFonts w:ascii="Times New Roman" w:hAnsi="Times New Roman" w:cs="Times New Roman"/>
          <w:iCs/>
          <w:sz w:val="20"/>
          <w:szCs w:val="20"/>
          <w:lang w:val="es-ES"/>
        </w:rPr>
        <w:t>forum necessitatis. Este mecanismo permitiría que las víctimas accedan a la justicia en cualquier Estado en el que la compañía responsable por las violaciones tenga un nivel significativo de actividades</w:t>
      </w:r>
      <w:r w:rsidRPr="0006183F">
        <w:rPr>
          <w:rFonts w:ascii="Times New Roman" w:hAnsi="Times New Roman" w:cs="Times New Roman"/>
          <w:sz w:val="20"/>
          <w:szCs w:val="20"/>
          <w:lang w:val="es-ES"/>
        </w:rPr>
        <w:t xml:space="preserve">. </w:t>
      </w:r>
    </w:p>
    <w:p w:rsidR="00274343" w:rsidRPr="0006183F" w:rsidRDefault="00274343">
      <w:pPr>
        <w:spacing w:after="0" w:line="240" w:lineRule="auto"/>
        <w:jc w:val="both"/>
        <w:rPr>
          <w:rFonts w:ascii="Times New Roman" w:hAnsi="Times New Roman" w:cs="Times New Roman"/>
          <w:sz w:val="20"/>
          <w:szCs w:val="20"/>
          <w:lang w:val="es-ES"/>
        </w:rPr>
      </w:pPr>
    </w:p>
    <w:p w:rsidR="00274343" w:rsidRPr="0006183F" w:rsidRDefault="00047DA1">
      <w:pPr>
        <w:spacing w:after="0" w:line="240" w:lineRule="auto"/>
        <w:jc w:val="both"/>
        <w:rPr>
          <w:rFonts w:ascii="Times New Roman" w:hAnsi="Times New Roman" w:cs="Times New Roman"/>
          <w:sz w:val="20"/>
          <w:szCs w:val="20"/>
          <w:lang w:val="es-ES"/>
        </w:rPr>
      </w:pPr>
      <w:r w:rsidRPr="0006183F">
        <w:rPr>
          <w:rFonts w:ascii="Times New Roman" w:hAnsi="Times New Roman" w:cs="Times New Roman"/>
          <w:sz w:val="20"/>
          <w:szCs w:val="20"/>
          <w:lang w:val="es-ES"/>
        </w:rPr>
        <w:t>El establecimiento de una corte internacional podría también ser una contribución importante para desmantelar la impunidad de las ETNs. La corte debería ser dotada de funciones judiciales independientes de los estados, pero con un organismo auxiliar – el Centro Público para el</w:t>
      </w:r>
      <w:r w:rsidR="007B0B48">
        <w:rPr>
          <w:rFonts w:ascii="Times New Roman" w:hAnsi="Times New Roman" w:cs="Times New Roman"/>
          <w:sz w:val="20"/>
          <w:szCs w:val="20"/>
          <w:lang w:val="es-ES"/>
        </w:rPr>
        <w:t xml:space="preserve"> Control de las ETNs – que tendría</w:t>
      </w:r>
      <w:r w:rsidRPr="0006183F">
        <w:rPr>
          <w:rFonts w:ascii="Times New Roman" w:hAnsi="Times New Roman" w:cs="Times New Roman"/>
          <w:sz w:val="20"/>
          <w:szCs w:val="20"/>
          <w:lang w:val="es-ES"/>
        </w:rPr>
        <w:t xml:space="preserve"> la tarea de coordinación constante con los Estados y la sociedad civil, así como acceso a las ETNs e información sobre sus actividades. Este centro podría recoger y reunir información, recibir quejas y aconsejar a los afectados. </w:t>
      </w:r>
    </w:p>
    <w:p w:rsidR="00274343" w:rsidRPr="0006183F" w:rsidRDefault="00274343">
      <w:pPr>
        <w:spacing w:after="0" w:line="240" w:lineRule="auto"/>
        <w:jc w:val="both"/>
        <w:rPr>
          <w:rFonts w:ascii="Times New Roman" w:hAnsi="Times New Roman" w:cs="Times New Roman"/>
          <w:sz w:val="20"/>
          <w:szCs w:val="20"/>
          <w:lang w:val="es-ES"/>
        </w:rPr>
      </w:pPr>
    </w:p>
    <w:p w:rsidR="00274343" w:rsidRPr="0006183F" w:rsidRDefault="00047DA1">
      <w:pPr>
        <w:spacing w:after="0" w:line="240" w:lineRule="auto"/>
        <w:jc w:val="both"/>
        <w:rPr>
          <w:rFonts w:ascii="Times New Roman" w:hAnsi="Times New Roman" w:cs="Times New Roman"/>
          <w:sz w:val="20"/>
          <w:szCs w:val="20"/>
          <w:lang w:val="es-ES"/>
        </w:rPr>
      </w:pPr>
      <w:r w:rsidRPr="0006183F">
        <w:rPr>
          <w:rFonts w:ascii="Times New Roman" w:hAnsi="Times New Roman" w:cs="Times New Roman"/>
          <w:sz w:val="20"/>
          <w:szCs w:val="20"/>
          <w:lang w:val="es-ES"/>
        </w:rPr>
        <w:t xml:space="preserve">Los Estados se deberían comprometer a cooperar con el centro y respetar las decisiones de la corte contra las compañías. </w:t>
      </w:r>
      <w:r w:rsidR="007B0B48">
        <w:rPr>
          <w:rFonts w:ascii="Times New Roman" w:hAnsi="Times New Roman" w:cs="Times New Roman"/>
          <w:sz w:val="20"/>
          <w:szCs w:val="20"/>
          <w:lang w:val="es-ES"/>
        </w:rPr>
        <w:t>Los estados d</w:t>
      </w:r>
      <w:r w:rsidRPr="0006183F">
        <w:rPr>
          <w:rFonts w:ascii="Times New Roman" w:hAnsi="Times New Roman" w:cs="Times New Roman"/>
          <w:sz w:val="20"/>
          <w:szCs w:val="20"/>
          <w:lang w:val="es-ES"/>
        </w:rPr>
        <w:t xml:space="preserve">eben ajustar sus leyes domésticas </w:t>
      </w:r>
      <w:r w:rsidR="007B0B48">
        <w:rPr>
          <w:rFonts w:ascii="Times New Roman" w:hAnsi="Times New Roman" w:cs="Times New Roman"/>
          <w:sz w:val="20"/>
          <w:szCs w:val="20"/>
          <w:lang w:val="es-ES"/>
        </w:rPr>
        <w:t xml:space="preserve">para poder proveer fácil acceso </w:t>
      </w:r>
      <w:r w:rsidRPr="0006183F">
        <w:rPr>
          <w:rFonts w:ascii="Times New Roman" w:hAnsi="Times New Roman" w:cs="Times New Roman"/>
          <w:sz w:val="20"/>
          <w:szCs w:val="20"/>
          <w:lang w:val="es-ES"/>
        </w:rPr>
        <w:t xml:space="preserve">y la posibilidad de la aplicación de las decisiones de la Corte en su territorio. Esta Corte ejercitaría un tipo de jurisdicción civil </w:t>
      </w:r>
      <w:r w:rsidR="007B0B48">
        <w:rPr>
          <w:rFonts w:ascii="Times New Roman" w:hAnsi="Times New Roman" w:cs="Times New Roman"/>
          <w:sz w:val="20"/>
          <w:szCs w:val="20"/>
          <w:lang w:val="es-ES"/>
        </w:rPr>
        <w:t xml:space="preserve">y </w:t>
      </w:r>
      <w:r w:rsidRPr="0006183F">
        <w:rPr>
          <w:rFonts w:ascii="Times New Roman" w:hAnsi="Times New Roman" w:cs="Times New Roman"/>
          <w:sz w:val="20"/>
          <w:szCs w:val="20"/>
          <w:lang w:val="es-ES"/>
        </w:rPr>
        <w:t xml:space="preserve">internacional aceptando acciones legales contra los bienes de la empresa y sus directores, siendo que la responsabilidad criminal sería un tema distinto. Una alternativa podría ser explotar el Tribunal Penal Internacional ya existente o cambiar su naturaleza mediante la inclusión de crímenes corporativos contra los derechos humanos por las empresas en el conjunto de crímenes bajo su jurisdicción. </w:t>
      </w:r>
    </w:p>
    <w:p w:rsidR="00274343" w:rsidRPr="0006183F" w:rsidRDefault="00274343">
      <w:pPr>
        <w:spacing w:after="0" w:line="240" w:lineRule="auto"/>
        <w:jc w:val="both"/>
        <w:rPr>
          <w:rFonts w:ascii="Times New Roman" w:hAnsi="Times New Roman" w:cs="Times New Roman"/>
          <w:sz w:val="20"/>
          <w:szCs w:val="20"/>
          <w:lang w:val="es-ES"/>
        </w:rPr>
      </w:pPr>
    </w:p>
    <w:p w:rsidR="00274343" w:rsidRPr="0006183F" w:rsidRDefault="00047DA1">
      <w:pPr>
        <w:spacing w:after="0" w:line="240" w:lineRule="auto"/>
        <w:jc w:val="both"/>
        <w:rPr>
          <w:rFonts w:ascii="Times New Roman" w:hAnsi="Times New Roman" w:cs="Times New Roman"/>
          <w:sz w:val="20"/>
          <w:szCs w:val="20"/>
          <w:lang w:val="es-ES"/>
        </w:rPr>
      </w:pPr>
      <w:r w:rsidRPr="0006183F">
        <w:rPr>
          <w:rFonts w:ascii="Times New Roman" w:hAnsi="Times New Roman" w:cs="Times New Roman"/>
          <w:sz w:val="20"/>
          <w:szCs w:val="20"/>
          <w:lang w:val="es-ES"/>
        </w:rPr>
        <w:t>Los Principios de Madrid y Buenos Aires</w:t>
      </w:r>
      <w:r w:rsidRPr="0006183F">
        <w:rPr>
          <w:rStyle w:val="Ancredenotedebasdepage"/>
          <w:rFonts w:ascii="Times New Roman" w:hAnsi="Times New Roman" w:cs="Times New Roman"/>
          <w:sz w:val="20"/>
          <w:szCs w:val="20"/>
          <w:lang w:val="es-ES"/>
        </w:rPr>
        <w:footnoteReference w:id="6"/>
      </w:r>
      <w:r w:rsidRPr="0006183F">
        <w:rPr>
          <w:rFonts w:ascii="Times New Roman" w:hAnsi="Times New Roman" w:cs="Times New Roman"/>
          <w:sz w:val="20"/>
          <w:szCs w:val="20"/>
          <w:lang w:val="es-ES"/>
        </w:rPr>
        <w:t xml:space="preserve"> sobre la Jurisdicción Universal establecen que la jurisdicción universal determina el poder o la obligación de investigar y, si es necesario, procesar vía tribunales internacionales los crímenes bajo el derecho internacional: genocidio, crímenes de lesa humanidad, crímenes de guerra, piratería, esclavitud, de</w:t>
      </w:r>
      <w:r w:rsidR="007B0B48">
        <w:rPr>
          <w:rFonts w:ascii="Times New Roman" w:hAnsi="Times New Roman" w:cs="Times New Roman"/>
          <w:sz w:val="20"/>
          <w:szCs w:val="20"/>
          <w:lang w:val="es-ES"/>
        </w:rPr>
        <w:t>saparición forzada, tortura, trá</w:t>
      </w:r>
      <w:r w:rsidRPr="0006183F">
        <w:rPr>
          <w:rFonts w:ascii="Times New Roman" w:hAnsi="Times New Roman" w:cs="Times New Roman"/>
          <w:sz w:val="20"/>
          <w:szCs w:val="20"/>
          <w:lang w:val="es-ES"/>
        </w:rPr>
        <w:t xml:space="preserve">fico de personas, ejecuciones extrajudiciales y crímenes de agresión. Estos crímenes pueden ser cometidos de diversas formas, entre ellas, las actividades económicas que pueden afectar el medio ambiente. </w:t>
      </w:r>
    </w:p>
    <w:p w:rsidR="00274343" w:rsidRPr="0006183F" w:rsidRDefault="00274343">
      <w:pPr>
        <w:spacing w:after="0" w:line="240" w:lineRule="auto"/>
        <w:jc w:val="both"/>
        <w:rPr>
          <w:rFonts w:ascii="Times New Roman" w:hAnsi="Times New Roman" w:cs="Times New Roman"/>
          <w:sz w:val="20"/>
          <w:szCs w:val="20"/>
          <w:lang w:val="es-ES"/>
        </w:rPr>
      </w:pPr>
    </w:p>
    <w:p w:rsidR="00274343" w:rsidRPr="0006183F" w:rsidRDefault="00047DA1">
      <w:pPr>
        <w:spacing w:after="0" w:line="240" w:lineRule="auto"/>
        <w:jc w:val="both"/>
        <w:rPr>
          <w:rFonts w:ascii="Times New Roman" w:hAnsi="Times New Roman" w:cs="Times New Roman"/>
          <w:sz w:val="20"/>
          <w:szCs w:val="20"/>
          <w:lang w:val="es-ES"/>
        </w:rPr>
      </w:pPr>
      <w:r w:rsidRPr="0006183F">
        <w:rPr>
          <w:rFonts w:ascii="Times New Roman" w:hAnsi="Times New Roman" w:cs="Times New Roman"/>
          <w:sz w:val="20"/>
          <w:szCs w:val="20"/>
          <w:lang w:val="es-ES"/>
        </w:rPr>
        <w:t>La incorporación del Principio de la Jurisdicción Internacional en las leyes domésticas por parte de los Estados permite la aplicación de crímenes económicos contra el medio ambiente que, debido a su alcance y escala, afectan seriamente a los derechos humanos de comunidades o grupos o envuelve la destrucción irreversible de ecosistemas. Como resultado de est</w:t>
      </w:r>
      <w:r w:rsidR="007B0B48">
        <w:rPr>
          <w:rFonts w:ascii="Times New Roman" w:hAnsi="Times New Roman" w:cs="Times New Roman"/>
          <w:sz w:val="20"/>
          <w:szCs w:val="20"/>
          <w:lang w:val="es-ES"/>
        </w:rPr>
        <w:t>a integración, las ETNs devendría</w:t>
      </w:r>
      <w:r w:rsidRPr="0006183F">
        <w:rPr>
          <w:rFonts w:ascii="Times New Roman" w:hAnsi="Times New Roman" w:cs="Times New Roman"/>
          <w:sz w:val="20"/>
          <w:szCs w:val="20"/>
          <w:lang w:val="es-ES"/>
        </w:rPr>
        <w:t>n responsables por acción – cómplices, colaboradoras, instigadoras, inductoras u ocultadoras – u omisión, en el derecho penal o civil por los crímenes aquí listados.</w:t>
      </w:r>
    </w:p>
    <w:p w:rsidR="00274343" w:rsidRPr="0006183F" w:rsidRDefault="00274343">
      <w:pPr>
        <w:spacing w:after="0" w:line="240" w:lineRule="auto"/>
        <w:jc w:val="both"/>
        <w:rPr>
          <w:rFonts w:ascii="Times New Roman" w:hAnsi="Times New Roman" w:cs="Times New Roman"/>
          <w:sz w:val="20"/>
          <w:szCs w:val="20"/>
          <w:lang w:val="es-ES"/>
        </w:rPr>
      </w:pPr>
    </w:p>
    <w:sectPr w:rsidR="00274343" w:rsidRPr="0006183F">
      <w:headerReference w:type="default" r:id="rId12"/>
      <w:footerReference w:type="default" r:id="rId13"/>
      <w:pgSz w:w="11906" w:h="16838"/>
      <w:pgMar w:top="1417" w:right="1701" w:bottom="1417" w:left="1701"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FA1" w:rsidRDefault="007F0FA1">
      <w:pPr>
        <w:spacing w:after="0" w:line="240" w:lineRule="auto"/>
      </w:pPr>
      <w:r>
        <w:separator/>
      </w:r>
    </w:p>
  </w:endnote>
  <w:endnote w:type="continuationSeparator" w:id="0">
    <w:p w:rsidR="007F0FA1" w:rsidRDefault="007F0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876998"/>
      <w:docPartObj>
        <w:docPartGallery w:val="Page Numbers (Bottom of Page)"/>
        <w:docPartUnique/>
      </w:docPartObj>
    </w:sdtPr>
    <w:sdtEndPr/>
    <w:sdtContent>
      <w:p w:rsidR="00274343" w:rsidRDefault="00047DA1">
        <w:pPr>
          <w:pStyle w:val="Rodap1"/>
          <w:jc w:val="center"/>
        </w:pPr>
        <w:r>
          <w:fldChar w:fldCharType="begin"/>
        </w:r>
        <w:r>
          <w:instrText>PAGE</w:instrText>
        </w:r>
        <w:r>
          <w:fldChar w:fldCharType="separate"/>
        </w:r>
        <w:r w:rsidR="00EF54D9">
          <w:rPr>
            <w:noProof/>
          </w:rPr>
          <w:t>2</w:t>
        </w:r>
        <w:r>
          <w:fldChar w:fldCharType="end"/>
        </w:r>
      </w:p>
    </w:sdtContent>
  </w:sdt>
  <w:p w:rsidR="00274343" w:rsidRDefault="00274343">
    <w:pPr>
      <w:pStyle w:val="Rodap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FA1" w:rsidRDefault="007F0FA1">
      <w:r>
        <w:separator/>
      </w:r>
    </w:p>
  </w:footnote>
  <w:footnote w:type="continuationSeparator" w:id="0">
    <w:p w:rsidR="007F0FA1" w:rsidRDefault="007F0FA1">
      <w:r>
        <w:continuationSeparator/>
      </w:r>
    </w:p>
  </w:footnote>
  <w:footnote w:id="1">
    <w:p w:rsidR="00274343" w:rsidRPr="0006183F" w:rsidRDefault="00047DA1" w:rsidP="00925F9C">
      <w:pPr>
        <w:pStyle w:val="Textodenotaderodap1"/>
        <w:spacing w:after="0"/>
        <w:rPr>
          <w:rFonts w:ascii="Times New Roman" w:hAnsi="Times New Roman" w:cs="Times New Roman"/>
          <w:sz w:val="20"/>
          <w:szCs w:val="20"/>
          <w:lang w:val="es-ES"/>
        </w:rPr>
      </w:pPr>
      <w:r w:rsidRPr="0006183F">
        <w:rPr>
          <w:rFonts w:ascii="Times New Roman" w:hAnsi="Times New Roman" w:cs="Times New Roman"/>
          <w:color w:val="000000"/>
          <w:sz w:val="20"/>
          <w:szCs w:val="20"/>
          <w:lang w:val="es-ES"/>
        </w:rPr>
        <w:footnoteRef/>
      </w:r>
      <w:r w:rsidRPr="0006183F">
        <w:rPr>
          <w:rFonts w:ascii="Times New Roman" w:hAnsi="Times New Roman" w:cs="Times New Roman"/>
          <w:color w:val="000000"/>
          <w:sz w:val="20"/>
          <w:szCs w:val="20"/>
          <w:lang w:val="es-ES"/>
        </w:rPr>
        <w:t xml:space="preserve"> Cf. E/C.12/2011/1, de 12 de julio de 2011.</w:t>
      </w:r>
    </w:p>
  </w:footnote>
  <w:footnote w:id="2">
    <w:p w:rsidR="00274343" w:rsidRPr="0006183F" w:rsidRDefault="00047DA1" w:rsidP="00925F9C">
      <w:pPr>
        <w:pStyle w:val="Textodenotaderodap1"/>
        <w:spacing w:after="0"/>
        <w:rPr>
          <w:rFonts w:ascii="Times New Roman" w:hAnsi="Times New Roman" w:cs="Times New Roman"/>
          <w:sz w:val="20"/>
          <w:szCs w:val="20"/>
          <w:lang w:val="es-ES"/>
        </w:rPr>
      </w:pPr>
      <w:r w:rsidRPr="0006183F">
        <w:rPr>
          <w:rFonts w:ascii="Times New Roman" w:hAnsi="Times New Roman" w:cs="Times New Roman"/>
          <w:sz w:val="20"/>
          <w:szCs w:val="20"/>
          <w:lang w:val="es-ES"/>
        </w:rPr>
        <w:footnoteRef/>
      </w:r>
      <w:r w:rsidRPr="0006183F">
        <w:rPr>
          <w:rFonts w:ascii="Times New Roman" w:hAnsi="Times New Roman" w:cs="Times New Roman"/>
          <w:sz w:val="20"/>
          <w:szCs w:val="20"/>
          <w:lang w:val="es-ES"/>
        </w:rPr>
        <w:t xml:space="preserve"> Observaciones finales del Comité de Derechos Humanos, CCPR/C/DEU/CO/6, § 16 de 13 de noviembre de 2012 (el destacado es nuestro).</w:t>
      </w:r>
    </w:p>
  </w:footnote>
  <w:footnote w:id="3">
    <w:p w:rsidR="00274343" w:rsidRPr="0006183F" w:rsidRDefault="00047DA1" w:rsidP="00925F9C">
      <w:pPr>
        <w:pStyle w:val="Textodenotaderodap1"/>
        <w:spacing w:after="0"/>
        <w:rPr>
          <w:rFonts w:ascii="Times New Roman" w:hAnsi="Times New Roman" w:cs="Times New Roman"/>
          <w:sz w:val="20"/>
          <w:szCs w:val="20"/>
          <w:lang w:val="es-ES"/>
        </w:rPr>
      </w:pPr>
      <w:r w:rsidRPr="0006183F">
        <w:rPr>
          <w:rFonts w:ascii="Times New Roman" w:hAnsi="Times New Roman" w:cs="Times New Roman"/>
          <w:sz w:val="20"/>
          <w:szCs w:val="20"/>
          <w:lang w:val="es-ES"/>
        </w:rPr>
        <w:footnoteRef/>
      </w:r>
      <w:r w:rsidRPr="0006183F">
        <w:rPr>
          <w:rFonts w:ascii="Times New Roman" w:hAnsi="Times New Roman" w:cs="Times New Roman"/>
          <w:sz w:val="20"/>
          <w:szCs w:val="20"/>
          <w:lang w:val="es-ES"/>
        </w:rPr>
        <w:t xml:space="preserve"> Observación General n° 16, CRC/C/GC/16, adoptada el 17 de abril de 2013.</w:t>
      </w:r>
    </w:p>
  </w:footnote>
  <w:footnote w:id="4">
    <w:p w:rsidR="0006183F" w:rsidRPr="0006183F" w:rsidRDefault="0006183F">
      <w:pPr>
        <w:pStyle w:val="Funotentext"/>
        <w:rPr>
          <w:rFonts w:ascii="Times New Roman" w:hAnsi="Times New Roman" w:cs="Times New Roman"/>
          <w:sz w:val="20"/>
          <w:szCs w:val="20"/>
          <w:lang w:val="es-ES"/>
        </w:rPr>
      </w:pPr>
      <w:r w:rsidRPr="0006183F">
        <w:rPr>
          <w:rStyle w:val="Funotenzeichen"/>
          <w:rFonts w:ascii="Times New Roman" w:hAnsi="Times New Roman" w:cs="Times New Roman"/>
          <w:sz w:val="20"/>
          <w:szCs w:val="20"/>
          <w:lang w:val="es-ES"/>
        </w:rPr>
        <w:footnoteRef/>
      </w:r>
      <w:r w:rsidRPr="0006183F">
        <w:rPr>
          <w:rFonts w:ascii="Times New Roman" w:hAnsi="Times New Roman" w:cs="Times New Roman"/>
          <w:sz w:val="20"/>
          <w:szCs w:val="20"/>
          <w:lang w:val="es-ES"/>
        </w:rPr>
        <w:t xml:space="preserve"> </w:t>
      </w:r>
      <w:r w:rsidR="00925F9C">
        <w:rPr>
          <w:rFonts w:ascii="Times New Roman" w:hAnsi="Times New Roman" w:cs="Times New Roman"/>
          <w:sz w:val="20"/>
          <w:szCs w:val="20"/>
          <w:lang w:val="es-ES"/>
        </w:rPr>
        <w:t>Consorcio ETO</w:t>
      </w:r>
      <w:r w:rsidRPr="0006183F">
        <w:rPr>
          <w:rFonts w:ascii="Times New Roman" w:hAnsi="Times New Roman" w:cs="Times New Roman"/>
          <w:sz w:val="20"/>
          <w:szCs w:val="20"/>
          <w:lang w:val="es-ES"/>
        </w:rPr>
        <w:t xml:space="preserve">, Principios de Maastricht sobre las Obligaciones Extraterritoriales de los Estados en el </w:t>
      </w:r>
      <w:r w:rsidR="00925F9C" w:rsidRPr="0006183F">
        <w:rPr>
          <w:rFonts w:ascii="Times New Roman" w:hAnsi="Times New Roman" w:cs="Times New Roman"/>
          <w:sz w:val="20"/>
          <w:szCs w:val="20"/>
          <w:lang w:val="es-ES"/>
        </w:rPr>
        <w:t>Área</w:t>
      </w:r>
      <w:r w:rsidRPr="0006183F">
        <w:rPr>
          <w:rFonts w:ascii="Times New Roman" w:hAnsi="Times New Roman" w:cs="Times New Roman"/>
          <w:sz w:val="20"/>
          <w:szCs w:val="20"/>
          <w:lang w:val="es-ES"/>
        </w:rPr>
        <w:t xml:space="preserve"> de los Derechos Económicos, Sociales y Culturales, p.9, https://www.fidh.org/IMG/pdf/maastricht-eto-principles-es_web.pdf</w:t>
      </w:r>
    </w:p>
  </w:footnote>
  <w:footnote w:id="5">
    <w:p w:rsidR="00274343" w:rsidRPr="0006183F" w:rsidRDefault="00047DA1" w:rsidP="00925F9C">
      <w:pPr>
        <w:pStyle w:val="Funotentext"/>
        <w:spacing w:after="0"/>
        <w:jc w:val="both"/>
        <w:rPr>
          <w:rFonts w:ascii="Times New Roman" w:hAnsi="Times New Roman" w:cs="Times New Roman"/>
          <w:sz w:val="20"/>
          <w:szCs w:val="20"/>
          <w:lang w:val="es-ES"/>
        </w:rPr>
      </w:pPr>
      <w:r w:rsidRPr="0006183F">
        <w:rPr>
          <w:rStyle w:val="Funotenzeichen"/>
          <w:rFonts w:ascii="Times New Roman" w:hAnsi="Times New Roman" w:cs="Times New Roman"/>
          <w:sz w:val="20"/>
          <w:szCs w:val="20"/>
          <w:lang w:val="es-ES"/>
        </w:rPr>
        <w:footnoteRef/>
      </w:r>
      <w:r w:rsidR="00925F9C">
        <w:rPr>
          <w:rStyle w:val="Funotenzeichen"/>
          <w:rFonts w:ascii="Times New Roman" w:hAnsi="Times New Roman" w:cs="Times New Roman"/>
          <w:sz w:val="20"/>
          <w:szCs w:val="20"/>
          <w:lang w:val="es-ES"/>
        </w:rPr>
        <w:t xml:space="preserve"> </w:t>
      </w:r>
      <w:r w:rsidRPr="0006183F">
        <w:rPr>
          <w:rFonts w:ascii="Times New Roman" w:hAnsi="Times New Roman" w:cs="Times New Roman"/>
          <w:sz w:val="20"/>
          <w:szCs w:val="20"/>
          <w:lang w:val="es-ES"/>
        </w:rPr>
        <w:t>DE SCHUTTER, Oliver. Extraterritorial Jurisdiction as a tool for Improving the Human Rights Accountability</w:t>
      </w:r>
      <w:r w:rsidR="00925F9C">
        <w:rPr>
          <w:rFonts w:ascii="Times New Roman" w:hAnsi="Times New Roman" w:cs="Times New Roman"/>
          <w:sz w:val="20"/>
          <w:szCs w:val="20"/>
          <w:lang w:val="es-ES"/>
        </w:rPr>
        <w:t xml:space="preserve"> of Transnational Corporations, disponible en</w:t>
      </w:r>
      <w:r w:rsidRPr="0006183F">
        <w:rPr>
          <w:rFonts w:ascii="Times New Roman" w:hAnsi="Times New Roman" w:cs="Times New Roman"/>
          <w:sz w:val="20"/>
          <w:szCs w:val="20"/>
          <w:lang w:val="es-ES"/>
        </w:rPr>
        <w:t>: &lt; http://198.170.85.29/Olivier-de-</w:t>
      </w:r>
      <w:r w:rsidR="00925F9C">
        <w:rPr>
          <w:rFonts w:ascii="Times New Roman" w:hAnsi="Times New Roman" w:cs="Times New Roman"/>
          <w:sz w:val="20"/>
          <w:szCs w:val="20"/>
          <w:lang w:val="es-ES"/>
        </w:rPr>
        <w:t>S</w:t>
      </w:r>
      <w:r w:rsidRPr="0006183F">
        <w:rPr>
          <w:rFonts w:ascii="Times New Roman" w:hAnsi="Times New Roman" w:cs="Times New Roman"/>
          <w:sz w:val="20"/>
          <w:szCs w:val="20"/>
          <w:lang w:val="es-ES"/>
        </w:rPr>
        <w:t>chutterreport- for-SRSG-re-extraterritorial-jurisdiction-Dec-2006.pdf &gt; Acceso 18 de Mayo, 2016</w:t>
      </w:r>
    </w:p>
  </w:footnote>
  <w:footnote w:id="6">
    <w:p w:rsidR="00274343" w:rsidRPr="0006183F" w:rsidRDefault="00047DA1">
      <w:pPr>
        <w:pStyle w:val="Funotentext"/>
        <w:rPr>
          <w:rFonts w:ascii="Times New Roman" w:hAnsi="Times New Roman" w:cs="Times New Roman"/>
          <w:sz w:val="20"/>
          <w:szCs w:val="20"/>
          <w:lang w:val="es-ES"/>
        </w:rPr>
      </w:pPr>
      <w:r w:rsidRPr="0006183F">
        <w:rPr>
          <w:rStyle w:val="Funotenzeichen"/>
          <w:rFonts w:ascii="Times New Roman" w:hAnsi="Times New Roman" w:cs="Times New Roman"/>
          <w:sz w:val="20"/>
          <w:szCs w:val="20"/>
          <w:lang w:val="es-ES"/>
        </w:rPr>
        <w:footnoteRef/>
      </w:r>
      <w:r w:rsidRPr="0006183F">
        <w:rPr>
          <w:rFonts w:ascii="Times New Roman" w:hAnsi="Times New Roman" w:cs="Times New Roman"/>
          <w:sz w:val="20"/>
          <w:szCs w:val="20"/>
          <w:lang w:val="es-ES"/>
        </w:rPr>
        <w:t xml:space="preserve"> Principios de Madrid y Buenos Aires. Jurisdicción Universal 2015. Disponibles en:</w:t>
      </w:r>
      <w:r w:rsidR="00925F9C">
        <w:rPr>
          <w:rFonts w:ascii="Times New Roman" w:hAnsi="Times New Roman" w:cs="Times New Roman"/>
          <w:sz w:val="20"/>
          <w:szCs w:val="20"/>
          <w:lang w:val="es-ES"/>
        </w:rPr>
        <w:t xml:space="preserve"> </w:t>
      </w:r>
      <w:r w:rsidRPr="0006183F">
        <w:rPr>
          <w:rFonts w:ascii="Times New Roman" w:hAnsi="Times New Roman" w:cs="Times New Roman"/>
          <w:sz w:val="20"/>
          <w:szCs w:val="20"/>
          <w:lang w:val="es-ES"/>
        </w:rPr>
        <w:t>http://redpenalinternacional.org/web/wp-content/uploads/2015/09/PRINCIPIOS-DE-MADRIDBUENOS-AIRES.pdf&gt;. Acceso el 3 de Julio,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343" w:rsidRDefault="00274343">
    <w:pPr>
      <w:pStyle w:val="Cabealho1"/>
    </w:pPr>
  </w:p>
  <w:p w:rsidR="00047DA1" w:rsidRDefault="00047DA1">
    <w:pPr>
      <w:pStyle w:val="Cabealho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639"/>
    <w:multiLevelType w:val="hybridMultilevel"/>
    <w:tmpl w:val="EDDE046E"/>
    <w:lvl w:ilvl="0" w:tplc="48FC4C5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7754DA"/>
    <w:multiLevelType w:val="hybridMultilevel"/>
    <w:tmpl w:val="8252264E"/>
    <w:lvl w:ilvl="0" w:tplc="48FC4C5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43"/>
    <w:rsid w:val="00047DA1"/>
    <w:rsid w:val="0006183F"/>
    <w:rsid w:val="001924B4"/>
    <w:rsid w:val="00234F82"/>
    <w:rsid w:val="00274343"/>
    <w:rsid w:val="007B0B48"/>
    <w:rsid w:val="007F0FA1"/>
    <w:rsid w:val="00925F9C"/>
    <w:rsid w:val="00EF54D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5273963-6AC3-4FB5-A3FB-E3AD4574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550203"/>
    <w:rPr>
      <w:sz w:val="16"/>
      <w:szCs w:val="16"/>
    </w:rPr>
  </w:style>
  <w:style w:type="character" w:customStyle="1" w:styleId="KommentartextZchn">
    <w:name w:val="Kommentartext Zchn"/>
    <w:basedOn w:val="Absatz-Standardschriftart"/>
    <w:link w:val="Kommentartext"/>
    <w:uiPriority w:val="99"/>
    <w:semiHidden/>
    <w:qFormat/>
    <w:rsid w:val="00550203"/>
    <w:rPr>
      <w:sz w:val="20"/>
      <w:szCs w:val="20"/>
    </w:rPr>
  </w:style>
  <w:style w:type="character" w:customStyle="1" w:styleId="KommentarthemaZchn">
    <w:name w:val="Kommentarthema Zchn"/>
    <w:basedOn w:val="KommentartextZchn"/>
    <w:link w:val="Kommentarthema"/>
    <w:uiPriority w:val="99"/>
    <w:semiHidden/>
    <w:qFormat/>
    <w:rsid w:val="00550203"/>
    <w:rPr>
      <w:b/>
      <w:bCs/>
      <w:sz w:val="20"/>
      <w:szCs w:val="20"/>
    </w:rPr>
  </w:style>
  <w:style w:type="character" w:customStyle="1" w:styleId="SprechblasentextZchn">
    <w:name w:val="Sprechblasentext Zchn"/>
    <w:basedOn w:val="Absatz-Standardschriftart"/>
    <w:link w:val="Sprechblasentext"/>
    <w:uiPriority w:val="99"/>
    <w:semiHidden/>
    <w:qFormat/>
    <w:rsid w:val="00550203"/>
    <w:rPr>
      <w:rFonts w:ascii="Segoe UI" w:hAnsi="Segoe UI" w:cs="Segoe UI"/>
      <w:sz w:val="18"/>
      <w:szCs w:val="18"/>
    </w:rPr>
  </w:style>
  <w:style w:type="character" w:customStyle="1" w:styleId="FunotentextZchn">
    <w:name w:val="Fußnotentext Zchn"/>
    <w:basedOn w:val="Absatz-Standardschriftart"/>
    <w:link w:val="Funotentext"/>
    <w:uiPriority w:val="99"/>
    <w:semiHidden/>
    <w:qFormat/>
    <w:rsid w:val="00473319"/>
    <w:rPr>
      <w:sz w:val="20"/>
      <w:szCs w:val="20"/>
    </w:rPr>
  </w:style>
  <w:style w:type="character" w:styleId="Funotenzeichen">
    <w:name w:val="footnote reference"/>
    <w:basedOn w:val="Absatz-Standardschriftart"/>
    <w:uiPriority w:val="99"/>
    <w:semiHidden/>
    <w:unhideWhenUsed/>
    <w:qFormat/>
    <w:rsid w:val="00473319"/>
    <w:rPr>
      <w:vertAlign w:val="superscript"/>
    </w:rPr>
  </w:style>
  <w:style w:type="character" w:customStyle="1" w:styleId="LienInternet">
    <w:name w:val="Lien Internet"/>
    <w:basedOn w:val="Absatz-Standardschriftart"/>
    <w:uiPriority w:val="99"/>
    <w:unhideWhenUsed/>
    <w:rsid w:val="00D568BD"/>
    <w:rPr>
      <w:color w:val="0563C1" w:themeColor="hyperlink"/>
      <w:u w:val="single"/>
    </w:rPr>
  </w:style>
  <w:style w:type="character" w:customStyle="1" w:styleId="HeaderChar">
    <w:name w:val="Header Char"/>
    <w:basedOn w:val="Absatz-Standardschriftart"/>
    <w:link w:val="Cabealho1"/>
    <w:uiPriority w:val="99"/>
    <w:qFormat/>
    <w:rsid w:val="000E0FFA"/>
  </w:style>
  <w:style w:type="character" w:customStyle="1" w:styleId="FooterChar">
    <w:name w:val="Footer Char"/>
    <w:basedOn w:val="Absatz-Standardschriftart"/>
    <w:link w:val="Rodap1"/>
    <w:uiPriority w:val="99"/>
    <w:qFormat/>
    <w:rsid w:val="000E0FFA"/>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KopfzeileZchn">
    <w:name w:val="Kopfzeile Zchn"/>
    <w:basedOn w:val="Absatz-Standardschriftart"/>
    <w:link w:val="Kopfzeile"/>
    <w:uiPriority w:val="99"/>
    <w:qFormat/>
    <w:rsid w:val="0088467F"/>
  </w:style>
  <w:style w:type="character" w:customStyle="1" w:styleId="FuzeileZchn">
    <w:name w:val="Fußzeile Zchn"/>
    <w:basedOn w:val="Absatz-Standardschriftart"/>
    <w:link w:val="Fuzeile"/>
    <w:uiPriority w:val="99"/>
    <w:qFormat/>
    <w:rsid w:val="0088467F"/>
  </w:style>
  <w:style w:type="paragraph" w:customStyle="1" w:styleId="Titre">
    <w:name w:val="Titre"/>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Index">
    <w:name w:val="Index"/>
    <w:basedOn w:val="Standard"/>
    <w:qFormat/>
    <w:pPr>
      <w:suppressLineNumbers/>
    </w:pPr>
    <w:rPr>
      <w:rFonts w:cs="Mangal"/>
    </w:rPr>
  </w:style>
  <w:style w:type="paragraph" w:customStyle="1" w:styleId="Legenda1">
    <w:name w:val="Legenda1"/>
    <w:basedOn w:val="Standard"/>
    <w:qFormat/>
    <w:pPr>
      <w:suppressLineNumbers/>
      <w:spacing w:before="120" w:after="120"/>
    </w:pPr>
    <w:rPr>
      <w:rFonts w:cs="Mangal"/>
      <w:i/>
      <w:iCs/>
      <w:sz w:val="24"/>
      <w:szCs w:val="24"/>
    </w:rPr>
  </w:style>
  <w:style w:type="paragraph" w:styleId="Kommentartext">
    <w:name w:val="annotation text"/>
    <w:basedOn w:val="Standard"/>
    <w:link w:val="KommentartextZchn"/>
    <w:uiPriority w:val="99"/>
    <w:semiHidden/>
    <w:unhideWhenUsed/>
    <w:qFormat/>
    <w:rsid w:val="00550203"/>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550203"/>
    <w:rPr>
      <w:b/>
      <w:bCs/>
    </w:rPr>
  </w:style>
  <w:style w:type="paragraph" w:styleId="Sprechblasentext">
    <w:name w:val="Balloon Text"/>
    <w:basedOn w:val="Standard"/>
    <w:link w:val="SprechblasentextZchn"/>
    <w:uiPriority w:val="99"/>
    <w:semiHidden/>
    <w:unhideWhenUsed/>
    <w:qFormat/>
    <w:rsid w:val="00550203"/>
    <w:pPr>
      <w:spacing w:after="0" w:line="240" w:lineRule="auto"/>
    </w:pPr>
    <w:rPr>
      <w:rFonts w:ascii="Segoe UI" w:hAnsi="Segoe UI" w:cs="Segoe UI"/>
      <w:sz w:val="18"/>
      <w:szCs w:val="18"/>
    </w:rPr>
  </w:style>
  <w:style w:type="paragraph" w:styleId="Funotentext">
    <w:name w:val="footnote text"/>
    <w:basedOn w:val="Standard"/>
    <w:link w:val="FunotentextZchn"/>
  </w:style>
  <w:style w:type="paragraph" w:customStyle="1" w:styleId="Cabealho1">
    <w:name w:val="Cabeçalho1"/>
    <w:basedOn w:val="Standard"/>
    <w:link w:val="HeaderChar"/>
    <w:uiPriority w:val="99"/>
    <w:unhideWhenUsed/>
    <w:qFormat/>
    <w:rsid w:val="000E0FFA"/>
    <w:pPr>
      <w:tabs>
        <w:tab w:val="center" w:pos="4252"/>
        <w:tab w:val="right" w:pos="8504"/>
      </w:tabs>
      <w:spacing w:after="0" w:line="240" w:lineRule="auto"/>
    </w:pPr>
  </w:style>
  <w:style w:type="paragraph" w:customStyle="1" w:styleId="Rodap1">
    <w:name w:val="Rodapé1"/>
    <w:basedOn w:val="Standard"/>
    <w:link w:val="FooterChar"/>
    <w:uiPriority w:val="99"/>
    <w:unhideWhenUsed/>
    <w:qFormat/>
    <w:rsid w:val="000E0FFA"/>
    <w:pPr>
      <w:tabs>
        <w:tab w:val="center" w:pos="4252"/>
        <w:tab w:val="right" w:pos="8504"/>
      </w:tabs>
      <w:spacing w:after="0" w:line="240" w:lineRule="auto"/>
    </w:pPr>
  </w:style>
  <w:style w:type="paragraph" w:customStyle="1" w:styleId="Textodenotaderodap1">
    <w:name w:val="Texto de nota de rodapé1"/>
    <w:basedOn w:val="Standard"/>
    <w:qFormat/>
  </w:style>
  <w:style w:type="paragraph" w:customStyle="1" w:styleId="TE1">
    <w:name w:val="TE1"/>
    <w:basedOn w:val="Standard"/>
    <w:qFormat/>
    <w:pPr>
      <w:ind w:firstLine="284"/>
      <w:jc w:val="both"/>
    </w:pPr>
    <w:rPr>
      <w:rFonts w:ascii="Times New Roman" w:hAnsi="Times New Roman"/>
      <w:sz w:val="20"/>
      <w:lang w:val="es-ES"/>
    </w:rPr>
  </w:style>
  <w:style w:type="paragraph" w:styleId="Kopfzeile">
    <w:name w:val="header"/>
    <w:basedOn w:val="Standard"/>
    <w:link w:val="KopfzeileZchn"/>
    <w:uiPriority w:val="99"/>
    <w:unhideWhenUsed/>
    <w:rsid w:val="0088467F"/>
    <w:pPr>
      <w:tabs>
        <w:tab w:val="center" w:pos="4320"/>
        <w:tab w:val="right" w:pos="8640"/>
      </w:tabs>
      <w:spacing w:after="0" w:line="240" w:lineRule="auto"/>
    </w:pPr>
  </w:style>
  <w:style w:type="paragraph" w:styleId="Fuzeile">
    <w:name w:val="footer"/>
    <w:basedOn w:val="Standard"/>
    <w:link w:val="FuzeileZchn"/>
    <w:uiPriority w:val="99"/>
    <w:unhideWhenUsed/>
    <w:rsid w:val="0088467F"/>
    <w:pPr>
      <w:tabs>
        <w:tab w:val="center" w:pos="4320"/>
        <w:tab w:val="right" w:pos="8640"/>
      </w:tabs>
      <w:spacing w:after="0" w:line="240" w:lineRule="auto"/>
    </w:pPr>
  </w:style>
  <w:style w:type="character" w:styleId="Hyperlink">
    <w:name w:val="Hyperlink"/>
    <w:basedOn w:val="Absatz-Standardschriftart"/>
    <w:uiPriority w:val="99"/>
    <w:unhideWhenUsed/>
    <w:rsid w:val="001924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gwg-tncs@ohchr.org" TargetMode="External"/><Relationship Id="rId4" Type="http://schemas.openxmlformats.org/officeDocument/2006/relationships/settings" Target="settings.xml"/><Relationship Id="rId9" Type="http://schemas.openxmlformats.org/officeDocument/2006/relationships/hyperlink" Target="mailto:suarez-franco@fian.org"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16F3B2-615C-44DB-B158-380270CEC4FA}"/>
</file>

<file path=customXml/itemProps2.xml><?xml version="1.0" encoding="utf-8"?>
<ds:datastoreItem xmlns:ds="http://schemas.openxmlformats.org/officeDocument/2006/customXml" ds:itemID="{2B7E7CCB-1B86-4143-A0D3-8F7B038D21D4}"/>
</file>

<file path=customXml/itemProps3.xml><?xml version="1.0" encoding="utf-8"?>
<ds:datastoreItem xmlns:ds="http://schemas.openxmlformats.org/officeDocument/2006/customXml" ds:itemID="{C4CDDE3D-99BD-485E-B652-D6852DAC73E1}"/>
</file>

<file path=customXml/itemProps4.xml><?xml version="1.0" encoding="utf-8"?>
<ds:datastoreItem xmlns:ds="http://schemas.openxmlformats.org/officeDocument/2006/customXml" ds:itemID="{09BD2DDA-449D-4BDF-BACA-1F45CAF66A7D}"/>
</file>

<file path=docProps/app.xml><?xml version="1.0" encoding="utf-8"?>
<Properties xmlns="http://schemas.openxmlformats.org/officeDocument/2006/extended-properties" xmlns:vt="http://schemas.openxmlformats.org/officeDocument/2006/docPropsVTypes">
  <Template>Normal</Template>
  <TotalTime>0</TotalTime>
  <Pages>4</Pages>
  <Words>1890</Words>
  <Characters>11908</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Berron</dc:creator>
  <dc:description/>
  <cp:lastModifiedBy>Ana Maria Suarez-Franco</cp:lastModifiedBy>
  <cp:revision>2</cp:revision>
  <dcterms:created xsi:type="dcterms:W3CDTF">2016-09-30T17:05:00Z</dcterms:created>
  <dcterms:modified xsi:type="dcterms:W3CDTF">2016-09-30T17:05:00Z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y fmtid="{D5CDD505-2E9C-101B-9397-08002B2CF9AE}" pid="9" name="Order">
    <vt:r8>3785900</vt:r8>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