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AB8" w:rsidRDefault="009F0AB8" w:rsidP="009F0AB8">
      <w:pPr>
        <w:autoSpaceDE w:val="0"/>
        <w:autoSpaceDN w:val="0"/>
        <w:adjustRightInd w:val="0"/>
        <w:spacing w:after="0" w:line="240" w:lineRule="auto"/>
        <w:rPr>
          <w:rFonts w:ascii="Tms Rmn" w:hAnsi="Tms Rmn" w:cs="Tms Rmn"/>
          <w:color w:val="000000"/>
          <w:sz w:val="24"/>
          <w:szCs w:val="24"/>
          <w:u w:val="single"/>
        </w:rPr>
      </w:pPr>
      <w:r>
        <w:rPr>
          <w:rFonts w:ascii="Tms Rmn" w:hAnsi="Tms Rmn" w:cs="Tms Rmn"/>
          <w:color w:val="000000"/>
          <w:sz w:val="24"/>
          <w:szCs w:val="24"/>
          <w:u w:val="single"/>
        </w:rPr>
        <w:t>Panel III sub-theme 2</w:t>
      </w:r>
    </w:p>
    <w:p w:rsidR="009F0AB8" w:rsidRDefault="009F0AB8" w:rsidP="009F0AB8">
      <w:pPr>
        <w:autoSpaceDE w:val="0"/>
        <w:autoSpaceDN w:val="0"/>
        <w:adjustRightInd w:val="0"/>
        <w:spacing w:after="0" w:line="240" w:lineRule="auto"/>
        <w:rPr>
          <w:rFonts w:ascii="Tms Rmn" w:hAnsi="Tms Rmn" w:cs="Tms Rmn"/>
          <w:color w:val="000000"/>
          <w:sz w:val="24"/>
          <w:szCs w:val="24"/>
          <w:u w:val="single"/>
        </w:rPr>
      </w:pPr>
    </w:p>
    <w:p w:rsidR="00007EF3" w:rsidRDefault="009F0AB8" w:rsidP="009F0AB8">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I will briefly outline standards of civil liability for HR abuses applicable to MNC parent companies, focusing on developments in English law and wider potential implications.</w:t>
      </w:r>
    </w:p>
    <w:p w:rsidR="009F0AB8" w:rsidRDefault="009F0AB8" w:rsidP="009F0AB8">
      <w:pPr>
        <w:autoSpaceDE w:val="0"/>
        <w:autoSpaceDN w:val="0"/>
        <w:adjustRightInd w:val="0"/>
        <w:spacing w:after="0" w:line="240" w:lineRule="auto"/>
        <w:rPr>
          <w:rFonts w:ascii="Tms Rmn" w:hAnsi="Tms Rmn"/>
          <w:sz w:val="24"/>
          <w:szCs w:val="24"/>
        </w:rPr>
      </w:pPr>
      <w:bookmarkStart w:id="0" w:name="_GoBack"/>
      <w:bookmarkEnd w:id="0"/>
    </w:p>
    <w:p w:rsidR="00007EF3" w:rsidRDefault="00007EF3" w:rsidP="00007EF3">
      <w:pPr>
        <w:autoSpaceDE w:val="0"/>
        <w:autoSpaceDN w:val="0"/>
        <w:adjustRightInd w:val="0"/>
        <w:spacing w:after="0" w:line="240" w:lineRule="auto"/>
        <w:rPr>
          <w:rFonts w:ascii="Tms Rmn" w:hAnsi="Tms Rmn" w:cs="Tms Rmn"/>
          <w:b/>
          <w:bCs/>
          <w:color w:val="000000"/>
          <w:sz w:val="24"/>
          <w:szCs w:val="24"/>
          <w:u w:val="single"/>
        </w:rPr>
      </w:pPr>
      <w:r>
        <w:rPr>
          <w:rFonts w:ascii="Tms Rmn" w:hAnsi="Tms Rmn" w:cs="Tms Rmn"/>
          <w:b/>
          <w:bCs/>
          <w:color w:val="000000"/>
          <w:sz w:val="24"/>
          <w:szCs w:val="24"/>
          <w:u w:val="single"/>
        </w:rPr>
        <w:t>Background</w:t>
      </w:r>
    </w:p>
    <w:p w:rsidR="00007EF3" w:rsidRDefault="00007EF3" w:rsidP="00007EF3">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w:t>
      </w:r>
    </w:p>
    <w:p w:rsidR="00007EF3" w:rsidRDefault="00007EF3" w:rsidP="00007EF3">
      <w:pPr>
        <w:autoSpaceDE w:val="0"/>
        <w:autoSpaceDN w:val="0"/>
        <w:adjustRightInd w:val="0"/>
        <w:spacing w:after="0" w:line="240" w:lineRule="auto"/>
        <w:ind w:left="720"/>
        <w:rPr>
          <w:rFonts w:ascii="Tms Rmn" w:hAnsi="Tms Rmn" w:cs="Tms Rmn"/>
          <w:color w:val="000000"/>
          <w:sz w:val="24"/>
          <w:szCs w:val="24"/>
        </w:rPr>
      </w:pPr>
      <w:r>
        <w:rPr>
          <w:rFonts w:ascii="Tms Rmn" w:hAnsi="Tms Rmn" w:cs="Tms Rmn"/>
          <w:color w:val="000000"/>
          <w:sz w:val="24"/>
          <w:szCs w:val="24"/>
        </w:rPr>
        <w:t xml:space="preserve">1.       Duty of care under English tort (common) law: </w:t>
      </w:r>
    </w:p>
    <w:p w:rsidR="00007EF3" w:rsidRDefault="00007EF3" w:rsidP="00007EF3">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w:t>
      </w:r>
    </w:p>
    <w:p w:rsidR="00007EF3" w:rsidRDefault="00007EF3" w:rsidP="00007EF3">
      <w:pPr>
        <w:autoSpaceDE w:val="0"/>
        <w:autoSpaceDN w:val="0"/>
        <w:adjustRightInd w:val="0"/>
        <w:spacing w:after="0" w:line="240" w:lineRule="auto"/>
        <w:ind w:left="1080"/>
        <w:rPr>
          <w:rFonts w:ascii="Tms Rmn" w:hAnsi="Tms Rmn" w:cs="Tms Rmn"/>
          <w:color w:val="000000"/>
          <w:sz w:val="24"/>
          <w:szCs w:val="24"/>
        </w:rPr>
      </w:pPr>
      <w:r>
        <w:rPr>
          <w:rFonts w:ascii="Tms Rmn" w:hAnsi="Tms Rmn" w:cs="Tms Rmn"/>
          <w:color w:val="000000"/>
          <w:sz w:val="24"/>
          <w:szCs w:val="24"/>
        </w:rPr>
        <w:t>(a)    To take reasonable steps to avoid harm to those to whom a duty of care is owed (overlaps largely with "HR due diligence" under UNGPs and OECD Guidelines)</w:t>
      </w:r>
    </w:p>
    <w:p w:rsidR="00007EF3" w:rsidRDefault="00007EF3" w:rsidP="00007EF3">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w:t>
      </w:r>
    </w:p>
    <w:p w:rsidR="00007EF3" w:rsidRDefault="00007EF3" w:rsidP="00007EF3">
      <w:pPr>
        <w:autoSpaceDE w:val="0"/>
        <w:autoSpaceDN w:val="0"/>
        <w:adjustRightInd w:val="0"/>
        <w:spacing w:after="0" w:line="240" w:lineRule="auto"/>
        <w:ind w:left="1080"/>
        <w:rPr>
          <w:rFonts w:ascii="Tms Rmn" w:hAnsi="Tms Rmn" w:cs="Tms Rmn"/>
          <w:color w:val="000000"/>
          <w:sz w:val="24"/>
          <w:szCs w:val="24"/>
        </w:rPr>
      </w:pPr>
      <w:r>
        <w:rPr>
          <w:rFonts w:ascii="Tms Rmn" w:hAnsi="Tms Rmn" w:cs="Tms Rmn"/>
          <w:color w:val="000000"/>
          <w:sz w:val="24"/>
          <w:szCs w:val="24"/>
        </w:rPr>
        <w:t xml:space="preserve">(b)   </w:t>
      </w:r>
      <w:proofErr w:type="gramStart"/>
      <w:r>
        <w:rPr>
          <w:rFonts w:ascii="Tms Rmn" w:hAnsi="Tms Rmn" w:cs="Tms Rmn"/>
          <w:color w:val="000000"/>
          <w:sz w:val="24"/>
          <w:szCs w:val="24"/>
        </w:rPr>
        <w:t>duty</w:t>
      </w:r>
      <w:proofErr w:type="gramEnd"/>
      <w:r>
        <w:rPr>
          <w:rFonts w:ascii="Tms Rmn" w:hAnsi="Tms Rmn" w:cs="Tms Rmn"/>
          <w:color w:val="000000"/>
          <w:sz w:val="24"/>
          <w:szCs w:val="24"/>
        </w:rPr>
        <w:t xml:space="preserve"> owed in respect of activities that present a foreseeable risk of harm; where relationship with victim is sufficiently close (proximate) to make the imposition of a duty "fair, just and reasonable".</w:t>
      </w:r>
    </w:p>
    <w:p w:rsidR="00007EF3" w:rsidRDefault="00007EF3" w:rsidP="00007EF3">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w:t>
      </w:r>
    </w:p>
    <w:p w:rsidR="00007EF3" w:rsidRDefault="00007EF3" w:rsidP="00007EF3">
      <w:pPr>
        <w:autoSpaceDE w:val="0"/>
        <w:autoSpaceDN w:val="0"/>
        <w:adjustRightInd w:val="0"/>
        <w:spacing w:after="0" w:line="240" w:lineRule="auto"/>
        <w:ind w:left="720"/>
        <w:rPr>
          <w:rFonts w:ascii="Tms Rmn" w:hAnsi="Tms Rmn" w:cs="Tms Rmn"/>
          <w:color w:val="000000"/>
          <w:sz w:val="24"/>
          <w:szCs w:val="24"/>
        </w:rPr>
      </w:pPr>
      <w:r>
        <w:rPr>
          <w:rFonts w:ascii="Tms Rmn" w:hAnsi="Tms Rmn" w:cs="Tms Rmn"/>
          <w:color w:val="000000"/>
          <w:sz w:val="24"/>
          <w:szCs w:val="24"/>
        </w:rPr>
        <w:t xml:space="preserve">2.       This approach has resulted in successful claims e.g. Cape </w:t>
      </w:r>
      <w:proofErr w:type="spellStart"/>
      <w:r>
        <w:rPr>
          <w:rFonts w:ascii="Tms Rmn" w:hAnsi="Tms Rmn" w:cs="Tms Rmn"/>
          <w:color w:val="000000"/>
          <w:sz w:val="24"/>
          <w:szCs w:val="24"/>
        </w:rPr>
        <w:t>plc</w:t>
      </w:r>
      <w:proofErr w:type="spellEnd"/>
      <w:r>
        <w:rPr>
          <w:rFonts w:ascii="Tms Rmn" w:hAnsi="Tms Rmn" w:cs="Tms Rmn"/>
          <w:color w:val="000000"/>
          <w:sz w:val="24"/>
          <w:szCs w:val="24"/>
        </w:rPr>
        <w:t xml:space="preserve">; </w:t>
      </w:r>
      <w:proofErr w:type="spellStart"/>
      <w:r>
        <w:rPr>
          <w:rFonts w:ascii="Tms Rmn" w:hAnsi="Tms Rmn" w:cs="Tms Rmn"/>
          <w:color w:val="000000"/>
          <w:sz w:val="24"/>
          <w:szCs w:val="24"/>
        </w:rPr>
        <w:t>Trafigura</w:t>
      </w:r>
      <w:proofErr w:type="spellEnd"/>
      <w:r>
        <w:rPr>
          <w:rFonts w:ascii="Tms Rmn" w:hAnsi="Tms Rmn" w:cs="Tms Rmn"/>
          <w:color w:val="000000"/>
          <w:sz w:val="24"/>
          <w:szCs w:val="24"/>
        </w:rPr>
        <w:t xml:space="preserve">; Shell Nigeria; gold miners' silicosis (Anglo American).  (NB </w:t>
      </w:r>
      <w:proofErr w:type="spellStart"/>
      <w:r>
        <w:rPr>
          <w:rFonts w:ascii="Tms Rmn" w:hAnsi="Tms Rmn" w:cs="Tms Rmn"/>
          <w:color w:val="000000"/>
          <w:sz w:val="24"/>
          <w:szCs w:val="24"/>
        </w:rPr>
        <w:t>Trafigura</w:t>
      </w:r>
      <w:proofErr w:type="spellEnd"/>
      <w:r>
        <w:rPr>
          <w:rFonts w:ascii="Tms Rmn" w:hAnsi="Tms Rmn" w:cs="Tms Rmn"/>
          <w:color w:val="000000"/>
          <w:sz w:val="24"/>
          <w:szCs w:val="24"/>
        </w:rPr>
        <w:t xml:space="preserve"> and Shell claims did not raise issue of parent co liability)</w:t>
      </w:r>
    </w:p>
    <w:p w:rsidR="00007EF3" w:rsidRDefault="00007EF3" w:rsidP="00007EF3">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w:t>
      </w:r>
    </w:p>
    <w:p w:rsidR="00007EF3" w:rsidRDefault="00007EF3" w:rsidP="00007EF3">
      <w:pPr>
        <w:autoSpaceDE w:val="0"/>
        <w:autoSpaceDN w:val="0"/>
        <w:adjustRightInd w:val="0"/>
        <w:spacing w:after="0" w:line="240" w:lineRule="auto"/>
        <w:ind w:left="720"/>
        <w:rPr>
          <w:rFonts w:ascii="Tms Rmn" w:hAnsi="Tms Rmn" w:cs="Tms Rmn"/>
          <w:color w:val="000000"/>
          <w:sz w:val="24"/>
          <w:szCs w:val="24"/>
        </w:rPr>
      </w:pPr>
      <w:r>
        <w:rPr>
          <w:rFonts w:ascii="Tms Rmn" w:hAnsi="Tms Rmn" w:cs="Tms Rmn"/>
          <w:color w:val="000000"/>
          <w:sz w:val="24"/>
          <w:szCs w:val="24"/>
        </w:rPr>
        <w:t xml:space="preserve">3.       To overcome legal obstacle of the "corporate veil", cases focused on </w:t>
      </w:r>
      <w:r>
        <w:rPr>
          <w:rFonts w:ascii="Tms Rmn" w:hAnsi="Tms Rmn" w:cs="Tms Rmn"/>
          <w:i/>
          <w:iCs/>
          <w:color w:val="000000"/>
          <w:sz w:val="24"/>
          <w:szCs w:val="24"/>
        </w:rPr>
        <w:t>direct negligence</w:t>
      </w:r>
      <w:r>
        <w:rPr>
          <w:rFonts w:ascii="Tms Rmn" w:hAnsi="Tms Rmn" w:cs="Tms Rmn"/>
          <w:color w:val="000000"/>
          <w:sz w:val="24"/>
          <w:szCs w:val="24"/>
        </w:rPr>
        <w:t xml:space="preserve"> of the parent co </w:t>
      </w:r>
      <w:proofErr w:type="spellStart"/>
      <w:r>
        <w:rPr>
          <w:rFonts w:ascii="Tms Rmn" w:hAnsi="Tms Rmn" w:cs="Tms Rmn"/>
          <w:color w:val="000000"/>
          <w:sz w:val="24"/>
          <w:szCs w:val="24"/>
        </w:rPr>
        <w:t>ie</w:t>
      </w:r>
      <w:proofErr w:type="spellEnd"/>
      <w:r>
        <w:rPr>
          <w:rFonts w:ascii="Tms Rmn" w:hAnsi="Tms Rmn" w:cs="Tms Rmn"/>
          <w:color w:val="000000"/>
          <w:sz w:val="24"/>
          <w:szCs w:val="24"/>
        </w:rPr>
        <w:t xml:space="preserve"> deficiencies in functions and responsibilities of the parent that caused harm. </w:t>
      </w:r>
      <w:r>
        <w:rPr>
          <w:rFonts w:ascii="Tms Rmn" w:hAnsi="Tms Rmn" w:cs="Tms Rmn"/>
          <w:color w:val="000000"/>
          <w:sz w:val="24"/>
          <w:szCs w:val="24"/>
          <w:u w:val="single"/>
        </w:rPr>
        <w:t>Not</w:t>
      </w:r>
      <w:r>
        <w:rPr>
          <w:rFonts w:ascii="Tms Rmn" w:hAnsi="Tms Rmn" w:cs="Tms Rmn"/>
          <w:color w:val="000000"/>
          <w:sz w:val="24"/>
          <w:szCs w:val="24"/>
        </w:rPr>
        <w:t xml:space="preserve"> arguing that parent is liable for wrongdoing of subsidiaries.  </w:t>
      </w:r>
      <w:proofErr w:type="spellStart"/>
      <w:proofErr w:type="gramStart"/>
      <w:r>
        <w:rPr>
          <w:rFonts w:ascii="Tms Rmn" w:hAnsi="Tms Rmn" w:cs="Tms Rmn"/>
          <w:color w:val="000000"/>
          <w:sz w:val="24"/>
          <w:szCs w:val="24"/>
        </w:rPr>
        <w:t>Eg</w:t>
      </w:r>
      <w:proofErr w:type="spellEnd"/>
      <w:r>
        <w:rPr>
          <w:rFonts w:ascii="Tms Rmn" w:hAnsi="Tms Rmn" w:cs="Tms Rmn"/>
          <w:color w:val="000000"/>
          <w:sz w:val="24"/>
          <w:szCs w:val="24"/>
        </w:rPr>
        <w:t xml:space="preserve"> Thor Chemicals; Cape Plc.</w:t>
      </w:r>
      <w:proofErr w:type="gramEnd"/>
    </w:p>
    <w:p w:rsidR="00007EF3" w:rsidRDefault="00007EF3" w:rsidP="00007EF3">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w:t>
      </w:r>
    </w:p>
    <w:p w:rsidR="00007EF3" w:rsidRDefault="00007EF3" w:rsidP="00007EF3">
      <w:pPr>
        <w:autoSpaceDE w:val="0"/>
        <w:autoSpaceDN w:val="0"/>
        <w:adjustRightInd w:val="0"/>
        <w:spacing w:after="0" w:line="240" w:lineRule="auto"/>
        <w:ind w:left="720"/>
        <w:rPr>
          <w:rFonts w:ascii="Tms Rmn" w:hAnsi="Tms Rmn" w:cs="Tms Rmn"/>
          <w:color w:val="000000"/>
          <w:sz w:val="24"/>
          <w:szCs w:val="24"/>
        </w:rPr>
      </w:pPr>
      <w:r>
        <w:rPr>
          <w:rFonts w:ascii="Tms Rmn" w:hAnsi="Tms Rmn" w:cs="Tms Rmn"/>
          <w:color w:val="000000"/>
          <w:sz w:val="24"/>
          <w:szCs w:val="24"/>
        </w:rPr>
        <w:t xml:space="preserve">4.       MNC cases also led to first judicial ruling on issue of MNC parent co liability </w:t>
      </w:r>
      <w:proofErr w:type="gramStart"/>
      <w:r>
        <w:rPr>
          <w:rFonts w:ascii="Tms Rmn" w:hAnsi="Tms Rmn" w:cs="Tms Rmn"/>
          <w:color w:val="000000"/>
          <w:sz w:val="24"/>
          <w:szCs w:val="24"/>
        </w:rPr>
        <w:t>-  Chandler</w:t>
      </w:r>
      <w:proofErr w:type="gramEnd"/>
      <w:r>
        <w:rPr>
          <w:rFonts w:ascii="Tms Rmn" w:hAnsi="Tms Rmn" w:cs="Tms Rmn"/>
          <w:color w:val="000000"/>
          <w:sz w:val="24"/>
          <w:szCs w:val="24"/>
        </w:rPr>
        <w:t xml:space="preserve"> v Cape in which UK Court of Appeal specified circumstances where duty would be imposed </w:t>
      </w:r>
      <w:proofErr w:type="spellStart"/>
      <w:r>
        <w:rPr>
          <w:rFonts w:ascii="Tms Rmn" w:hAnsi="Tms Rmn" w:cs="Tms Rmn"/>
          <w:color w:val="000000"/>
          <w:sz w:val="24"/>
          <w:szCs w:val="24"/>
        </w:rPr>
        <w:t>viz</w:t>
      </w:r>
      <w:proofErr w:type="spellEnd"/>
      <w:r>
        <w:rPr>
          <w:rFonts w:ascii="Tms Rmn" w:hAnsi="Tms Rmn" w:cs="Tms Rmn"/>
          <w:color w:val="000000"/>
          <w:sz w:val="24"/>
          <w:szCs w:val="24"/>
        </w:rPr>
        <w:t>:</w:t>
      </w:r>
    </w:p>
    <w:p w:rsidR="00007EF3" w:rsidRDefault="00007EF3" w:rsidP="00007EF3">
      <w:pPr>
        <w:autoSpaceDE w:val="0"/>
        <w:autoSpaceDN w:val="0"/>
        <w:adjustRightInd w:val="0"/>
        <w:spacing w:after="0" w:line="240" w:lineRule="auto"/>
        <w:ind w:left="720"/>
        <w:rPr>
          <w:rFonts w:ascii="Tms Rmn" w:hAnsi="Tms Rmn" w:cs="Tms Rmn"/>
          <w:color w:val="000000"/>
          <w:sz w:val="24"/>
          <w:szCs w:val="24"/>
        </w:rPr>
      </w:pPr>
    </w:p>
    <w:p w:rsidR="00007EF3" w:rsidRDefault="00007EF3" w:rsidP="00007EF3">
      <w:pPr>
        <w:autoSpaceDE w:val="0"/>
        <w:autoSpaceDN w:val="0"/>
        <w:adjustRightInd w:val="0"/>
        <w:spacing w:after="0" w:line="240" w:lineRule="auto"/>
        <w:ind w:left="720"/>
        <w:rPr>
          <w:rFonts w:ascii="Tms Rmn" w:hAnsi="Tms Rmn" w:cs="Tms Rmn"/>
          <w:color w:val="000000"/>
          <w:sz w:val="24"/>
          <w:szCs w:val="24"/>
        </w:rPr>
      </w:pPr>
      <w:r>
        <w:rPr>
          <w:rFonts w:ascii="Tms Rmn" w:hAnsi="Tms Rmn" w:cs="Tms Rmn"/>
          <w:color w:val="000000"/>
          <w:sz w:val="24"/>
          <w:szCs w:val="24"/>
        </w:rPr>
        <w:t xml:space="preserve">(a) </w:t>
      </w:r>
      <w:proofErr w:type="gramStart"/>
      <w:r>
        <w:rPr>
          <w:rFonts w:ascii="Tms Rmn" w:hAnsi="Tms Rmn" w:cs="Tms Rmn"/>
          <w:color w:val="000000"/>
          <w:sz w:val="24"/>
          <w:szCs w:val="24"/>
        </w:rPr>
        <w:t>business</w:t>
      </w:r>
      <w:proofErr w:type="gramEnd"/>
      <w:r>
        <w:rPr>
          <w:rFonts w:ascii="Tms Rmn" w:hAnsi="Tms Rmn" w:cs="Tms Rmn"/>
          <w:color w:val="000000"/>
          <w:sz w:val="24"/>
          <w:szCs w:val="24"/>
        </w:rPr>
        <w:t xml:space="preserve"> of parent and subsidiary same in relevant respect</w:t>
      </w:r>
    </w:p>
    <w:p w:rsidR="00007EF3" w:rsidRDefault="00007EF3" w:rsidP="00007EF3">
      <w:pPr>
        <w:autoSpaceDE w:val="0"/>
        <w:autoSpaceDN w:val="0"/>
        <w:adjustRightInd w:val="0"/>
        <w:spacing w:after="0" w:line="240" w:lineRule="auto"/>
        <w:ind w:left="720"/>
        <w:rPr>
          <w:rFonts w:ascii="Tms Rmn" w:hAnsi="Tms Rmn" w:cs="Tms Rmn"/>
          <w:color w:val="000000"/>
          <w:sz w:val="24"/>
          <w:szCs w:val="24"/>
        </w:rPr>
      </w:pPr>
    </w:p>
    <w:p w:rsidR="00007EF3" w:rsidRDefault="00007EF3" w:rsidP="00007EF3">
      <w:pPr>
        <w:autoSpaceDE w:val="0"/>
        <w:autoSpaceDN w:val="0"/>
        <w:adjustRightInd w:val="0"/>
        <w:spacing w:after="0" w:line="240" w:lineRule="auto"/>
        <w:ind w:left="720"/>
        <w:rPr>
          <w:rFonts w:ascii="Tms Rmn" w:hAnsi="Tms Rmn" w:cs="Tms Rmn"/>
          <w:color w:val="000000"/>
          <w:sz w:val="24"/>
          <w:szCs w:val="24"/>
        </w:rPr>
      </w:pPr>
      <w:r>
        <w:rPr>
          <w:rFonts w:ascii="Tms Rmn" w:hAnsi="Tms Rmn" w:cs="Tms Rmn"/>
          <w:color w:val="000000"/>
          <w:sz w:val="24"/>
          <w:szCs w:val="24"/>
        </w:rPr>
        <w:t xml:space="preserve">(b) </w:t>
      </w:r>
      <w:proofErr w:type="gramStart"/>
      <w:r>
        <w:rPr>
          <w:rFonts w:ascii="Tms Rmn" w:hAnsi="Tms Rmn" w:cs="Tms Rmn"/>
          <w:color w:val="000000"/>
          <w:sz w:val="24"/>
          <w:szCs w:val="24"/>
        </w:rPr>
        <w:t>superior</w:t>
      </w:r>
      <w:proofErr w:type="gramEnd"/>
      <w:r>
        <w:rPr>
          <w:rFonts w:ascii="Tms Rmn" w:hAnsi="Tms Rmn" w:cs="Tms Rmn"/>
          <w:color w:val="000000"/>
          <w:sz w:val="24"/>
          <w:szCs w:val="24"/>
        </w:rPr>
        <w:t xml:space="preserve"> knowledge of parent on relevant aspects</w:t>
      </w:r>
    </w:p>
    <w:p w:rsidR="00007EF3" w:rsidRDefault="00007EF3" w:rsidP="00007EF3">
      <w:pPr>
        <w:autoSpaceDE w:val="0"/>
        <w:autoSpaceDN w:val="0"/>
        <w:adjustRightInd w:val="0"/>
        <w:spacing w:after="0" w:line="240" w:lineRule="auto"/>
        <w:ind w:left="720"/>
        <w:rPr>
          <w:rFonts w:ascii="Tms Rmn" w:hAnsi="Tms Rmn" w:cs="Tms Rmn"/>
          <w:color w:val="000000"/>
          <w:sz w:val="24"/>
          <w:szCs w:val="24"/>
        </w:rPr>
      </w:pPr>
    </w:p>
    <w:p w:rsidR="00007EF3" w:rsidRDefault="00007EF3" w:rsidP="00007EF3">
      <w:pPr>
        <w:autoSpaceDE w:val="0"/>
        <w:autoSpaceDN w:val="0"/>
        <w:adjustRightInd w:val="0"/>
        <w:spacing w:after="0" w:line="240" w:lineRule="auto"/>
        <w:ind w:left="720"/>
        <w:rPr>
          <w:rFonts w:ascii="Tms Rmn" w:hAnsi="Tms Rmn" w:cs="Tms Rmn"/>
          <w:color w:val="000000"/>
          <w:sz w:val="24"/>
          <w:szCs w:val="24"/>
        </w:rPr>
      </w:pPr>
      <w:r>
        <w:rPr>
          <w:rFonts w:ascii="Tms Rmn" w:hAnsi="Tms Rmn" w:cs="Tms Rmn"/>
          <w:color w:val="000000"/>
          <w:sz w:val="24"/>
          <w:szCs w:val="24"/>
        </w:rPr>
        <w:t xml:space="preserve">(c) </w:t>
      </w:r>
      <w:proofErr w:type="gramStart"/>
      <w:r>
        <w:rPr>
          <w:rFonts w:ascii="Tms Rmn" w:hAnsi="Tms Rmn" w:cs="Tms Rmn"/>
          <w:color w:val="000000"/>
          <w:sz w:val="24"/>
          <w:szCs w:val="24"/>
        </w:rPr>
        <w:t>parent</w:t>
      </w:r>
      <w:proofErr w:type="gramEnd"/>
      <w:r>
        <w:rPr>
          <w:rFonts w:ascii="Tms Rmn" w:hAnsi="Tms Rmn" w:cs="Tms Rmn"/>
          <w:color w:val="000000"/>
          <w:sz w:val="24"/>
          <w:szCs w:val="24"/>
        </w:rPr>
        <w:t xml:space="preserve"> know subsidiary system of work unsafe</w:t>
      </w:r>
    </w:p>
    <w:p w:rsidR="00007EF3" w:rsidRDefault="00007EF3" w:rsidP="00007EF3">
      <w:pPr>
        <w:autoSpaceDE w:val="0"/>
        <w:autoSpaceDN w:val="0"/>
        <w:adjustRightInd w:val="0"/>
        <w:spacing w:after="0" w:line="240" w:lineRule="auto"/>
        <w:ind w:left="720"/>
        <w:rPr>
          <w:rFonts w:ascii="Tms Rmn" w:hAnsi="Tms Rmn" w:cs="Tms Rmn"/>
          <w:color w:val="000000"/>
          <w:sz w:val="24"/>
          <w:szCs w:val="24"/>
        </w:rPr>
      </w:pPr>
    </w:p>
    <w:p w:rsidR="00007EF3" w:rsidRDefault="00007EF3" w:rsidP="00007EF3">
      <w:pPr>
        <w:autoSpaceDE w:val="0"/>
        <w:autoSpaceDN w:val="0"/>
        <w:adjustRightInd w:val="0"/>
        <w:spacing w:after="0" w:line="240" w:lineRule="auto"/>
        <w:ind w:left="720"/>
        <w:rPr>
          <w:rFonts w:ascii="Tms Rmn" w:hAnsi="Tms Rmn" w:cs="Tms Rmn"/>
          <w:color w:val="000000"/>
          <w:sz w:val="24"/>
          <w:szCs w:val="24"/>
        </w:rPr>
      </w:pPr>
      <w:r>
        <w:rPr>
          <w:rFonts w:ascii="Tms Rmn" w:hAnsi="Tms Rmn" w:cs="Tms Rmn"/>
          <w:color w:val="000000"/>
          <w:sz w:val="24"/>
          <w:szCs w:val="24"/>
        </w:rPr>
        <w:t xml:space="preserve">(d) </w:t>
      </w:r>
      <w:proofErr w:type="gramStart"/>
      <w:r>
        <w:rPr>
          <w:rFonts w:ascii="Tms Rmn" w:hAnsi="Tms Rmn" w:cs="Tms Rmn"/>
          <w:color w:val="000000"/>
          <w:sz w:val="24"/>
          <w:szCs w:val="24"/>
        </w:rPr>
        <w:t>parent</w:t>
      </w:r>
      <w:proofErr w:type="gramEnd"/>
      <w:r>
        <w:rPr>
          <w:rFonts w:ascii="Tms Rmn" w:hAnsi="Tms Rmn" w:cs="Tms Rmn"/>
          <w:color w:val="000000"/>
          <w:sz w:val="24"/>
          <w:szCs w:val="24"/>
        </w:rPr>
        <w:t xml:space="preserve"> knew subsidiary would rely on parent.  </w:t>
      </w:r>
    </w:p>
    <w:p w:rsidR="00007EF3" w:rsidRDefault="00007EF3" w:rsidP="00007EF3">
      <w:pPr>
        <w:autoSpaceDE w:val="0"/>
        <w:autoSpaceDN w:val="0"/>
        <w:adjustRightInd w:val="0"/>
        <w:spacing w:after="0" w:line="240" w:lineRule="auto"/>
        <w:ind w:left="720"/>
        <w:rPr>
          <w:rFonts w:ascii="Tms Rmn" w:hAnsi="Tms Rmn" w:cs="Tms Rmn"/>
          <w:color w:val="000000"/>
          <w:sz w:val="24"/>
          <w:szCs w:val="24"/>
        </w:rPr>
      </w:pPr>
    </w:p>
    <w:p w:rsidR="00007EF3" w:rsidRDefault="00007EF3" w:rsidP="00007EF3">
      <w:pPr>
        <w:autoSpaceDE w:val="0"/>
        <w:autoSpaceDN w:val="0"/>
        <w:adjustRightInd w:val="0"/>
        <w:spacing w:after="0" w:line="240" w:lineRule="auto"/>
        <w:ind w:left="720"/>
        <w:rPr>
          <w:rFonts w:ascii="Tms Rmn" w:hAnsi="Tms Rmn" w:cs="Tms Rmn"/>
          <w:color w:val="000000"/>
          <w:sz w:val="24"/>
          <w:szCs w:val="24"/>
        </w:rPr>
      </w:pPr>
      <w:r>
        <w:rPr>
          <w:rFonts w:ascii="Tms Rmn" w:hAnsi="Tms Rmn" w:cs="Tms Rmn"/>
          <w:color w:val="000000"/>
          <w:sz w:val="24"/>
          <w:szCs w:val="24"/>
        </w:rPr>
        <w:t>5.   But Chandler does not represent the limit of parent co duty under English law. Underlying principles can be developed to cater for other scenarios.</w:t>
      </w:r>
    </w:p>
    <w:p w:rsidR="00007EF3" w:rsidRDefault="00007EF3" w:rsidP="00007EF3">
      <w:pPr>
        <w:autoSpaceDE w:val="0"/>
        <w:autoSpaceDN w:val="0"/>
        <w:adjustRightInd w:val="0"/>
        <w:spacing w:after="0" w:line="240" w:lineRule="auto"/>
        <w:ind w:left="720"/>
        <w:rPr>
          <w:rFonts w:ascii="Tms Rmn" w:hAnsi="Tms Rmn" w:cs="Tms Rmn"/>
          <w:color w:val="000000"/>
          <w:sz w:val="24"/>
          <w:szCs w:val="24"/>
        </w:rPr>
      </w:pPr>
    </w:p>
    <w:p w:rsidR="00007EF3" w:rsidRDefault="00007EF3" w:rsidP="00007EF3">
      <w:pPr>
        <w:autoSpaceDE w:val="0"/>
        <w:autoSpaceDN w:val="0"/>
        <w:adjustRightInd w:val="0"/>
        <w:spacing w:after="0" w:line="240" w:lineRule="auto"/>
        <w:ind w:left="720"/>
        <w:rPr>
          <w:rFonts w:ascii="Tms Rmn" w:hAnsi="Tms Rmn" w:cs="Tms Rmn"/>
          <w:color w:val="000000"/>
          <w:sz w:val="24"/>
          <w:szCs w:val="24"/>
        </w:rPr>
      </w:pPr>
      <w:r>
        <w:rPr>
          <w:rFonts w:ascii="Tms Rmn" w:hAnsi="Tms Rmn" w:cs="Tms Rmn"/>
          <w:color w:val="000000"/>
          <w:sz w:val="24"/>
          <w:szCs w:val="24"/>
        </w:rPr>
        <w:t>6.    As regards the nature of the duty, recognised national/</w:t>
      </w:r>
      <w:proofErr w:type="gramStart"/>
      <w:r>
        <w:rPr>
          <w:rFonts w:ascii="Tms Rmn" w:hAnsi="Tms Rmn" w:cs="Tms Rmn"/>
          <w:color w:val="000000"/>
          <w:sz w:val="24"/>
          <w:szCs w:val="24"/>
        </w:rPr>
        <w:t>international  standards</w:t>
      </w:r>
      <w:proofErr w:type="gramEnd"/>
      <w:r>
        <w:rPr>
          <w:rFonts w:ascii="Tms Rmn" w:hAnsi="Tms Rmn" w:cs="Tms Rmn"/>
          <w:color w:val="000000"/>
          <w:sz w:val="24"/>
          <w:szCs w:val="24"/>
        </w:rPr>
        <w:t xml:space="preserve"> may apply ,especially where company claims to abide by such standards e </w:t>
      </w:r>
      <w:proofErr w:type="spellStart"/>
      <w:r>
        <w:rPr>
          <w:rFonts w:ascii="Tms Rmn" w:hAnsi="Tms Rmn" w:cs="Tms Rmn"/>
          <w:color w:val="000000"/>
          <w:sz w:val="24"/>
          <w:szCs w:val="24"/>
        </w:rPr>
        <w:t>ongoing</w:t>
      </w:r>
      <w:proofErr w:type="spellEnd"/>
      <w:r>
        <w:rPr>
          <w:rFonts w:ascii="Tms Rmn" w:hAnsi="Tms Rmn" w:cs="Tms Rmn"/>
          <w:color w:val="000000"/>
          <w:sz w:val="24"/>
          <w:szCs w:val="24"/>
        </w:rPr>
        <w:t xml:space="preserve"> in Xstrata (Peru) case claimants allege failure to comply with VPSHR with regard to role of public security </w:t>
      </w:r>
      <w:proofErr w:type="spellStart"/>
      <w:r>
        <w:rPr>
          <w:rFonts w:ascii="Tms Rmn" w:hAnsi="Tms Rmn" w:cs="Tms Rmn"/>
          <w:color w:val="000000"/>
          <w:sz w:val="24"/>
          <w:szCs w:val="24"/>
        </w:rPr>
        <w:t>ie</w:t>
      </w:r>
      <w:proofErr w:type="spellEnd"/>
      <w:r>
        <w:rPr>
          <w:rFonts w:ascii="Tms Rmn" w:hAnsi="Tms Rmn" w:cs="Tms Rmn"/>
          <w:color w:val="000000"/>
          <w:sz w:val="24"/>
          <w:szCs w:val="24"/>
        </w:rPr>
        <w:t xml:space="preserve"> the Peruvian police in the commission of HR abuses.</w:t>
      </w:r>
    </w:p>
    <w:p w:rsidR="00007EF3" w:rsidRDefault="00007EF3" w:rsidP="00007EF3">
      <w:pPr>
        <w:autoSpaceDE w:val="0"/>
        <w:autoSpaceDN w:val="0"/>
        <w:adjustRightInd w:val="0"/>
        <w:spacing w:after="0" w:line="240" w:lineRule="auto"/>
        <w:ind w:left="720"/>
        <w:rPr>
          <w:rFonts w:ascii="Tms Rmn" w:hAnsi="Tms Rmn" w:cs="Tms Rmn"/>
          <w:color w:val="000000"/>
          <w:sz w:val="24"/>
          <w:szCs w:val="24"/>
        </w:rPr>
      </w:pPr>
    </w:p>
    <w:p w:rsidR="00007EF3" w:rsidRDefault="00007EF3" w:rsidP="00007EF3">
      <w:pPr>
        <w:autoSpaceDE w:val="0"/>
        <w:autoSpaceDN w:val="0"/>
        <w:adjustRightInd w:val="0"/>
        <w:spacing w:after="0" w:line="240" w:lineRule="auto"/>
        <w:rPr>
          <w:rFonts w:ascii="Tms Rmn" w:hAnsi="Tms Rmn" w:cs="Tms Rmn"/>
          <w:b/>
          <w:bCs/>
          <w:color w:val="000000"/>
          <w:sz w:val="24"/>
          <w:szCs w:val="24"/>
          <w:u w:val="single"/>
        </w:rPr>
      </w:pPr>
      <w:r>
        <w:rPr>
          <w:rFonts w:ascii="Tms Rmn" w:hAnsi="Tms Rmn" w:cs="Tms Rmn"/>
          <w:b/>
          <w:bCs/>
          <w:color w:val="000000"/>
          <w:sz w:val="24"/>
          <w:szCs w:val="24"/>
          <w:u w:val="single"/>
        </w:rPr>
        <w:t>Points to note re the above</w:t>
      </w:r>
    </w:p>
    <w:p w:rsidR="00007EF3" w:rsidRDefault="00007EF3" w:rsidP="00007EF3">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w:t>
      </w:r>
    </w:p>
    <w:p w:rsidR="00007EF3" w:rsidRDefault="00007EF3" w:rsidP="00007EF3">
      <w:pPr>
        <w:autoSpaceDE w:val="0"/>
        <w:autoSpaceDN w:val="0"/>
        <w:adjustRightInd w:val="0"/>
        <w:spacing w:after="0" w:line="240" w:lineRule="auto"/>
        <w:rPr>
          <w:rFonts w:ascii="Tms Rmn" w:hAnsi="Tms Rmn" w:cs="Tms Rmn"/>
          <w:color w:val="000000"/>
          <w:sz w:val="24"/>
          <w:szCs w:val="24"/>
        </w:rPr>
      </w:pPr>
      <w:r>
        <w:rPr>
          <w:rFonts w:ascii="Tms Rmn" w:hAnsi="Tms Rmn" w:cs="Tms Rmn"/>
          <w:b/>
          <w:bCs/>
          <w:color w:val="000000"/>
          <w:sz w:val="24"/>
          <w:szCs w:val="24"/>
        </w:rPr>
        <w:t>Not all HR violations fit into tort law jacket</w:t>
      </w:r>
      <w:r>
        <w:rPr>
          <w:rFonts w:ascii="Tms Rmn" w:hAnsi="Tms Rmn" w:cs="Tms Rmn"/>
          <w:color w:val="000000"/>
          <w:sz w:val="24"/>
          <w:szCs w:val="24"/>
        </w:rPr>
        <w:t xml:space="preserve">. </w:t>
      </w:r>
    </w:p>
    <w:p w:rsidR="00007EF3" w:rsidRDefault="00007EF3" w:rsidP="00007EF3">
      <w:pPr>
        <w:autoSpaceDE w:val="0"/>
        <w:autoSpaceDN w:val="0"/>
        <w:adjustRightInd w:val="0"/>
        <w:spacing w:after="0" w:line="240" w:lineRule="auto"/>
        <w:ind w:left="720"/>
        <w:rPr>
          <w:rFonts w:ascii="Tms Rmn" w:hAnsi="Tms Rmn" w:cs="Tms Rmn"/>
          <w:color w:val="000000"/>
          <w:sz w:val="24"/>
          <w:szCs w:val="24"/>
        </w:rPr>
      </w:pPr>
    </w:p>
    <w:p w:rsidR="00007EF3" w:rsidRDefault="00007EF3" w:rsidP="00007EF3">
      <w:pPr>
        <w:autoSpaceDE w:val="0"/>
        <w:autoSpaceDN w:val="0"/>
        <w:adjustRightInd w:val="0"/>
        <w:spacing w:after="0" w:line="240" w:lineRule="auto"/>
        <w:ind w:left="720"/>
        <w:rPr>
          <w:rFonts w:ascii="Tms Rmn" w:hAnsi="Tms Rmn" w:cs="Tms Rmn"/>
          <w:color w:val="000000"/>
          <w:sz w:val="24"/>
          <w:szCs w:val="24"/>
        </w:rPr>
      </w:pPr>
      <w:r>
        <w:rPr>
          <w:rFonts w:ascii="Tms Rmn" w:hAnsi="Tms Rmn" w:cs="Tms Rmn"/>
          <w:color w:val="000000"/>
          <w:sz w:val="24"/>
          <w:szCs w:val="24"/>
        </w:rPr>
        <w:lastRenderedPageBreak/>
        <w:t xml:space="preserve">7.  Many HR violations will be actionable as tort claims e.g. injury/environmental damage </w:t>
      </w:r>
    </w:p>
    <w:p w:rsidR="00007EF3" w:rsidRDefault="00007EF3" w:rsidP="00007EF3">
      <w:pPr>
        <w:autoSpaceDE w:val="0"/>
        <w:autoSpaceDN w:val="0"/>
        <w:adjustRightInd w:val="0"/>
        <w:spacing w:after="0" w:line="240" w:lineRule="auto"/>
        <w:ind w:left="720"/>
        <w:rPr>
          <w:rFonts w:ascii="Tms Rmn" w:hAnsi="Tms Rmn" w:cs="Tms Rmn"/>
          <w:color w:val="000000"/>
          <w:sz w:val="24"/>
          <w:szCs w:val="24"/>
        </w:rPr>
      </w:pPr>
    </w:p>
    <w:p w:rsidR="00007EF3" w:rsidRDefault="00007EF3" w:rsidP="00007EF3">
      <w:pPr>
        <w:autoSpaceDE w:val="0"/>
        <w:autoSpaceDN w:val="0"/>
        <w:adjustRightInd w:val="0"/>
        <w:spacing w:after="0" w:line="240" w:lineRule="auto"/>
        <w:ind w:left="720"/>
        <w:rPr>
          <w:rFonts w:ascii="Tms Rmn" w:hAnsi="Tms Rmn" w:cs="Tms Rmn"/>
          <w:color w:val="000000"/>
          <w:sz w:val="24"/>
          <w:szCs w:val="24"/>
        </w:rPr>
      </w:pPr>
      <w:r>
        <w:rPr>
          <w:rFonts w:ascii="Tms Rmn" w:hAnsi="Tms Rmn" w:cs="Tms Rmn"/>
          <w:color w:val="000000"/>
          <w:sz w:val="24"/>
          <w:szCs w:val="24"/>
        </w:rPr>
        <w:t xml:space="preserve">8. But others will not </w:t>
      </w:r>
      <w:proofErr w:type="spellStart"/>
      <w:r>
        <w:rPr>
          <w:rFonts w:ascii="Tms Rmn" w:hAnsi="Tms Rmn" w:cs="Tms Rmn"/>
          <w:color w:val="000000"/>
          <w:sz w:val="24"/>
          <w:szCs w:val="24"/>
        </w:rPr>
        <w:t>eg</w:t>
      </w:r>
      <w:proofErr w:type="spellEnd"/>
      <w:r>
        <w:rPr>
          <w:rFonts w:ascii="Tms Rmn" w:hAnsi="Tms Rmn" w:cs="Tms Rmn"/>
          <w:color w:val="000000"/>
          <w:sz w:val="24"/>
          <w:szCs w:val="24"/>
        </w:rPr>
        <w:t>:</w:t>
      </w:r>
    </w:p>
    <w:p w:rsidR="00007EF3" w:rsidRDefault="00007EF3" w:rsidP="00007EF3">
      <w:pPr>
        <w:autoSpaceDE w:val="0"/>
        <w:autoSpaceDN w:val="0"/>
        <w:adjustRightInd w:val="0"/>
        <w:spacing w:after="0" w:line="240" w:lineRule="auto"/>
        <w:ind w:left="720"/>
        <w:rPr>
          <w:rFonts w:ascii="Tms Rmn" w:hAnsi="Tms Rmn" w:cs="Tms Rmn"/>
          <w:color w:val="000000"/>
          <w:sz w:val="24"/>
          <w:szCs w:val="24"/>
        </w:rPr>
      </w:pPr>
    </w:p>
    <w:p w:rsidR="00007EF3" w:rsidRDefault="00007EF3" w:rsidP="00007EF3">
      <w:pPr>
        <w:autoSpaceDE w:val="0"/>
        <w:autoSpaceDN w:val="0"/>
        <w:adjustRightInd w:val="0"/>
        <w:spacing w:after="0" w:line="240" w:lineRule="auto"/>
        <w:ind w:left="720"/>
        <w:rPr>
          <w:rFonts w:ascii="Tms Rmn" w:hAnsi="Tms Rmn" w:cs="Tms Rmn"/>
          <w:color w:val="000000"/>
          <w:sz w:val="24"/>
          <w:szCs w:val="24"/>
        </w:rPr>
      </w:pPr>
      <w:r>
        <w:rPr>
          <w:rFonts w:ascii="Tms Rmn" w:hAnsi="Tms Rmn" w:cs="Tms Rmn"/>
          <w:color w:val="000000"/>
          <w:sz w:val="24"/>
          <w:szCs w:val="24"/>
        </w:rPr>
        <w:t xml:space="preserve">(a) </w:t>
      </w:r>
      <w:proofErr w:type="gramStart"/>
      <w:r>
        <w:rPr>
          <w:rFonts w:ascii="Tms Rmn" w:hAnsi="Tms Rmn" w:cs="Tms Rmn"/>
          <w:color w:val="000000"/>
          <w:sz w:val="24"/>
          <w:szCs w:val="24"/>
        </w:rPr>
        <w:t>in</w:t>
      </w:r>
      <w:proofErr w:type="gramEnd"/>
      <w:r>
        <w:rPr>
          <w:rFonts w:ascii="Tms Rmn" w:hAnsi="Tms Rmn" w:cs="Tms Rmn"/>
          <w:color w:val="000000"/>
          <w:sz w:val="24"/>
          <w:szCs w:val="24"/>
        </w:rPr>
        <w:t xml:space="preserve"> modern slavery context, economic oppression preventing workers from leaving employment may not qualify as false imprisonment.  </w:t>
      </w:r>
    </w:p>
    <w:p w:rsidR="00007EF3" w:rsidRDefault="00007EF3" w:rsidP="00007EF3">
      <w:pPr>
        <w:autoSpaceDE w:val="0"/>
        <w:autoSpaceDN w:val="0"/>
        <w:adjustRightInd w:val="0"/>
        <w:spacing w:after="0" w:line="240" w:lineRule="auto"/>
        <w:ind w:left="720"/>
        <w:rPr>
          <w:rFonts w:ascii="Tms Rmn" w:hAnsi="Tms Rmn" w:cs="Tms Rmn"/>
          <w:color w:val="000000"/>
          <w:sz w:val="24"/>
          <w:szCs w:val="24"/>
        </w:rPr>
      </w:pPr>
    </w:p>
    <w:p w:rsidR="00007EF3" w:rsidRDefault="00007EF3" w:rsidP="00007EF3">
      <w:pPr>
        <w:autoSpaceDE w:val="0"/>
        <w:autoSpaceDN w:val="0"/>
        <w:adjustRightInd w:val="0"/>
        <w:spacing w:after="0" w:line="240" w:lineRule="auto"/>
        <w:ind w:left="720"/>
        <w:rPr>
          <w:rFonts w:ascii="Tms Rmn" w:hAnsi="Tms Rmn" w:cs="Tms Rmn"/>
          <w:color w:val="000000"/>
          <w:sz w:val="24"/>
          <w:szCs w:val="24"/>
        </w:rPr>
      </w:pPr>
      <w:r>
        <w:rPr>
          <w:rFonts w:ascii="Tms Rmn" w:hAnsi="Tms Rmn" w:cs="Tms Rmn"/>
          <w:color w:val="000000"/>
          <w:sz w:val="24"/>
          <w:szCs w:val="24"/>
        </w:rPr>
        <w:t xml:space="preserve">(b) damage/loss is required - legal action to </w:t>
      </w:r>
      <w:r>
        <w:rPr>
          <w:rFonts w:ascii="Tms Rmn" w:hAnsi="Tms Rmn" w:cs="Tms Rmn"/>
          <w:b/>
          <w:bCs/>
          <w:color w:val="000000"/>
          <w:sz w:val="24"/>
          <w:szCs w:val="24"/>
        </w:rPr>
        <w:t>prevent</w:t>
      </w:r>
      <w:r>
        <w:rPr>
          <w:rFonts w:ascii="Tms Rmn" w:hAnsi="Tms Rmn" w:cs="Tms Rmn"/>
          <w:color w:val="000000"/>
          <w:sz w:val="24"/>
          <w:szCs w:val="24"/>
        </w:rPr>
        <w:t xml:space="preserve"> harm from occurring could not form the basis of tort claim</w:t>
      </w:r>
    </w:p>
    <w:p w:rsidR="00007EF3" w:rsidRDefault="00007EF3" w:rsidP="00007EF3">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w:t>
      </w:r>
    </w:p>
    <w:p w:rsidR="00007EF3" w:rsidRDefault="00007EF3" w:rsidP="00007EF3">
      <w:pPr>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 xml:space="preserve">Tort-based approach entails significant procedural and </w:t>
      </w:r>
      <w:proofErr w:type="gramStart"/>
      <w:r>
        <w:rPr>
          <w:rFonts w:ascii="Tms Rmn" w:hAnsi="Tms Rmn" w:cs="Tms Rmn"/>
          <w:b/>
          <w:bCs/>
          <w:color w:val="000000"/>
          <w:sz w:val="24"/>
          <w:szCs w:val="24"/>
        </w:rPr>
        <w:t>practical  implications</w:t>
      </w:r>
      <w:proofErr w:type="gramEnd"/>
    </w:p>
    <w:p w:rsidR="00007EF3" w:rsidRDefault="00007EF3" w:rsidP="00007EF3">
      <w:pPr>
        <w:autoSpaceDE w:val="0"/>
        <w:autoSpaceDN w:val="0"/>
        <w:adjustRightInd w:val="0"/>
        <w:spacing w:after="0" w:line="240" w:lineRule="auto"/>
        <w:rPr>
          <w:rFonts w:ascii="Tms Rmn" w:hAnsi="Tms Rmn" w:cs="Tms Rmn"/>
          <w:b/>
          <w:bCs/>
          <w:color w:val="000000"/>
          <w:sz w:val="24"/>
          <w:szCs w:val="24"/>
        </w:rPr>
      </w:pPr>
    </w:p>
    <w:p w:rsidR="00007EF3" w:rsidRDefault="00007EF3" w:rsidP="00007EF3">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9. </w:t>
      </w:r>
      <w:proofErr w:type="gramStart"/>
      <w:r>
        <w:rPr>
          <w:rFonts w:ascii="Tms Rmn" w:hAnsi="Tms Rmn" w:cs="Tms Rmn"/>
          <w:color w:val="000000"/>
          <w:sz w:val="24"/>
          <w:szCs w:val="24"/>
        </w:rPr>
        <w:t>whilst</w:t>
      </w:r>
      <w:proofErr w:type="gramEnd"/>
      <w:r>
        <w:rPr>
          <w:rFonts w:ascii="Tms Rmn" w:hAnsi="Tms Rmn" w:cs="Tms Rmn"/>
          <w:color w:val="000000"/>
          <w:sz w:val="24"/>
          <w:szCs w:val="24"/>
        </w:rPr>
        <w:t xml:space="preserve"> certain duties are automatically imposed - e.g. Employer/employee;     manufacturer/consumer - others depend on evaluation of facts. In MNC parent co cases this means being able to evaluate the role the parent played. This requires:</w:t>
      </w:r>
    </w:p>
    <w:p w:rsidR="00007EF3" w:rsidRDefault="00007EF3" w:rsidP="00007EF3">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w:t>
      </w:r>
    </w:p>
    <w:p w:rsidR="00007EF3" w:rsidRDefault="00007EF3" w:rsidP="00007EF3">
      <w:pPr>
        <w:autoSpaceDE w:val="0"/>
        <w:autoSpaceDN w:val="0"/>
        <w:adjustRightInd w:val="0"/>
        <w:spacing w:after="0" w:line="240" w:lineRule="auto"/>
        <w:ind w:left="1080"/>
        <w:rPr>
          <w:rFonts w:ascii="Tms Rmn" w:hAnsi="Tms Rmn" w:cs="Tms Rmn"/>
          <w:color w:val="000000"/>
          <w:sz w:val="24"/>
          <w:szCs w:val="24"/>
        </w:rPr>
      </w:pPr>
      <w:r>
        <w:rPr>
          <w:rFonts w:ascii="Tms Rmn" w:hAnsi="Tms Rmn" w:cs="Tms Rmn"/>
          <w:color w:val="000000"/>
          <w:sz w:val="24"/>
          <w:szCs w:val="24"/>
        </w:rPr>
        <w:t xml:space="preserve">(a)    </w:t>
      </w:r>
      <w:proofErr w:type="gramStart"/>
      <w:r>
        <w:rPr>
          <w:rFonts w:ascii="Tms Rmn" w:hAnsi="Tms Rmn" w:cs="Tms Rmn"/>
          <w:color w:val="000000"/>
          <w:sz w:val="24"/>
          <w:szCs w:val="24"/>
        </w:rPr>
        <w:t>effective</w:t>
      </w:r>
      <w:proofErr w:type="gramEnd"/>
      <w:r>
        <w:rPr>
          <w:rFonts w:ascii="Tms Rmn" w:hAnsi="Tms Rmn" w:cs="Tms Rmn"/>
          <w:color w:val="000000"/>
          <w:sz w:val="24"/>
          <w:szCs w:val="24"/>
        </w:rPr>
        <w:t xml:space="preserve"> discovery/disclosure mechanisms (contrast UK with Netherlands/Germany)</w:t>
      </w:r>
    </w:p>
    <w:p w:rsidR="00007EF3" w:rsidRDefault="00007EF3" w:rsidP="00007EF3">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w:t>
      </w:r>
    </w:p>
    <w:p w:rsidR="00007EF3" w:rsidRDefault="00007EF3" w:rsidP="00007EF3">
      <w:pPr>
        <w:autoSpaceDE w:val="0"/>
        <w:autoSpaceDN w:val="0"/>
        <w:adjustRightInd w:val="0"/>
        <w:spacing w:after="0" w:line="240" w:lineRule="auto"/>
        <w:ind w:left="1080"/>
        <w:rPr>
          <w:rFonts w:ascii="Tms Rmn" w:hAnsi="Tms Rmn" w:cs="Tms Rmn"/>
          <w:color w:val="000000"/>
          <w:sz w:val="24"/>
          <w:szCs w:val="24"/>
        </w:rPr>
      </w:pPr>
      <w:r>
        <w:rPr>
          <w:rFonts w:ascii="Tms Rmn" w:hAnsi="Tms Rmn" w:cs="Tms Rmn"/>
          <w:color w:val="000000"/>
          <w:sz w:val="24"/>
          <w:szCs w:val="24"/>
        </w:rPr>
        <w:t xml:space="preserve">(b)   </w:t>
      </w:r>
      <w:proofErr w:type="gramStart"/>
      <w:r>
        <w:rPr>
          <w:rFonts w:ascii="Tms Rmn" w:hAnsi="Tms Rmn" w:cs="Tms Rmn"/>
          <w:color w:val="000000"/>
          <w:sz w:val="24"/>
          <w:szCs w:val="24"/>
        </w:rPr>
        <w:t>substantial</w:t>
      </w:r>
      <w:proofErr w:type="gramEnd"/>
      <w:r>
        <w:rPr>
          <w:rFonts w:ascii="Tms Rmn" w:hAnsi="Tms Rmn" w:cs="Tms Rmn"/>
          <w:color w:val="000000"/>
          <w:sz w:val="24"/>
          <w:szCs w:val="24"/>
        </w:rPr>
        <w:t xml:space="preserve"> resources to evaluate and prove the role.</w:t>
      </w:r>
    </w:p>
    <w:p w:rsidR="00007EF3" w:rsidRDefault="00007EF3" w:rsidP="00007EF3">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w:t>
      </w:r>
    </w:p>
    <w:p w:rsidR="00007EF3" w:rsidRDefault="00007EF3" w:rsidP="00007EF3">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10.       The problem for victims being able to amass such evidence is has led to arguments for:</w:t>
      </w:r>
    </w:p>
    <w:p w:rsidR="00007EF3" w:rsidRDefault="00007EF3" w:rsidP="00007EF3">
      <w:pPr>
        <w:autoSpaceDE w:val="0"/>
        <w:autoSpaceDN w:val="0"/>
        <w:adjustRightInd w:val="0"/>
        <w:spacing w:after="0" w:line="240" w:lineRule="auto"/>
        <w:ind w:left="1080"/>
        <w:rPr>
          <w:rFonts w:ascii="Tms Rmn" w:hAnsi="Tms Rmn" w:cs="Tms Rmn"/>
          <w:color w:val="000000"/>
          <w:sz w:val="24"/>
          <w:szCs w:val="24"/>
        </w:rPr>
      </w:pPr>
      <w:r>
        <w:rPr>
          <w:rFonts w:ascii="Tms Rmn" w:hAnsi="Tms Rmn" w:cs="Tms Rmn"/>
          <w:color w:val="000000"/>
          <w:sz w:val="24"/>
          <w:szCs w:val="24"/>
        </w:rPr>
        <w:t xml:space="preserve">(a)    </w:t>
      </w:r>
      <w:proofErr w:type="gramStart"/>
      <w:r>
        <w:rPr>
          <w:rFonts w:ascii="Tms Rmn" w:hAnsi="Tms Rmn" w:cs="Tms Rmn"/>
          <w:color w:val="000000"/>
          <w:sz w:val="24"/>
          <w:szCs w:val="24"/>
        </w:rPr>
        <w:t>automatic</w:t>
      </w:r>
      <w:proofErr w:type="gramEnd"/>
      <w:r>
        <w:rPr>
          <w:rFonts w:ascii="Tms Rmn" w:hAnsi="Tms Rmn" w:cs="Tms Rmn"/>
          <w:color w:val="000000"/>
          <w:sz w:val="24"/>
          <w:szCs w:val="24"/>
        </w:rPr>
        <w:t xml:space="preserve"> imposition of a duty of care/due diligence on MNC parent co</w:t>
      </w:r>
    </w:p>
    <w:p w:rsidR="00007EF3" w:rsidRDefault="00007EF3" w:rsidP="00007EF3">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w:t>
      </w:r>
    </w:p>
    <w:p w:rsidR="00007EF3" w:rsidRDefault="00007EF3" w:rsidP="00007EF3">
      <w:pPr>
        <w:autoSpaceDE w:val="0"/>
        <w:autoSpaceDN w:val="0"/>
        <w:adjustRightInd w:val="0"/>
        <w:spacing w:after="0" w:line="240" w:lineRule="auto"/>
        <w:ind w:left="1080"/>
        <w:rPr>
          <w:rFonts w:ascii="Tms Rmn" w:hAnsi="Tms Rmn" w:cs="Tms Rmn"/>
          <w:color w:val="000000"/>
          <w:sz w:val="24"/>
          <w:szCs w:val="24"/>
        </w:rPr>
      </w:pPr>
      <w:r>
        <w:rPr>
          <w:rFonts w:ascii="Tms Rmn" w:hAnsi="Tms Rmn" w:cs="Tms Rmn"/>
          <w:color w:val="000000"/>
          <w:sz w:val="24"/>
          <w:szCs w:val="24"/>
        </w:rPr>
        <w:t xml:space="preserve">(b)   </w:t>
      </w:r>
      <w:proofErr w:type="gramStart"/>
      <w:r>
        <w:rPr>
          <w:rFonts w:ascii="Tms Rmn" w:hAnsi="Tms Rmn" w:cs="Tms Rmn"/>
          <w:color w:val="000000"/>
          <w:sz w:val="24"/>
          <w:szCs w:val="24"/>
        </w:rPr>
        <w:t>reversal</w:t>
      </w:r>
      <w:proofErr w:type="gramEnd"/>
      <w:r>
        <w:rPr>
          <w:rFonts w:ascii="Tms Rmn" w:hAnsi="Tms Rmn" w:cs="Tms Rmn"/>
          <w:color w:val="000000"/>
          <w:sz w:val="24"/>
          <w:szCs w:val="24"/>
        </w:rPr>
        <w:t xml:space="preserve"> of the burden of proof</w:t>
      </w:r>
    </w:p>
    <w:p w:rsidR="00007EF3" w:rsidRDefault="00007EF3" w:rsidP="00007EF3">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w:t>
      </w:r>
    </w:p>
    <w:p w:rsidR="00007EF3" w:rsidRDefault="00007EF3" w:rsidP="00007EF3">
      <w:pPr>
        <w:autoSpaceDE w:val="0"/>
        <w:autoSpaceDN w:val="0"/>
        <w:adjustRightInd w:val="0"/>
        <w:spacing w:after="0" w:line="240" w:lineRule="auto"/>
        <w:ind w:left="720"/>
        <w:rPr>
          <w:rFonts w:ascii="Tms Rmn" w:hAnsi="Tms Rmn" w:cs="Tms Rmn"/>
          <w:color w:val="000000"/>
          <w:sz w:val="24"/>
          <w:szCs w:val="24"/>
        </w:rPr>
      </w:pPr>
      <w:r>
        <w:rPr>
          <w:rFonts w:ascii="Tms Rmn" w:hAnsi="Tms Rmn" w:cs="Tms Rmn"/>
          <w:color w:val="000000"/>
          <w:sz w:val="24"/>
          <w:szCs w:val="24"/>
        </w:rPr>
        <w:t xml:space="preserve">11.       But, even if a duty was imposed automatically would still need to prove, through largely the same factual evidence, the precise relationship between the MNC parent and the locally operating entity. Otherwise it would not be possible to evaluate what constitutes "reasonable" steps or what level of "due diligence" is required. (NB whereas UNGPs would require business to exercise "leverage" even where no "effective control" a tort law duty of care might not impose any such requirement. </w:t>
      </w:r>
    </w:p>
    <w:p w:rsidR="00007EF3" w:rsidRDefault="00007EF3" w:rsidP="00007EF3">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w:t>
      </w:r>
    </w:p>
    <w:p w:rsidR="00007EF3" w:rsidRDefault="00007EF3" w:rsidP="00007EF3">
      <w:pPr>
        <w:autoSpaceDE w:val="0"/>
        <w:autoSpaceDN w:val="0"/>
        <w:adjustRightInd w:val="0"/>
        <w:spacing w:after="0" w:line="240" w:lineRule="auto"/>
        <w:rPr>
          <w:rFonts w:ascii="Tms Rmn" w:hAnsi="Tms Rmn" w:cs="Tms Rmn"/>
          <w:color w:val="000000"/>
          <w:sz w:val="24"/>
          <w:szCs w:val="24"/>
        </w:rPr>
      </w:pPr>
      <w:r>
        <w:rPr>
          <w:rFonts w:ascii="Tms Rmn" w:hAnsi="Tms Rmn" w:cs="Tms Rmn"/>
          <w:b/>
          <w:bCs/>
          <w:color w:val="000000"/>
          <w:sz w:val="24"/>
          <w:szCs w:val="24"/>
        </w:rPr>
        <w:t>UK approach will be relevant in states with English-based common law legal systems</w:t>
      </w:r>
      <w:r>
        <w:rPr>
          <w:rFonts w:ascii="Tms Rmn" w:hAnsi="Tms Rmn" w:cs="Tms Rmn"/>
          <w:color w:val="000000"/>
          <w:sz w:val="24"/>
          <w:szCs w:val="24"/>
        </w:rPr>
        <w:t xml:space="preserve"> </w:t>
      </w:r>
    </w:p>
    <w:p w:rsidR="00007EF3" w:rsidRDefault="00007EF3" w:rsidP="00007EF3">
      <w:pPr>
        <w:autoSpaceDE w:val="0"/>
        <w:autoSpaceDN w:val="0"/>
        <w:adjustRightInd w:val="0"/>
        <w:spacing w:after="0" w:line="240" w:lineRule="auto"/>
        <w:rPr>
          <w:rFonts w:ascii="Tms Rmn" w:hAnsi="Tms Rmn" w:cs="Tms Rmn"/>
          <w:color w:val="000000"/>
          <w:sz w:val="24"/>
          <w:szCs w:val="24"/>
        </w:rPr>
      </w:pPr>
    </w:p>
    <w:p w:rsidR="00007EF3" w:rsidRDefault="00007EF3" w:rsidP="00007EF3">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12.  See Shell Nigeria, Netherlands case (</w:t>
      </w:r>
      <w:proofErr w:type="spellStart"/>
      <w:r>
        <w:rPr>
          <w:rFonts w:ascii="Tms Rmn" w:hAnsi="Tms Rmn" w:cs="Tms Rmn"/>
          <w:color w:val="000000"/>
          <w:sz w:val="24"/>
          <w:szCs w:val="24"/>
        </w:rPr>
        <w:t>Akpan</w:t>
      </w:r>
      <w:proofErr w:type="spellEnd"/>
      <w:r>
        <w:rPr>
          <w:rFonts w:ascii="Tms Rmn" w:hAnsi="Tms Rmn" w:cs="Tms Rmn"/>
          <w:color w:val="000000"/>
          <w:sz w:val="24"/>
          <w:szCs w:val="24"/>
        </w:rPr>
        <w:t xml:space="preserve"> v RDS) where Hague Court of Appeal decided that Nigerian law could well reflect UK with regard to parent co </w:t>
      </w:r>
      <w:proofErr w:type="gramStart"/>
      <w:r>
        <w:rPr>
          <w:rFonts w:ascii="Tms Rmn" w:hAnsi="Tms Rmn" w:cs="Tms Rmn"/>
          <w:color w:val="000000"/>
          <w:sz w:val="24"/>
          <w:szCs w:val="24"/>
        </w:rPr>
        <w:t>duty .</w:t>
      </w:r>
      <w:proofErr w:type="gramEnd"/>
      <w:r>
        <w:rPr>
          <w:rFonts w:ascii="Tms Rmn" w:hAnsi="Tms Rmn" w:cs="Tms Rmn"/>
          <w:color w:val="000000"/>
          <w:sz w:val="24"/>
          <w:szCs w:val="24"/>
        </w:rPr>
        <w:t xml:space="preserve"> </w:t>
      </w:r>
    </w:p>
    <w:p w:rsidR="00007EF3" w:rsidRDefault="00007EF3" w:rsidP="00007EF3">
      <w:pPr>
        <w:autoSpaceDE w:val="0"/>
        <w:autoSpaceDN w:val="0"/>
        <w:adjustRightInd w:val="0"/>
        <w:spacing w:after="0" w:line="240" w:lineRule="auto"/>
        <w:rPr>
          <w:rFonts w:ascii="Tms Rmn" w:hAnsi="Tms Rmn" w:cs="Tms Rmn"/>
          <w:color w:val="000000"/>
          <w:sz w:val="24"/>
          <w:szCs w:val="24"/>
        </w:rPr>
      </w:pPr>
    </w:p>
    <w:p w:rsidR="00007EF3" w:rsidRDefault="00007EF3" w:rsidP="00007EF3">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13. See also </w:t>
      </w:r>
      <w:proofErr w:type="spellStart"/>
      <w:r>
        <w:rPr>
          <w:rFonts w:ascii="Tms Rmn" w:hAnsi="Tms Rmn" w:cs="Tms Rmn"/>
          <w:i/>
          <w:iCs/>
          <w:color w:val="000000"/>
          <w:sz w:val="24"/>
          <w:szCs w:val="24"/>
        </w:rPr>
        <w:t>Hudbay</w:t>
      </w:r>
      <w:proofErr w:type="spellEnd"/>
      <w:r>
        <w:rPr>
          <w:rFonts w:ascii="Tms Rmn" w:hAnsi="Tms Rmn" w:cs="Tms Rmn"/>
          <w:i/>
          <w:iCs/>
          <w:color w:val="000000"/>
          <w:sz w:val="24"/>
          <w:szCs w:val="24"/>
        </w:rPr>
        <w:t xml:space="preserve"> Minerals</w:t>
      </w:r>
      <w:r>
        <w:rPr>
          <w:rFonts w:ascii="Tms Rmn" w:hAnsi="Tms Rmn" w:cs="Tms Rmn"/>
          <w:color w:val="000000"/>
          <w:sz w:val="24"/>
          <w:szCs w:val="24"/>
        </w:rPr>
        <w:t xml:space="preserve"> cases where UNGPs HR due diligence failures specifically alleged before Ontario Superior </w:t>
      </w:r>
      <w:proofErr w:type="gramStart"/>
      <w:r>
        <w:rPr>
          <w:rFonts w:ascii="Tms Rmn" w:hAnsi="Tms Rmn" w:cs="Tms Rmn"/>
          <w:color w:val="000000"/>
          <w:sz w:val="24"/>
          <w:szCs w:val="24"/>
        </w:rPr>
        <w:t>Court .</w:t>
      </w:r>
      <w:proofErr w:type="gramEnd"/>
    </w:p>
    <w:p w:rsidR="00007EF3" w:rsidRDefault="00007EF3" w:rsidP="00007EF3">
      <w:pPr>
        <w:autoSpaceDE w:val="0"/>
        <w:autoSpaceDN w:val="0"/>
        <w:adjustRightInd w:val="0"/>
        <w:spacing w:after="0" w:line="240" w:lineRule="auto"/>
        <w:rPr>
          <w:rFonts w:ascii="Tms Rmn" w:hAnsi="Tms Rmn" w:cs="Tms Rmn"/>
          <w:color w:val="000000"/>
          <w:sz w:val="24"/>
          <w:szCs w:val="24"/>
        </w:rPr>
      </w:pPr>
    </w:p>
    <w:p w:rsidR="00007EF3" w:rsidRDefault="00007EF3" w:rsidP="00007EF3">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14. On the other hand, since the common law is not static but develop in accordance with societal expectations and conditions, existence and scope of duties of care may vary between states. </w:t>
      </w:r>
    </w:p>
    <w:p w:rsidR="00007EF3" w:rsidRDefault="00007EF3" w:rsidP="00007EF3">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w:t>
      </w:r>
    </w:p>
    <w:p w:rsidR="00007EF3" w:rsidRDefault="00007EF3" w:rsidP="00007EF3">
      <w:pPr>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 xml:space="preserve">Impact of Rome II Regulation in non-English based systems </w:t>
      </w:r>
    </w:p>
    <w:p w:rsidR="00007EF3" w:rsidRDefault="00007EF3" w:rsidP="00007EF3">
      <w:pPr>
        <w:autoSpaceDE w:val="0"/>
        <w:autoSpaceDN w:val="0"/>
        <w:adjustRightInd w:val="0"/>
        <w:spacing w:after="0" w:line="240" w:lineRule="auto"/>
        <w:rPr>
          <w:rFonts w:ascii="Tms Rmn" w:hAnsi="Tms Rmn" w:cs="Tms Rmn"/>
          <w:b/>
          <w:bCs/>
          <w:color w:val="000000"/>
          <w:sz w:val="24"/>
          <w:szCs w:val="24"/>
        </w:rPr>
      </w:pPr>
    </w:p>
    <w:p w:rsidR="00007EF3" w:rsidRDefault="00007EF3" w:rsidP="00007EF3">
      <w:pPr>
        <w:autoSpaceDE w:val="0"/>
        <w:autoSpaceDN w:val="0"/>
        <w:adjustRightInd w:val="0"/>
        <w:spacing w:after="0" w:line="240" w:lineRule="auto"/>
        <w:rPr>
          <w:rFonts w:ascii="Tms Rmn" w:hAnsi="Tms Rmn" w:cs="Tms Rmn"/>
          <w:color w:val="000000"/>
          <w:sz w:val="24"/>
          <w:szCs w:val="24"/>
        </w:rPr>
      </w:pPr>
      <w:r>
        <w:rPr>
          <w:rFonts w:ascii="Tms Rmn" w:hAnsi="Tms Rmn" w:cs="Tms Rmn"/>
          <w:b/>
          <w:bCs/>
          <w:color w:val="000000"/>
          <w:sz w:val="24"/>
          <w:szCs w:val="24"/>
        </w:rPr>
        <w:t xml:space="preserve">15.  </w:t>
      </w:r>
      <w:r>
        <w:rPr>
          <w:rFonts w:ascii="Tms Rmn" w:hAnsi="Tms Rmn" w:cs="Tms Rmn"/>
          <w:color w:val="000000"/>
          <w:sz w:val="24"/>
          <w:szCs w:val="24"/>
        </w:rPr>
        <w:t xml:space="preserve">Rome II invariably stipulates application of local law.  Problem where: </w:t>
      </w:r>
    </w:p>
    <w:p w:rsidR="00007EF3" w:rsidRDefault="00007EF3" w:rsidP="00007EF3">
      <w:pPr>
        <w:autoSpaceDE w:val="0"/>
        <w:autoSpaceDN w:val="0"/>
        <w:adjustRightInd w:val="0"/>
        <w:spacing w:after="0" w:line="240" w:lineRule="auto"/>
        <w:ind w:left="720"/>
        <w:rPr>
          <w:rFonts w:ascii="Tms Rmn" w:hAnsi="Tms Rmn" w:cs="Tms Rmn"/>
          <w:color w:val="000000"/>
          <w:sz w:val="24"/>
          <w:szCs w:val="24"/>
        </w:rPr>
      </w:pPr>
    </w:p>
    <w:p w:rsidR="00007EF3" w:rsidRDefault="00007EF3" w:rsidP="00007EF3">
      <w:pPr>
        <w:autoSpaceDE w:val="0"/>
        <w:autoSpaceDN w:val="0"/>
        <w:adjustRightInd w:val="0"/>
        <w:spacing w:after="0" w:line="240" w:lineRule="auto"/>
        <w:ind w:left="720"/>
        <w:rPr>
          <w:rFonts w:ascii="Tms Rmn" w:hAnsi="Tms Rmn" w:cs="Tms Rmn"/>
          <w:color w:val="000000"/>
          <w:sz w:val="24"/>
          <w:szCs w:val="24"/>
        </w:rPr>
      </w:pPr>
      <w:r>
        <w:rPr>
          <w:rFonts w:ascii="Tms Rmn" w:hAnsi="Tms Rmn" w:cs="Tms Rmn"/>
          <w:color w:val="000000"/>
          <w:sz w:val="24"/>
          <w:szCs w:val="24"/>
        </w:rPr>
        <w:t xml:space="preserve">(a) </w:t>
      </w:r>
      <w:proofErr w:type="gramStart"/>
      <w:r>
        <w:rPr>
          <w:rFonts w:ascii="Tms Rmn" w:hAnsi="Tms Rmn" w:cs="Tms Rmn"/>
          <w:color w:val="000000"/>
          <w:sz w:val="24"/>
          <w:szCs w:val="24"/>
        </w:rPr>
        <w:t>local</w:t>
      </w:r>
      <w:proofErr w:type="gramEnd"/>
      <w:r>
        <w:rPr>
          <w:rFonts w:ascii="Tms Rmn" w:hAnsi="Tms Rmn" w:cs="Tms Rmn"/>
          <w:color w:val="000000"/>
          <w:sz w:val="24"/>
          <w:szCs w:val="24"/>
        </w:rPr>
        <w:t xml:space="preserve"> laws are less stringent. Not usually the </w:t>
      </w:r>
      <w:proofErr w:type="gramStart"/>
      <w:r>
        <w:rPr>
          <w:rFonts w:ascii="Tms Rmn" w:hAnsi="Tms Rmn" w:cs="Tms Rmn"/>
          <w:color w:val="000000"/>
          <w:sz w:val="24"/>
          <w:szCs w:val="24"/>
        </w:rPr>
        <w:t xml:space="preserve">case  </w:t>
      </w:r>
      <w:proofErr w:type="spellStart"/>
      <w:r>
        <w:rPr>
          <w:rFonts w:ascii="Tms Rmn" w:hAnsi="Tms Rmn" w:cs="Tms Rmn"/>
          <w:color w:val="000000"/>
          <w:sz w:val="24"/>
          <w:szCs w:val="24"/>
        </w:rPr>
        <w:t>eg</w:t>
      </w:r>
      <w:proofErr w:type="spellEnd"/>
      <w:proofErr w:type="gramEnd"/>
      <w:r>
        <w:rPr>
          <w:rFonts w:ascii="Tms Rmn" w:hAnsi="Tms Rmn" w:cs="Tms Rmn"/>
          <w:color w:val="000000"/>
          <w:sz w:val="24"/>
          <w:szCs w:val="24"/>
        </w:rPr>
        <w:t xml:space="preserve"> Peruvian Civil Code in </w:t>
      </w:r>
      <w:proofErr w:type="spellStart"/>
      <w:r>
        <w:rPr>
          <w:rFonts w:ascii="Tms Rmn" w:hAnsi="Tms Rmn" w:cs="Tms Rmn"/>
          <w:color w:val="000000"/>
          <w:sz w:val="24"/>
          <w:szCs w:val="24"/>
        </w:rPr>
        <w:t>Monterrico</w:t>
      </w:r>
      <w:proofErr w:type="spellEnd"/>
      <w:r>
        <w:rPr>
          <w:rFonts w:ascii="Tms Rmn" w:hAnsi="Tms Rmn" w:cs="Tms Rmn"/>
          <w:color w:val="000000"/>
          <w:sz w:val="24"/>
          <w:szCs w:val="24"/>
        </w:rPr>
        <w:t xml:space="preserve"> g Colombia air quality standards</w:t>
      </w:r>
    </w:p>
    <w:p w:rsidR="00007EF3" w:rsidRDefault="00007EF3" w:rsidP="00007EF3">
      <w:pPr>
        <w:autoSpaceDE w:val="0"/>
        <w:autoSpaceDN w:val="0"/>
        <w:adjustRightInd w:val="0"/>
        <w:spacing w:after="0" w:line="240" w:lineRule="auto"/>
        <w:ind w:left="720"/>
        <w:rPr>
          <w:rFonts w:ascii="Tms Rmn" w:hAnsi="Tms Rmn" w:cs="Tms Rmn"/>
          <w:color w:val="000000"/>
          <w:sz w:val="24"/>
          <w:szCs w:val="24"/>
        </w:rPr>
      </w:pPr>
    </w:p>
    <w:p w:rsidR="00007EF3" w:rsidRDefault="00007EF3" w:rsidP="00007EF3">
      <w:pPr>
        <w:autoSpaceDE w:val="0"/>
        <w:autoSpaceDN w:val="0"/>
        <w:adjustRightInd w:val="0"/>
        <w:spacing w:after="0" w:line="240" w:lineRule="auto"/>
        <w:ind w:left="720"/>
        <w:rPr>
          <w:rFonts w:ascii="Tms Rmn" w:hAnsi="Tms Rmn" w:cs="Tms Rmn"/>
          <w:color w:val="000000"/>
          <w:sz w:val="24"/>
          <w:szCs w:val="24"/>
        </w:rPr>
      </w:pPr>
      <w:r>
        <w:rPr>
          <w:rFonts w:ascii="Tms Rmn" w:hAnsi="Tms Rmn" w:cs="Tms Rmn"/>
          <w:color w:val="000000"/>
          <w:sz w:val="24"/>
          <w:szCs w:val="24"/>
        </w:rPr>
        <w:t xml:space="preserve">(b) </w:t>
      </w:r>
      <w:proofErr w:type="gramStart"/>
      <w:r>
        <w:rPr>
          <w:rFonts w:ascii="Tms Rmn" w:hAnsi="Tms Rmn" w:cs="Tms Rmn"/>
          <w:color w:val="000000"/>
          <w:sz w:val="24"/>
          <w:szCs w:val="24"/>
        </w:rPr>
        <w:t>international</w:t>
      </w:r>
      <w:proofErr w:type="gramEnd"/>
      <w:r>
        <w:rPr>
          <w:rFonts w:ascii="Tms Rmn" w:hAnsi="Tms Rmn" w:cs="Tms Rmn"/>
          <w:color w:val="000000"/>
          <w:sz w:val="24"/>
          <w:szCs w:val="24"/>
        </w:rPr>
        <w:t xml:space="preserve"> standards </w:t>
      </w:r>
      <w:proofErr w:type="spellStart"/>
      <w:r>
        <w:rPr>
          <w:rFonts w:ascii="Tms Rmn" w:hAnsi="Tms Rmn" w:cs="Tms Rmn"/>
          <w:color w:val="000000"/>
          <w:sz w:val="24"/>
          <w:szCs w:val="24"/>
        </w:rPr>
        <w:t>eg</w:t>
      </w:r>
      <w:proofErr w:type="spellEnd"/>
      <w:r>
        <w:rPr>
          <w:rFonts w:ascii="Tms Rmn" w:hAnsi="Tms Rmn" w:cs="Tms Rmn"/>
          <w:color w:val="000000"/>
          <w:sz w:val="24"/>
          <w:szCs w:val="24"/>
        </w:rPr>
        <w:t xml:space="preserve"> the VPSHR direct companies to be "mindful of the highest applicable international standards".    </w:t>
      </w:r>
    </w:p>
    <w:p w:rsidR="00007EF3" w:rsidRDefault="00007EF3" w:rsidP="00007EF3">
      <w:pPr>
        <w:autoSpaceDE w:val="0"/>
        <w:autoSpaceDN w:val="0"/>
        <w:adjustRightInd w:val="0"/>
        <w:spacing w:after="0" w:line="240" w:lineRule="auto"/>
        <w:ind w:left="720"/>
        <w:rPr>
          <w:rFonts w:ascii="Tms Rmn" w:hAnsi="Tms Rmn" w:cs="Tms Rmn"/>
          <w:color w:val="000000"/>
          <w:sz w:val="24"/>
          <w:szCs w:val="24"/>
        </w:rPr>
      </w:pPr>
      <w:r>
        <w:rPr>
          <w:rFonts w:ascii="Tms Rmn" w:hAnsi="Tms Rmn" w:cs="Tms Rmn"/>
          <w:color w:val="000000"/>
          <w:sz w:val="24"/>
          <w:szCs w:val="24"/>
        </w:rPr>
        <w:t xml:space="preserve"> </w:t>
      </w:r>
    </w:p>
    <w:p w:rsidR="00007EF3" w:rsidRDefault="00007EF3" w:rsidP="00007EF3">
      <w:pPr>
        <w:autoSpaceDE w:val="0"/>
        <w:autoSpaceDN w:val="0"/>
        <w:adjustRightInd w:val="0"/>
        <w:spacing w:after="0" w:line="240" w:lineRule="auto"/>
        <w:ind w:left="720"/>
        <w:rPr>
          <w:rFonts w:ascii="Tms Rmn" w:hAnsi="Tms Rmn" w:cs="Tms Rmn"/>
          <w:color w:val="000000"/>
          <w:sz w:val="24"/>
          <w:szCs w:val="24"/>
        </w:rPr>
      </w:pPr>
      <w:r>
        <w:rPr>
          <w:rFonts w:ascii="Tms Rmn" w:hAnsi="Tms Rmn" w:cs="Tms Rmn"/>
          <w:color w:val="000000"/>
          <w:sz w:val="24"/>
          <w:szCs w:val="24"/>
        </w:rPr>
        <w:t xml:space="preserve">(c) International standards should apply </w:t>
      </w:r>
      <w:proofErr w:type="spellStart"/>
      <w:r>
        <w:rPr>
          <w:rFonts w:ascii="Tms Rmn" w:hAnsi="Tms Rmn" w:cs="Tms Rmn"/>
          <w:color w:val="000000"/>
          <w:sz w:val="24"/>
          <w:szCs w:val="24"/>
        </w:rPr>
        <w:t>eg</w:t>
      </w:r>
      <w:proofErr w:type="spellEnd"/>
      <w:r>
        <w:rPr>
          <w:rFonts w:ascii="Tms Rmn" w:hAnsi="Tms Rmn" w:cs="Tms Rmn"/>
          <w:color w:val="000000"/>
          <w:sz w:val="24"/>
          <w:szCs w:val="24"/>
        </w:rPr>
        <w:t xml:space="preserve"> VPHSHR in the Xstrata case</w:t>
      </w:r>
    </w:p>
    <w:p w:rsidR="00007EF3" w:rsidRDefault="00007EF3" w:rsidP="00007EF3">
      <w:pPr>
        <w:autoSpaceDE w:val="0"/>
        <w:autoSpaceDN w:val="0"/>
        <w:adjustRightInd w:val="0"/>
        <w:spacing w:after="0" w:line="240" w:lineRule="auto"/>
        <w:rPr>
          <w:rFonts w:ascii="Tms Rmn" w:hAnsi="Tms Rmn" w:cs="Tms Rmn"/>
          <w:color w:val="000000"/>
          <w:sz w:val="24"/>
          <w:szCs w:val="24"/>
        </w:rPr>
      </w:pPr>
    </w:p>
    <w:p w:rsidR="00007EF3" w:rsidRDefault="00007EF3" w:rsidP="00007EF3">
      <w:pPr>
        <w:autoSpaceDE w:val="0"/>
        <w:autoSpaceDN w:val="0"/>
        <w:adjustRightInd w:val="0"/>
        <w:spacing w:after="0" w:line="240" w:lineRule="auto"/>
        <w:rPr>
          <w:rFonts w:ascii="Tms Rmn" w:hAnsi="Tms Rmn" w:cs="Tms Rmn"/>
          <w:b/>
          <w:bCs/>
          <w:color w:val="000000"/>
          <w:sz w:val="24"/>
          <w:szCs w:val="24"/>
          <w:u w:val="single"/>
        </w:rPr>
      </w:pPr>
      <w:r>
        <w:rPr>
          <w:rFonts w:ascii="Tms Rmn" w:hAnsi="Tms Rmn" w:cs="Tms Rmn"/>
          <w:b/>
          <w:bCs/>
          <w:color w:val="000000"/>
          <w:sz w:val="24"/>
          <w:szCs w:val="24"/>
          <w:u w:val="single"/>
        </w:rPr>
        <w:t>Conclusion</w:t>
      </w:r>
    </w:p>
    <w:p w:rsidR="00007EF3" w:rsidRDefault="00007EF3" w:rsidP="00007EF3">
      <w:pPr>
        <w:autoSpaceDE w:val="0"/>
        <w:autoSpaceDN w:val="0"/>
        <w:adjustRightInd w:val="0"/>
        <w:spacing w:after="0" w:line="240" w:lineRule="auto"/>
        <w:rPr>
          <w:rFonts w:ascii="Tms Rmn" w:hAnsi="Tms Rmn" w:cs="Tms Rmn"/>
          <w:b/>
          <w:bCs/>
          <w:color w:val="000000"/>
          <w:sz w:val="24"/>
          <w:szCs w:val="24"/>
          <w:u w:val="single"/>
        </w:rPr>
      </w:pPr>
    </w:p>
    <w:p w:rsidR="00007EF3" w:rsidRDefault="00007EF3" w:rsidP="00007EF3">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16. Tort law approach is powerful mechanism for achieving legal accountability of MNCs in a variety of circumstances and places. But in order to be applicable more universally modifications need to be made. Equally important, and to be discussed in other sessions, are the practical obstacles to access to remedy, which are of particular significance in tort litigation</w:t>
      </w:r>
    </w:p>
    <w:p w:rsidR="00007EF3" w:rsidRDefault="00007EF3" w:rsidP="00007EF3">
      <w:pPr>
        <w:autoSpaceDE w:val="0"/>
        <w:autoSpaceDN w:val="0"/>
        <w:adjustRightInd w:val="0"/>
        <w:spacing w:after="0" w:line="240" w:lineRule="auto"/>
        <w:rPr>
          <w:rFonts w:ascii="Tms Rmn" w:hAnsi="Tms Rmn" w:cs="Tms Rmn"/>
          <w:color w:val="000000"/>
          <w:sz w:val="24"/>
          <w:szCs w:val="24"/>
        </w:rPr>
      </w:pPr>
    </w:p>
    <w:p w:rsidR="00007EF3" w:rsidRDefault="00007EF3" w:rsidP="00007EF3">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Richard </w:t>
      </w:r>
      <w:proofErr w:type="spellStart"/>
      <w:r>
        <w:rPr>
          <w:rFonts w:ascii="Tms Rmn" w:hAnsi="Tms Rmn" w:cs="Tms Rmn"/>
          <w:color w:val="000000"/>
          <w:sz w:val="24"/>
          <w:szCs w:val="24"/>
        </w:rPr>
        <w:t>Meeran</w:t>
      </w:r>
      <w:proofErr w:type="spellEnd"/>
    </w:p>
    <w:p w:rsidR="00FD65DC" w:rsidRDefault="00007EF3" w:rsidP="00007EF3">
      <w:r>
        <w:rPr>
          <w:rFonts w:ascii="Tms Rmn" w:hAnsi="Tms Rmn" w:cs="Tms Rmn"/>
          <w:color w:val="000000"/>
          <w:sz w:val="24"/>
          <w:szCs w:val="24"/>
        </w:rPr>
        <w:t>25 October 2016</w:t>
      </w:r>
    </w:p>
    <w:sectPr w:rsidR="00FD65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EF3"/>
    <w:rsid w:val="00007EF3"/>
    <w:rsid w:val="001F5F02"/>
    <w:rsid w:val="0092230A"/>
    <w:rsid w:val="009F0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42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89C3F8-1421-4C70-ADE0-0E29EA0D6621}"/>
</file>

<file path=customXml/itemProps2.xml><?xml version="1.0" encoding="utf-8"?>
<ds:datastoreItem xmlns:ds="http://schemas.openxmlformats.org/officeDocument/2006/customXml" ds:itemID="{3D74CC73-D116-4133-9F53-1C84A9750B3F}"/>
</file>

<file path=customXml/itemProps3.xml><?xml version="1.0" encoding="utf-8"?>
<ds:datastoreItem xmlns:ds="http://schemas.openxmlformats.org/officeDocument/2006/customXml" ds:itemID="{7E0186C9-04BB-49D5-B918-567225FC9987}"/>
</file>

<file path=docProps/app.xml><?xml version="1.0" encoding="utf-8"?>
<Properties xmlns="http://schemas.openxmlformats.org/officeDocument/2006/extended-properties" xmlns:vt="http://schemas.openxmlformats.org/officeDocument/2006/docPropsVTypes">
  <Template>Normal.dotm</Template>
  <TotalTime>2</TotalTime>
  <Pages>3</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Elisabeth Andvig</dc:creator>
  <cp:lastModifiedBy>Elisabeth Andvig</cp:lastModifiedBy>
  <cp:revision>2</cp:revision>
  <cp:lastPrinted>2016-10-26T13:12:00Z</cp:lastPrinted>
  <dcterms:created xsi:type="dcterms:W3CDTF">2016-10-26T13:12:00Z</dcterms:created>
  <dcterms:modified xsi:type="dcterms:W3CDTF">2016-10-28T13:40:00Z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3826100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