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154B" w:rsidRDefault="001060BD">
      <w:pPr>
        <w:shd w:val="clear" w:color="auto" w:fill="FFFFFF"/>
        <w:jc w:val="center"/>
        <w:rPr>
          <w:rFonts w:ascii="Arial Narrow" w:eastAsia="Calibri" w:hAnsi="Arial Narrow" w:cs="Arial Narrow"/>
          <w:b/>
          <w:bCs/>
          <w:color w:val="303030"/>
          <w:sz w:val="28"/>
          <w:szCs w:val="28"/>
          <w:highlight w:val="white"/>
          <w:lang w:eastAsia="en-US"/>
        </w:rPr>
      </w:pPr>
      <w:r>
        <w:rPr>
          <w:rFonts w:ascii="Arial Narrow" w:eastAsia="Calibri" w:hAnsi="Arial Narrow" w:cs="Arial Narrow"/>
          <w:b/>
          <w:bCs/>
          <w:color w:val="303030"/>
          <w:sz w:val="28"/>
          <w:szCs w:val="28"/>
          <w:shd w:val="clear" w:color="auto" w:fill="FFFFFF"/>
          <w:lang w:eastAsia="en-US"/>
        </w:rPr>
        <w:t>Open-ended intergovernmental working group on transnational corporations and other business enterprises with respect to human rights</w:t>
      </w:r>
    </w:p>
    <w:p w:rsidR="0034154B" w:rsidRDefault="0034154B">
      <w:pPr>
        <w:shd w:val="clear" w:color="auto" w:fill="FFFFFF"/>
        <w:jc w:val="center"/>
        <w:rPr>
          <w:rFonts w:ascii="Arial Narrow" w:eastAsia="Calibri" w:hAnsi="Arial Narrow" w:cs="Arial Narrow"/>
          <w:b/>
          <w:bCs/>
          <w:color w:val="303030"/>
          <w:sz w:val="28"/>
          <w:szCs w:val="28"/>
          <w:shd w:val="clear" w:color="auto" w:fill="FFFFFF"/>
          <w:lang w:eastAsia="en-US"/>
        </w:rPr>
      </w:pPr>
    </w:p>
    <w:p w:rsidR="0034154B" w:rsidRDefault="001060BD">
      <w:pPr>
        <w:shd w:val="clear" w:color="auto" w:fill="FFFFFF"/>
        <w:jc w:val="center"/>
        <w:rPr>
          <w:rFonts w:ascii="Arial Narrow" w:eastAsia="Calibri" w:hAnsi="Arial Narrow" w:cs="Arial Narrow"/>
          <w:b/>
          <w:bCs/>
          <w:i/>
          <w:color w:val="303030"/>
          <w:highlight w:val="white"/>
          <w:lang w:eastAsia="en-US"/>
        </w:rPr>
      </w:pPr>
      <w:r>
        <w:rPr>
          <w:rFonts w:ascii="Arial Narrow" w:eastAsia="Calibri" w:hAnsi="Arial Narrow" w:cs="Arial Narrow"/>
          <w:b/>
          <w:bCs/>
          <w:i/>
          <w:color w:val="303030"/>
          <w:shd w:val="clear" w:color="auto" w:fill="FFFFFF"/>
          <w:lang w:eastAsia="en-US"/>
        </w:rPr>
        <w:t>Second session, 24 – 28 October 2016</w:t>
      </w:r>
    </w:p>
    <w:p w:rsidR="0034154B" w:rsidRDefault="001060BD">
      <w:pPr>
        <w:shd w:val="clear" w:color="auto" w:fill="FFFFFF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 xml:space="preserve"> </w:t>
      </w:r>
    </w:p>
    <w:p w:rsidR="0034154B" w:rsidRDefault="001060BD">
      <w:pPr>
        <w:jc w:val="center"/>
        <w:rPr>
          <w:rFonts w:ascii="Arial Narrow" w:hAnsi="Arial Narrow" w:cs="Arial Narrow"/>
          <w:b/>
          <w:u w:val="single"/>
        </w:rPr>
      </w:pPr>
      <w:r>
        <w:rPr>
          <w:rFonts w:ascii="Arial Narrow" w:hAnsi="Arial Narrow" w:cs="Arial Narrow"/>
          <w:b/>
          <w:u w:val="single"/>
        </w:rPr>
        <w:t>FORM for NGOs and other relevant stakeholders submitting a written contribution</w:t>
      </w:r>
    </w:p>
    <w:p w:rsidR="0034154B" w:rsidRDefault="0034154B">
      <w:pPr>
        <w:rPr>
          <w:rFonts w:ascii="Arial Narrow" w:hAnsi="Arial Narrow" w:cs="Arial Narrow"/>
          <w:b/>
          <w:sz w:val="22"/>
          <w:szCs w:val="22"/>
          <w:u w:val="single"/>
        </w:rPr>
      </w:pPr>
    </w:p>
    <w:p w:rsidR="0034154B" w:rsidRDefault="001060BD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Please note that the written contribution is formatted and issued, unedited, in the language(s) received from the submitting organization (it should be submitted in one of the official UN languages).</w:t>
      </w:r>
    </w:p>
    <w:p w:rsidR="0034154B" w:rsidRDefault="001060BD">
      <w:pPr>
        <w:spacing w:before="120"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 order for your contribution to be published on the OE</w:t>
      </w:r>
      <w:r>
        <w:rPr>
          <w:rFonts w:ascii="Arial Narrow" w:hAnsi="Arial Narrow" w:cs="Arial Narrow"/>
          <w:sz w:val="22"/>
          <w:szCs w:val="22"/>
        </w:rPr>
        <w:t xml:space="preserve">IWG web page prior to the session, the deadline for submission is 30 September 2016. All submissions are final. </w:t>
      </w:r>
    </w:p>
    <w:p w:rsidR="0034154B" w:rsidRDefault="001060BD">
      <w:r>
        <w:rPr>
          <w:rFonts w:ascii="Arial Narrow" w:hAnsi="Arial Narrow" w:cs="Arial Narrow"/>
          <w:sz w:val="22"/>
          <w:szCs w:val="22"/>
        </w:rPr>
        <w:t xml:space="preserve">Please fill out </w:t>
      </w:r>
      <w:r>
        <w:rPr>
          <w:rFonts w:ascii="Arial Narrow" w:hAnsi="Arial Narrow" w:cs="Arial Narrow"/>
          <w:b/>
          <w:sz w:val="22"/>
          <w:szCs w:val="22"/>
        </w:rPr>
        <w:t>this</w:t>
      </w:r>
      <w:r>
        <w:rPr>
          <w:rFonts w:ascii="Arial Narrow" w:hAnsi="Arial Narrow" w:cs="Arial Narrow"/>
          <w:sz w:val="22"/>
          <w:szCs w:val="22"/>
        </w:rPr>
        <w:t xml:space="preserve"> FORM and CHECKLIST to submit your written contribution and send it to the address indicated below. Your information goes a</w:t>
      </w:r>
      <w:r>
        <w:rPr>
          <w:rFonts w:ascii="Arial Narrow" w:hAnsi="Arial Narrow" w:cs="Arial Narrow"/>
          <w:sz w:val="22"/>
          <w:szCs w:val="22"/>
        </w:rPr>
        <w:t>fter each arrow.</w:t>
      </w:r>
    </w:p>
    <w:p w:rsidR="0034154B" w:rsidRDefault="0034154B">
      <w:pPr>
        <w:rPr>
          <w:rFonts w:ascii="Arial Narrow" w:hAnsi="Arial Narrow" w:cs="Arial Narrow"/>
          <w:sz w:val="22"/>
          <w:szCs w:val="22"/>
        </w:rPr>
      </w:pPr>
    </w:p>
    <w:p w:rsidR="0034154B" w:rsidRDefault="001060BD">
      <w:pPr>
        <w:spacing w:line="220" w:lineRule="atLeast"/>
        <w:ind w:left="480"/>
      </w:pPr>
      <w:r>
        <w:rPr>
          <w:rFonts w:ascii="Arial Narrow" w:hAnsi="Arial Narrow" w:cs="Arial Narrow"/>
          <w:b/>
          <w:sz w:val="22"/>
          <w:szCs w:val="22"/>
        </w:rPr>
        <w:t>1.</w:t>
      </w:r>
      <w:r>
        <w:rPr>
          <w:rFonts w:ascii="Arial Narrow" w:hAnsi="Arial Narrow" w:cs="Arial Narrow"/>
          <w:sz w:val="22"/>
          <w:szCs w:val="22"/>
        </w:rPr>
        <w:tab/>
        <w:t xml:space="preserve">Please indicate the contact information for the representative submitting the written contribution (i.e. name, mobile, email) here: </w:t>
      </w:r>
      <w:r>
        <w:rPr>
          <w:rFonts w:ascii="Arial Narrow" w:hAnsi="Arial Narrow" w:cs="Arial Narrow"/>
          <w:noProof/>
          <w:sz w:val="22"/>
          <w:szCs w:val="22"/>
          <w:lang w:val="fr-FR" w:eastAsia="fr-FR"/>
        </w:rPr>
        <w:drawing>
          <wp:inline distT="0" distB="0" distL="0" distR="0">
            <wp:extent cx="158750" cy="16700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Melik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ÖZDEN (0797288058, </w:t>
      </w:r>
      <w:hyperlink r:id="rId8">
        <w:r>
          <w:rPr>
            <w:rStyle w:val="LienInternet"/>
            <w:rFonts w:ascii="Arial Narrow" w:hAnsi="Arial Narrow" w:cs="Arial Narrow"/>
            <w:b/>
            <w:sz w:val="22"/>
            <w:szCs w:val="22"/>
          </w:rPr>
          <w:t>contact@cetim.ch</w:t>
        </w:r>
      </w:hyperlink>
      <w:r>
        <w:rPr>
          <w:rFonts w:ascii="Arial Narrow" w:hAnsi="Arial Narrow" w:cs="Arial Narrow"/>
          <w:b/>
          <w:sz w:val="22"/>
          <w:szCs w:val="22"/>
        </w:rPr>
        <w:t xml:space="preserve">), Gonzalo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Berron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(</w:t>
      </w:r>
      <w:r>
        <w:rPr>
          <w:rFonts w:ascii="Arial Narrow" w:hAnsi="Arial Narrow" w:cs="Arial Narrow"/>
          <w:b/>
          <w:sz w:val="22"/>
          <w:szCs w:val="22"/>
        </w:rPr>
        <w:t>+55 11 964262381, gonzalo.berron@tni.org)</w:t>
      </w:r>
    </w:p>
    <w:p w:rsidR="0034154B" w:rsidRDefault="0034154B">
      <w:pPr>
        <w:spacing w:line="220" w:lineRule="atLeast"/>
        <w:rPr>
          <w:rFonts w:ascii="Arial Narrow" w:hAnsi="Arial Narrow" w:cs="Arial Narrow"/>
          <w:b/>
          <w:sz w:val="18"/>
          <w:szCs w:val="18"/>
        </w:rPr>
      </w:pPr>
    </w:p>
    <w:p w:rsidR="0034154B" w:rsidRDefault="001060BD">
      <w:pPr>
        <w:spacing w:line="220" w:lineRule="atLeast"/>
        <w:ind w:left="48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2. (</w:t>
      </w:r>
      <w:proofErr w:type="gramStart"/>
      <w:r>
        <w:rPr>
          <w:rFonts w:ascii="Arial Narrow" w:hAnsi="Arial Narrow" w:cs="Arial Narrow"/>
          <w:b/>
          <w:sz w:val="22"/>
          <w:szCs w:val="22"/>
        </w:rPr>
        <w:t>a</w:t>
      </w:r>
      <w:proofErr w:type="gramEnd"/>
      <w:r>
        <w:rPr>
          <w:rFonts w:ascii="Arial Narrow" w:hAnsi="Arial Narrow" w:cs="Arial Narrow"/>
          <w:b/>
          <w:sz w:val="22"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 xml:space="preserve">  If this is an individual contribution, please indicate here your organization's name (kindly state in brackets whether your organization has ECOSOC consultative status (i.e. General, Special, or Roster). </w:t>
      </w:r>
      <w:r>
        <w:rPr>
          <w:rFonts w:ascii="Arial Narrow" w:hAnsi="Arial Narrow" w:cs="Arial Narrow"/>
          <w:noProof/>
          <w:sz w:val="22"/>
          <w:szCs w:val="22"/>
          <w:lang w:val="fr-FR" w:eastAsia="fr-FR"/>
        </w:rPr>
        <w:drawing>
          <wp:inline distT="0" distB="0" distL="0" distR="0">
            <wp:extent cx="158750" cy="16700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4B" w:rsidRDefault="001060BD">
      <w:pPr>
        <w:spacing w:line="220" w:lineRule="atLeast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or</w:t>
      </w:r>
      <w:proofErr w:type="gramEnd"/>
      <w:r>
        <w:rPr>
          <w:rFonts w:ascii="Arial Narrow" w:hAnsi="Arial Narrow" w:cs="Arial Narrow"/>
          <w:sz w:val="22"/>
          <w:szCs w:val="22"/>
        </w:rPr>
        <w:t>,</w:t>
      </w:r>
    </w:p>
    <w:p w:rsidR="0034154B" w:rsidRDefault="001060BD">
      <w:pPr>
        <w:spacing w:line="220" w:lineRule="atLeast"/>
        <w:ind w:left="480"/>
      </w:pPr>
      <w:r>
        <w:rPr>
          <w:rFonts w:ascii="Arial Narrow" w:hAnsi="Arial Narrow" w:cs="Arial Narrow"/>
          <w:b/>
          <w:sz w:val="22"/>
          <w:szCs w:val="22"/>
        </w:rPr>
        <w:t>2. (</w:t>
      </w:r>
      <w:proofErr w:type="gramStart"/>
      <w:r>
        <w:rPr>
          <w:rFonts w:ascii="Arial Narrow" w:hAnsi="Arial Narrow" w:cs="Arial Narrow"/>
          <w:b/>
          <w:sz w:val="22"/>
          <w:szCs w:val="22"/>
        </w:rPr>
        <w:t>b</w:t>
      </w:r>
      <w:proofErr w:type="gramEnd"/>
      <w:r>
        <w:rPr>
          <w:rFonts w:ascii="Arial Narrow" w:hAnsi="Arial Narrow" w:cs="Arial Narrow"/>
          <w:b/>
          <w:sz w:val="22"/>
          <w:szCs w:val="22"/>
        </w:rPr>
        <w:t xml:space="preserve">)  </w:t>
      </w:r>
      <w:r>
        <w:rPr>
          <w:rFonts w:ascii="Arial Narrow" w:hAnsi="Arial Narrow" w:cs="Arial Narrow"/>
          <w:sz w:val="22"/>
          <w:szCs w:val="22"/>
        </w:rPr>
        <w:t>If this is a joint contribution including ECOSOC NGO(s), list here the co-sponsoring ECOSOC NGO(s) as they appear in the ECOSOC database and their status (in brackets): Group all General NGOs first, group the Special second, group the Roster t</w:t>
      </w:r>
      <w:r>
        <w:rPr>
          <w:rFonts w:ascii="Arial Narrow" w:hAnsi="Arial Narrow" w:cs="Arial Narrow"/>
          <w:sz w:val="22"/>
          <w:szCs w:val="22"/>
        </w:rPr>
        <w:t>hird</w:t>
      </w:r>
      <w:r>
        <w:rPr>
          <w:rFonts w:ascii="Arial Narrow" w:hAnsi="Arial Narrow" w:cs="Arial Narrow"/>
          <w:b/>
          <w:sz w:val="22"/>
          <w:szCs w:val="22"/>
        </w:rPr>
        <w:t xml:space="preserve">. </w:t>
      </w:r>
      <w:r>
        <w:rPr>
          <w:rFonts w:ascii="Arial Narrow" w:hAnsi="Arial Narrow" w:cs="Arial Narrow"/>
          <w:b/>
          <w:noProof/>
          <w:sz w:val="22"/>
          <w:szCs w:val="22"/>
          <w:lang w:val="fr-FR" w:eastAsia="fr-FR"/>
        </w:rPr>
        <w:drawing>
          <wp:inline distT="0" distB="0" distL="0" distR="0">
            <wp:extent cx="158750" cy="167005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b/>
          <w:sz w:val="22"/>
          <w:szCs w:val="22"/>
        </w:rPr>
        <w:t xml:space="preserve">Centro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Europa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–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Tercer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Mundo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(CETIM),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organización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no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gubernamental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reconocida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b/>
          <w:sz w:val="22"/>
          <w:szCs w:val="22"/>
        </w:rPr>
        <w:t>como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entidad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consultiva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generale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, Institute for Policy Studies/Transnational Institute,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organización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no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gubernamental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reconocida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como</w:t>
      </w:r>
      <w:proofErr w:type="spellEnd"/>
      <w:proofErr w:type="gram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entidad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consultiva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Especial</w:t>
      </w:r>
    </w:p>
    <w:p w:rsidR="0034154B" w:rsidRDefault="0034154B">
      <w:pPr>
        <w:spacing w:line="220" w:lineRule="atLeast"/>
        <w:ind w:left="480"/>
        <w:rPr>
          <w:rFonts w:ascii="Arial Narrow" w:hAnsi="Arial Narrow" w:cs="Arial Narrow"/>
          <w:sz w:val="22"/>
          <w:szCs w:val="22"/>
        </w:rPr>
      </w:pPr>
    </w:p>
    <w:p w:rsidR="0034154B" w:rsidRDefault="001060BD">
      <w:pPr>
        <w:spacing w:line="220" w:lineRule="atLeast"/>
        <w:ind w:left="48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sz w:val="22"/>
          <w:szCs w:val="22"/>
        </w:rPr>
        <w:t>3.</w:t>
      </w:r>
      <w:r>
        <w:rPr>
          <w:rFonts w:ascii="Arial Narrow" w:hAnsi="Arial Narrow" w:cs="Arial Narrow"/>
          <w:sz w:val="22"/>
          <w:szCs w:val="22"/>
        </w:rPr>
        <w:tab/>
        <w:t>Indi</w:t>
      </w:r>
      <w:r>
        <w:rPr>
          <w:rFonts w:ascii="Arial Narrow" w:hAnsi="Arial Narrow" w:cs="Arial Narrow"/>
          <w:sz w:val="22"/>
          <w:szCs w:val="22"/>
        </w:rPr>
        <w:t xml:space="preserve">cate here any non-ECOSOC NGO(s) supporting the joint contribution (they will appear as a footnote to the title – unless it is a joint contribution from non-ECOSOC stakeholders only): </w:t>
      </w:r>
      <w:r>
        <w:rPr>
          <w:rFonts w:ascii="Arial Narrow" w:hAnsi="Arial Narrow" w:cs="Arial Narrow"/>
          <w:noProof/>
          <w:sz w:val="22"/>
          <w:szCs w:val="22"/>
          <w:lang w:val="fr-FR" w:eastAsia="fr-FR"/>
        </w:rPr>
        <w:drawing>
          <wp:inline distT="0" distB="0" distL="0" distR="0">
            <wp:extent cx="158750" cy="16700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4B" w:rsidRDefault="0034154B">
      <w:pPr>
        <w:spacing w:line="220" w:lineRule="atLeast"/>
        <w:ind w:left="480"/>
        <w:rPr>
          <w:rFonts w:ascii="Arial Narrow" w:hAnsi="Arial Narrow" w:cs="Arial Narrow"/>
          <w:sz w:val="18"/>
          <w:szCs w:val="18"/>
        </w:rPr>
      </w:pPr>
    </w:p>
    <w:p w:rsidR="0034154B" w:rsidRDefault="001060BD">
      <w:pPr>
        <w:spacing w:line="220" w:lineRule="atLeast"/>
        <w:ind w:left="480"/>
      </w:pPr>
      <w:r>
        <w:rPr>
          <w:rFonts w:ascii="Arial Narrow" w:hAnsi="Arial Narrow" w:cs="Arial Narrow"/>
          <w:b/>
          <w:sz w:val="22"/>
          <w:szCs w:val="22"/>
        </w:rPr>
        <w:t>4.</w:t>
      </w:r>
      <w:r>
        <w:rPr>
          <w:rFonts w:ascii="Arial Narrow" w:hAnsi="Arial Narrow" w:cs="Arial Narrow"/>
          <w:sz w:val="22"/>
          <w:szCs w:val="22"/>
        </w:rPr>
        <w:tab/>
        <w:t>Indicate the TITLE for the written contribution (in original langua</w:t>
      </w:r>
      <w:r>
        <w:rPr>
          <w:rFonts w:ascii="Arial Narrow" w:hAnsi="Arial Narrow" w:cs="Arial Narrow"/>
          <w:sz w:val="22"/>
          <w:szCs w:val="22"/>
        </w:rPr>
        <w:t xml:space="preserve">ge) here: </w:t>
      </w:r>
      <w:r>
        <w:rPr>
          <w:rFonts w:ascii="Arial Narrow" w:hAnsi="Arial Narrow" w:cs="Arial Narrow"/>
          <w:noProof/>
          <w:sz w:val="22"/>
          <w:szCs w:val="22"/>
          <w:lang w:val="fr-FR" w:eastAsia="fr-FR"/>
        </w:rPr>
        <w:drawing>
          <wp:inline distT="0" distB="0" distL="0" distR="0">
            <wp:extent cx="158750" cy="167005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Tema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5.b):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Obligaciones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de los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Estados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por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lo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que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concierne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el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régimen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de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inversiones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y de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libre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comercio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internacional</w:t>
      </w:r>
      <w:proofErr w:type="spellEnd"/>
    </w:p>
    <w:p w:rsidR="0034154B" w:rsidRDefault="0034154B">
      <w:pPr>
        <w:ind w:left="360"/>
        <w:rPr>
          <w:rFonts w:ascii="Arial Narrow" w:hAnsi="Arial Narrow" w:cs="Arial Narrow"/>
          <w:sz w:val="22"/>
          <w:szCs w:val="22"/>
        </w:rPr>
      </w:pPr>
    </w:p>
    <w:p w:rsidR="0034154B" w:rsidRDefault="001060BD">
      <w:pPr>
        <w:rPr>
          <w:rFonts w:ascii="Arial Narrow" w:hAnsi="Arial Narrow" w:cs="Arial Narrow"/>
          <w:b/>
          <w:sz w:val="22"/>
          <w:szCs w:val="22"/>
          <w:u w:val="single"/>
        </w:rPr>
      </w:pPr>
      <w:r>
        <w:rPr>
          <w:rFonts w:ascii="Arial Narrow" w:hAnsi="Arial Narrow" w:cs="Arial Narrow"/>
          <w:b/>
          <w:sz w:val="22"/>
          <w:szCs w:val="22"/>
          <w:u w:val="single"/>
        </w:rPr>
        <w:t xml:space="preserve">Please make sure that: </w:t>
      </w:r>
    </w:p>
    <w:p w:rsidR="0034154B" w:rsidRDefault="0034154B">
      <w:pPr>
        <w:rPr>
          <w:rFonts w:ascii="Arial Narrow" w:hAnsi="Arial Narrow" w:cs="Arial Narrow"/>
          <w:b/>
          <w:sz w:val="22"/>
          <w:szCs w:val="22"/>
          <w:u w:val="single"/>
        </w:rPr>
      </w:pPr>
    </w:p>
    <w:p w:rsidR="0034154B" w:rsidRDefault="001060BD">
      <w:pPr>
        <w:numPr>
          <w:ilvl w:val="0"/>
          <w:numId w:val="2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The written contribution is in MS WORD document format (Font Times New Roman 10; no bold; no underline; no italics). </w:t>
      </w:r>
    </w:p>
    <w:p w:rsidR="0034154B" w:rsidRDefault="0034154B">
      <w:pPr>
        <w:rPr>
          <w:rFonts w:ascii="Arial Narrow" w:hAnsi="Arial Narrow" w:cs="Arial Narrow"/>
          <w:sz w:val="22"/>
          <w:szCs w:val="22"/>
        </w:rPr>
      </w:pPr>
    </w:p>
    <w:p w:rsidR="0034154B" w:rsidRDefault="001060BD">
      <w:pPr>
        <w:numPr>
          <w:ilvl w:val="0"/>
          <w:numId w:val="1"/>
        </w:numPr>
      </w:pPr>
      <w:r>
        <w:rPr>
          <w:rFonts w:ascii="Arial Narrow" w:hAnsi="Arial Narrow" w:cs="Arial Narrow"/>
          <w:sz w:val="22"/>
          <w:szCs w:val="22"/>
        </w:rPr>
        <w:t>Please use the Spell/grammar check on your text</w:t>
      </w:r>
      <w:r>
        <w:rPr>
          <w:rFonts w:ascii="Arial Narrow" w:hAnsi="Arial Narrow" w:cs="Arial Narrow"/>
          <w:spacing w:val="-12"/>
          <w:sz w:val="22"/>
          <w:szCs w:val="22"/>
        </w:rPr>
        <w:t>. (Go to Tools, Spelling &amp; Grammar)</w:t>
      </w:r>
    </w:p>
    <w:p w:rsidR="0034154B" w:rsidRDefault="0034154B">
      <w:pPr>
        <w:rPr>
          <w:rFonts w:ascii="Arial Narrow" w:hAnsi="Arial Narrow" w:cs="Arial Narrow"/>
          <w:sz w:val="22"/>
          <w:szCs w:val="22"/>
        </w:rPr>
      </w:pPr>
    </w:p>
    <w:p w:rsidR="0034154B" w:rsidRDefault="001060BD">
      <w:pPr>
        <w:numPr>
          <w:ilvl w:val="0"/>
          <w:numId w:val="1"/>
        </w:numPr>
      </w:pPr>
      <w:r>
        <w:rPr>
          <w:rFonts w:ascii="Arial Narrow" w:hAnsi="Arial Narrow" w:cs="Arial Narrow"/>
          <w:sz w:val="22"/>
          <w:szCs w:val="22"/>
        </w:rPr>
        <w:t xml:space="preserve">Different language versions of one statement should be sent in the same email, but using </w:t>
      </w:r>
      <w:r>
        <w:rPr>
          <w:rFonts w:ascii="Arial Narrow" w:hAnsi="Arial Narrow" w:cs="Arial Narrow"/>
          <w:b/>
          <w:sz w:val="22"/>
          <w:szCs w:val="22"/>
          <w:u w:val="single"/>
        </w:rPr>
        <w:t>a separate form</w:t>
      </w:r>
      <w:r>
        <w:rPr>
          <w:rFonts w:ascii="Arial Narrow" w:hAnsi="Arial Narrow" w:cs="Arial Narrow"/>
          <w:sz w:val="22"/>
          <w:szCs w:val="22"/>
        </w:rPr>
        <w:t xml:space="preserve"> for each.</w:t>
      </w:r>
    </w:p>
    <w:p w:rsidR="0034154B" w:rsidRDefault="0034154B">
      <w:pPr>
        <w:rPr>
          <w:rFonts w:ascii="Arial Narrow" w:hAnsi="Arial Narrow" w:cs="Arial Narrow"/>
          <w:sz w:val="22"/>
          <w:szCs w:val="22"/>
        </w:rPr>
      </w:pPr>
    </w:p>
    <w:p w:rsidR="0034154B" w:rsidRDefault="001060BD">
      <w:pPr>
        <w:numPr>
          <w:ilvl w:val="0"/>
          <w:numId w:val="1"/>
        </w:numPr>
      </w:pPr>
      <w:r>
        <w:rPr>
          <w:rFonts w:ascii="Arial Narrow" w:hAnsi="Arial Narrow" w:cs="Arial Narrow"/>
          <w:sz w:val="22"/>
          <w:szCs w:val="22"/>
        </w:rPr>
        <w:t xml:space="preserve">Email the document to: </w:t>
      </w:r>
      <w:hyperlink r:id="rId9">
        <w:r>
          <w:rPr>
            <w:rStyle w:val="LienInternet"/>
            <w:rFonts w:ascii="Arial Narrow" w:hAnsi="Arial Narrow" w:cs="Arial Narrow"/>
            <w:sz w:val="22"/>
            <w:szCs w:val="22"/>
            <w:highlight w:val="white"/>
          </w:rPr>
          <w:t>igwg-tncs@ohchr.org</w:t>
        </w:r>
      </w:hyperlink>
    </w:p>
    <w:p w:rsidR="0034154B" w:rsidRDefault="0034154B">
      <w:pPr>
        <w:rPr>
          <w:rFonts w:ascii="Arial Narrow" w:hAnsi="Arial Narrow" w:cs="Arial Narrow"/>
          <w:b/>
          <w:sz w:val="22"/>
          <w:szCs w:val="22"/>
        </w:rPr>
      </w:pPr>
    </w:p>
    <w:p w:rsidR="0034154B" w:rsidRDefault="001060BD">
      <w:pPr>
        <w:jc w:val="center"/>
        <w:rPr>
          <w:sz w:val="20"/>
          <w:szCs w:val="20"/>
          <w:lang w:val="es-ES"/>
        </w:rPr>
      </w:pPr>
      <w:r>
        <w:rPr>
          <w:rFonts w:ascii="Arial Narrow" w:hAnsi="Arial Narrow" w:cs="Arial Narrow"/>
          <w:b/>
          <w:u w:val="single"/>
        </w:rPr>
        <w:t>PLEASE PASTE THE FINAL TEXT BELOW</w:t>
      </w:r>
      <w:r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  <w:noProof/>
          <w:lang w:val="fr-FR" w:eastAsia="fr-FR"/>
        </w:rPr>
        <w:drawing>
          <wp:inline distT="0" distB="0" distL="0" distR="0">
            <wp:extent cx="269875" cy="275590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4B" w:rsidRDefault="0034154B">
      <w:pPr>
        <w:pStyle w:val="BodyText"/>
        <w:spacing w:after="0" w:line="240" w:lineRule="auto"/>
        <w:jc w:val="center"/>
        <w:rPr>
          <w:sz w:val="20"/>
          <w:szCs w:val="20"/>
          <w:lang w:val="es-ES"/>
        </w:rPr>
      </w:pPr>
    </w:p>
    <w:p w:rsidR="0034154B" w:rsidRDefault="001060BD">
      <w:pPr>
        <w:pStyle w:val="BodyText"/>
        <w:spacing w:after="0" w:line="240" w:lineRule="auto"/>
        <w:jc w:val="center"/>
      </w:pPr>
      <w:bookmarkStart w:id="0" w:name="__DdeLink__1282_1772027441"/>
      <w:r>
        <w:rPr>
          <w:sz w:val="20"/>
          <w:szCs w:val="20"/>
          <w:lang w:val="es-ES"/>
        </w:rPr>
        <w:lastRenderedPageBreak/>
        <w:t xml:space="preserve">La </w:t>
      </w:r>
      <w:r>
        <w:rPr>
          <w:color w:val="010101"/>
          <w:sz w:val="20"/>
          <w:szCs w:val="20"/>
          <w:lang w:val="es-ES"/>
        </w:rPr>
        <w:t xml:space="preserve">Campaña Global para Desmantelar el Poder de las Transnacionales y Poner fin a la Impunidad (Campaña Global) </w:t>
      </w:r>
      <w:r>
        <w:rPr>
          <w:sz w:val="20"/>
          <w:szCs w:val="20"/>
          <w:lang w:val="es-ES"/>
        </w:rPr>
        <w:t>f</w:t>
      </w:r>
      <w:bookmarkEnd w:id="0"/>
      <w:r>
        <w:rPr>
          <w:sz w:val="20"/>
          <w:szCs w:val="20"/>
          <w:lang w:val="es-ES"/>
        </w:rPr>
        <w:t>acilitó la elaboración de seis presentaciones escritas para consideración de la Segunda Sesión del “Grupo de Trabajo Intergubernamental sobre Empre</w:t>
      </w:r>
      <w:r>
        <w:rPr>
          <w:sz w:val="20"/>
          <w:szCs w:val="20"/>
          <w:lang w:val="es-ES"/>
        </w:rPr>
        <w:t>sas Transnacionales y otras empresas en relación a los derechos humanos” que tiene lugar en Ginebra entre los días 24 y 28 de octubre de 2016. Son parte de la contribución de la Campaña Global al mandato del Grupo de Trabajo para desarrollar un “instrument</w:t>
      </w:r>
      <w:r>
        <w:rPr>
          <w:sz w:val="20"/>
          <w:szCs w:val="20"/>
          <w:lang w:val="es-ES"/>
        </w:rPr>
        <w:t>o internacional legalmente vinculante sobre Empresas Transnacionales (</w:t>
      </w:r>
      <w:proofErr w:type="spellStart"/>
      <w:r>
        <w:rPr>
          <w:sz w:val="20"/>
          <w:szCs w:val="20"/>
          <w:lang w:val="es-ES"/>
        </w:rPr>
        <w:t>ETNs</w:t>
      </w:r>
      <w:proofErr w:type="spellEnd"/>
      <w:r>
        <w:rPr>
          <w:sz w:val="20"/>
          <w:szCs w:val="20"/>
          <w:lang w:val="es-ES"/>
        </w:rPr>
        <w:t>) y otras empresas en relación a los Derechos Humanos”. Expresan su diversidad y la convicción de que un instrumento legalmente vinculante es esencial para dos dimensiones del trabaj</w:t>
      </w:r>
      <w:r>
        <w:rPr>
          <w:sz w:val="20"/>
          <w:szCs w:val="20"/>
          <w:lang w:val="es-ES"/>
        </w:rPr>
        <w:t xml:space="preserve">o de la Campaña: poner fin a la impunidad de las </w:t>
      </w:r>
      <w:proofErr w:type="spellStart"/>
      <w:r>
        <w:rPr>
          <w:sz w:val="20"/>
          <w:szCs w:val="20"/>
          <w:lang w:val="es-ES"/>
        </w:rPr>
        <w:t>ETNs</w:t>
      </w:r>
      <w:proofErr w:type="spellEnd"/>
      <w:r>
        <w:rPr>
          <w:sz w:val="20"/>
          <w:szCs w:val="20"/>
          <w:lang w:val="es-ES"/>
        </w:rPr>
        <w:t xml:space="preserve"> y contestar su poder sistémico que ha causado impactos inéditos en la vida diaria de las comunidades afectadas.</w:t>
      </w:r>
    </w:p>
    <w:p w:rsidR="0034154B" w:rsidRDefault="0034154B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34154B" w:rsidRDefault="001060BD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régimen de comercio e inversiones </w:t>
      </w:r>
    </w:p>
    <w:p w:rsidR="0034154B" w:rsidRDefault="001060BD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Tratado debe desarrollar obligaciones específica</w:t>
      </w:r>
      <w:r>
        <w:rPr>
          <w:sz w:val="20"/>
          <w:szCs w:val="20"/>
          <w:lang w:val="es-ES"/>
        </w:rPr>
        <w:t>s de los Estados en relación al régimen internacional de comercio e inversiones, afirmando la superioridad jerárquica de las normas de derechos humanos (</w:t>
      </w:r>
      <w:proofErr w:type="spellStart"/>
      <w:r>
        <w:rPr>
          <w:sz w:val="20"/>
          <w:szCs w:val="20"/>
          <w:lang w:val="es-ES"/>
        </w:rPr>
        <w:t>jus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cogens</w:t>
      </w:r>
      <w:proofErr w:type="spellEnd"/>
      <w:r>
        <w:rPr>
          <w:sz w:val="20"/>
          <w:szCs w:val="20"/>
          <w:lang w:val="es-ES"/>
        </w:rPr>
        <w:t>).</w:t>
      </w:r>
    </w:p>
    <w:p w:rsidR="0034154B" w:rsidRDefault="0034154B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34154B" w:rsidRDefault="001060BD">
      <w:pPr>
        <w:pStyle w:val="BodyText"/>
        <w:spacing w:after="0" w:line="240" w:lineRule="auto"/>
        <w:jc w:val="both"/>
      </w:pPr>
      <w:r>
        <w:rPr>
          <w:sz w:val="20"/>
          <w:szCs w:val="20"/>
          <w:lang w:val="es-ES"/>
        </w:rPr>
        <w:t xml:space="preserve">Décadas de evidencia acumulada por las comunidades afectadas, las audiencias de Tribunal </w:t>
      </w:r>
      <w:r>
        <w:rPr>
          <w:sz w:val="20"/>
          <w:szCs w:val="20"/>
          <w:lang w:val="es-ES"/>
        </w:rPr>
        <w:t>Permanente de los Pueblos, reportes extensos de organizaciones de la sociedad civil</w:t>
      </w:r>
      <w:r>
        <w:rPr>
          <w:rStyle w:val="Ancredenotedebasdepage"/>
          <w:sz w:val="20"/>
          <w:szCs w:val="20"/>
          <w:lang w:val="es-ES"/>
        </w:rPr>
        <w:footnoteReference w:id="1"/>
      </w:r>
      <w:r>
        <w:rPr>
          <w:sz w:val="20"/>
          <w:szCs w:val="20"/>
          <w:lang w:val="es-ES"/>
        </w:rPr>
        <w:t>, académicos</w:t>
      </w:r>
      <w:r>
        <w:rPr>
          <w:rStyle w:val="Ancredenotedebasdepage"/>
          <w:sz w:val="20"/>
          <w:szCs w:val="20"/>
          <w:lang w:val="es-ES"/>
        </w:rPr>
        <w:footnoteReference w:id="2"/>
      </w:r>
      <w:r>
        <w:rPr>
          <w:sz w:val="20"/>
          <w:szCs w:val="20"/>
          <w:lang w:val="es-ES"/>
        </w:rPr>
        <w:t>, expertos y fuentes oficiales</w:t>
      </w:r>
      <w:r>
        <w:rPr>
          <w:rStyle w:val="Ancredenotedebasdepage"/>
          <w:sz w:val="20"/>
          <w:szCs w:val="20"/>
          <w:lang w:val="es-ES"/>
        </w:rPr>
        <w:footnoteReference w:id="3"/>
      </w:r>
      <w:r>
        <w:rPr>
          <w:sz w:val="20"/>
          <w:szCs w:val="20"/>
          <w:lang w:val="es-ES"/>
        </w:rPr>
        <w:t xml:space="preserve"> han contestado de forma consistente a la ley corporativa global que respalda al comercio y las inversiones internacionales. De </w:t>
      </w:r>
      <w:r>
        <w:rPr>
          <w:sz w:val="20"/>
          <w:szCs w:val="20"/>
          <w:lang w:val="es-ES"/>
        </w:rPr>
        <w:t xml:space="preserve">forma creciente, la legislación nacional e internacional ha sido deformada exclusivamente a favor del capital, las corporaciones transnacionales y </w:t>
      </w:r>
      <w:proofErr w:type="gramStart"/>
      <w:r>
        <w:rPr>
          <w:sz w:val="20"/>
          <w:szCs w:val="20"/>
          <w:lang w:val="es-ES"/>
        </w:rPr>
        <w:t>los</w:t>
      </w:r>
      <w:proofErr w:type="gramEnd"/>
      <w:r>
        <w:rPr>
          <w:sz w:val="20"/>
          <w:szCs w:val="20"/>
          <w:lang w:val="es-ES"/>
        </w:rPr>
        <w:t xml:space="preserve"> privilegios de los inversionistas</w:t>
      </w:r>
      <w:r>
        <w:rPr>
          <w:rStyle w:val="Ancredenotedebasdepage"/>
          <w:sz w:val="20"/>
          <w:szCs w:val="20"/>
          <w:lang w:val="es-ES"/>
        </w:rPr>
        <w:footnoteReference w:id="4"/>
      </w:r>
      <w:r>
        <w:rPr>
          <w:sz w:val="20"/>
          <w:szCs w:val="20"/>
          <w:lang w:val="es-ES"/>
        </w:rPr>
        <w:t>.</w:t>
      </w:r>
    </w:p>
    <w:p w:rsidR="0034154B" w:rsidRDefault="0034154B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34154B" w:rsidRDefault="001060BD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Sur Global y Norte Global</w:t>
      </w:r>
    </w:p>
    <w:p w:rsidR="0034154B" w:rsidRDefault="001060BD">
      <w:pPr>
        <w:pStyle w:val="BodyText"/>
        <w:spacing w:after="0" w:line="240" w:lineRule="auto"/>
        <w:jc w:val="both"/>
      </w:pPr>
      <w:r>
        <w:rPr>
          <w:sz w:val="20"/>
          <w:szCs w:val="20"/>
          <w:lang w:val="es-ES"/>
        </w:rPr>
        <w:t>Múltiples Tratados de Libre Comercio (TLC)</w:t>
      </w:r>
      <w:r>
        <w:rPr>
          <w:sz w:val="20"/>
          <w:szCs w:val="20"/>
          <w:lang w:val="es-ES"/>
        </w:rPr>
        <w:t>, Tratados Bilaterales de Inversiones (TBI) y otros instrumentos e instituciones neoliberales tales como la OMC han hecho retroceder los derechos económicos, sociales, culturales y ambientales en el Sur Global</w:t>
      </w:r>
      <w:r>
        <w:rPr>
          <w:rStyle w:val="Ancredenotedebasdepage"/>
          <w:sz w:val="20"/>
          <w:szCs w:val="20"/>
          <w:lang w:val="es-ES"/>
        </w:rPr>
        <w:footnoteReference w:id="5"/>
      </w:r>
      <w:r>
        <w:rPr>
          <w:sz w:val="20"/>
          <w:szCs w:val="20"/>
          <w:lang w:val="es-ES"/>
        </w:rPr>
        <w:t>. De forma creciente, estos acuerdos también a</w:t>
      </w:r>
      <w:r>
        <w:rPr>
          <w:sz w:val="20"/>
          <w:szCs w:val="20"/>
          <w:lang w:val="es-ES"/>
        </w:rPr>
        <w:t>spiran a retroceder los derechos de las personas en el Norte Global</w:t>
      </w:r>
      <w:r>
        <w:rPr>
          <w:rStyle w:val="Ancredenotedebasdepage"/>
          <w:sz w:val="20"/>
          <w:szCs w:val="20"/>
          <w:lang w:val="es-ES"/>
        </w:rPr>
        <w:footnoteReference w:id="6"/>
      </w:r>
      <w:r>
        <w:rPr>
          <w:sz w:val="20"/>
          <w:szCs w:val="20"/>
          <w:lang w:val="es-ES"/>
        </w:rPr>
        <w:t>.</w:t>
      </w:r>
    </w:p>
    <w:p w:rsidR="0034154B" w:rsidRDefault="0034154B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34154B" w:rsidRDefault="001060BD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Soberanía de los Estados vs Arquitectura de la Impunidad Corporativa</w:t>
      </w:r>
    </w:p>
    <w:p w:rsidR="0034154B" w:rsidRDefault="001060BD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Estos marcos de comercio e inversiones han funcionado como un asalto sostenido a la soberanía de los Estados, a sus </w:t>
      </w:r>
      <w:r>
        <w:rPr>
          <w:sz w:val="20"/>
          <w:szCs w:val="20"/>
          <w:lang w:val="es-ES"/>
        </w:rPr>
        <w:t xml:space="preserve">obligaciones internacionales, y a su capacidad para regular a las </w:t>
      </w:r>
      <w:proofErr w:type="spellStart"/>
      <w:r>
        <w:rPr>
          <w:sz w:val="20"/>
          <w:szCs w:val="20"/>
          <w:lang w:val="es-ES"/>
        </w:rPr>
        <w:t>ETNs</w:t>
      </w:r>
      <w:proofErr w:type="spellEnd"/>
      <w:r>
        <w:rPr>
          <w:sz w:val="20"/>
          <w:szCs w:val="20"/>
          <w:lang w:val="es-ES"/>
        </w:rPr>
        <w:t xml:space="preserve"> e impiden que las políticas económicas y de desarrollo sirvan al interés nacional y al bienestar de sus pueblos.</w:t>
      </w:r>
    </w:p>
    <w:p w:rsidR="0034154B" w:rsidRDefault="0034154B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34154B" w:rsidRDefault="001060BD">
      <w:pPr>
        <w:pStyle w:val="BodyText"/>
        <w:spacing w:after="0" w:line="240" w:lineRule="auto"/>
        <w:jc w:val="both"/>
      </w:pPr>
      <w:r>
        <w:rPr>
          <w:sz w:val="20"/>
          <w:szCs w:val="20"/>
          <w:lang w:val="es-ES"/>
        </w:rPr>
        <w:t>Las normas globales en favor de las corporaciones han llevado a una asi</w:t>
      </w:r>
      <w:r>
        <w:rPr>
          <w:sz w:val="20"/>
          <w:szCs w:val="20"/>
          <w:lang w:val="es-ES"/>
        </w:rPr>
        <w:t xml:space="preserve">metría regulatoria que no tiene precedentes y que </w:t>
      </w:r>
      <w:proofErr w:type="spellStart"/>
      <w:r>
        <w:rPr>
          <w:sz w:val="20"/>
          <w:szCs w:val="20"/>
          <w:lang w:val="es-ES"/>
        </w:rPr>
        <w:t>funcional</w:t>
      </w:r>
      <w:proofErr w:type="spellEnd"/>
      <w:r>
        <w:rPr>
          <w:sz w:val="20"/>
          <w:szCs w:val="20"/>
          <w:lang w:val="es-ES"/>
        </w:rPr>
        <w:t xml:space="preserve"> como una arquitectura de legitimación e impunidad para la actuación de </w:t>
      </w:r>
      <w:r>
        <w:rPr>
          <w:sz w:val="20"/>
          <w:szCs w:val="20"/>
          <w:lang w:val="es-ES"/>
        </w:rPr>
        <w:lastRenderedPageBreak/>
        <w:t xml:space="preserve">las </w:t>
      </w:r>
      <w:proofErr w:type="spellStart"/>
      <w:r>
        <w:rPr>
          <w:sz w:val="20"/>
          <w:szCs w:val="20"/>
          <w:lang w:val="es-ES"/>
        </w:rPr>
        <w:t>ETNs</w:t>
      </w:r>
      <w:proofErr w:type="spellEnd"/>
      <w:r>
        <w:rPr>
          <w:rStyle w:val="Ancredenotedebasdepage"/>
          <w:sz w:val="20"/>
          <w:szCs w:val="20"/>
          <w:lang w:val="es-ES"/>
        </w:rPr>
        <w:footnoteReference w:id="7"/>
      </w:r>
      <w:r>
        <w:rPr>
          <w:sz w:val="20"/>
          <w:szCs w:val="20"/>
          <w:lang w:val="es-ES"/>
        </w:rPr>
        <w:t xml:space="preserve">. Estas normas funcionan sólo para proteger y darle privilegio a los intereses de las </w:t>
      </w:r>
      <w:proofErr w:type="spellStart"/>
      <w:r>
        <w:rPr>
          <w:sz w:val="20"/>
          <w:szCs w:val="20"/>
          <w:lang w:val="es-ES"/>
        </w:rPr>
        <w:t>ETNs</w:t>
      </w:r>
      <w:proofErr w:type="spellEnd"/>
      <w:r>
        <w:rPr>
          <w:rStyle w:val="Ancredenotedebasdepage"/>
          <w:sz w:val="20"/>
          <w:szCs w:val="20"/>
          <w:lang w:val="es-ES"/>
        </w:rPr>
        <w:footnoteReference w:id="8"/>
      </w:r>
      <w:r>
        <w:rPr>
          <w:sz w:val="20"/>
          <w:szCs w:val="20"/>
          <w:lang w:val="es-ES"/>
        </w:rPr>
        <w:t>. De esta forma, el régim</w:t>
      </w:r>
      <w:r>
        <w:rPr>
          <w:sz w:val="20"/>
          <w:szCs w:val="20"/>
          <w:lang w:val="es-ES"/>
        </w:rPr>
        <w:t>en internacional de inversiones hace creciente el desbalance y abismo entre las normas voluntarias para la protección de los derechos humanos, versus los mecanismos vinculantes de aplicación en relación a los derechos de las corporaciones.</w:t>
      </w:r>
    </w:p>
    <w:p w:rsidR="0034154B" w:rsidRDefault="0034154B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34154B" w:rsidRDefault="001060BD">
      <w:pPr>
        <w:pStyle w:val="BodyText"/>
        <w:spacing w:after="0" w:line="240" w:lineRule="auto"/>
        <w:jc w:val="both"/>
      </w:pPr>
      <w:r>
        <w:rPr>
          <w:sz w:val="20"/>
          <w:szCs w:val="20"/>
          <w:lang w:val="es-ES"/>
        </w:rPr>
        <w:t>En este sentido</w:t>
      </w:r>
      <w:r>
        <w:rPr>
          <w:sz w:val="20"/>
          <w:szCs w:val="20"/>
          <w:lang w:val="es-ES"/>
        </w:rPr>
        <w:t>, el Relator de la ONU, Alfred de Zayas, analiza en su informe la incompatibilidad entre los  mecanismos de resolución de conflictos inversionista-Estado (ISDS, por sus siglas en inglés) y las normas de derechos humanos</w:t>
      </w:r>
      <w:r>
        <w:rPr>
          <w:rStyle w:val="Ancredenotedebasdepage"/>
          <w:sz w:val="20"/>
          <w:szCs w:val="20"/>
          <w:lang w:val="es-ES"/>
        </w:rPr>
        <w:footnoteReference w:id="9"/>
      </w:r>
      <w:r>
        <w:rPr>
          <w:sz w:val="20"/>
          <w:szCs w:val="20"/>
          <w:lang w:val="es-ES"/>
        </w:rPr>
        <w:t>.</w:t>
      </w:r>
    </w:p>
    <w:p w:rsidR="0034154B" w:rsidRDefault="0034154B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34154B" w:rsidRDefault="001060BD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Arquitectura de Legitimación e </w:t>
      </w:r>
      <w:r>
        <w:rPr>
          <w:sz w:val="20"/>
          <w:szCs w:val="20"/>
          <w:lang w:val="es-ES"/>
        </w:rPr>
        <w:t>Impunidad para las corporaciones vs Acceso Público a la Justicia</w:t>
      </w:r>
    </w:p>
    <w:p w:rsidR="0034154B" w:rsidRDefault="001060BD">
      <w:pPr>
        <w:pStyle w:val="BodyText"/>
        <w:spacing w:after="0" w:line="240" w:lineRule="auto"/>
        <w:jc w:val="both"/>
      </w:pPr>
      <w:r>
        <w:rPr>
          <w:sz w:val="20"/>
          <w:szCs w:val="20"/>
          <w:lang w:val="es-ES"/>
        </w:rPr>
        <w:t xml:space="preserve">Bajo los tratados de comercio e inversión, las </w:t>
      </w:r>
      <w:proofErr w:type="spellStart"/>
      <w:r>
        <w:rPr>
          <w:sz w:val="20"/>
          <w:szCs w:val="20"/>
          <w:lang w:val="es-ES"/>
        </w:rPr>
        <w:t>ETNs</w:t>
      </w:r>
      <w:proofErr w:type="spellEnd"/>
      <w:r>
        <w:rPr>
          <w:sz w:val="20"/>
          <w:szCs w:val="20"/>
          <w:lang w:val="es-ES"/>
        </w:rPr>
        <w:t xml:space="preserve"> se </w:t>
      </w:r>
      <w:proofErr w:type="spellStart"/>
      <w:r>
        <w:rPr>
          <w:sz w:val="20"/>
          <w:szCs w:val="20"/>
          <w:lang w:val="es-ES"/>
        </w:rPr>
        <w:t>enpoderan</w:t>
      </w:r>
      <w:proofErr w:type="spellEnd"/>
      <w:r>
        <w:rPr>
          <w:sz w:val="20"/>
          <w:szCs w:val="20"/>
          <w:lang w:val="es-ES"/>
        </w:rPr>
        <w:t xml:space="preserve"> para realizar demandas que desafían normas nacionales y constitucionales que protegen los intereses de los ciudadanos. Una de </w:t>
      </w:r>
      <w:r>
        <w:rPr>
          <w:sz w:val="20"/>
          <w:szCs w:val="20"/>
          <w:lang w:val="es-ES"/>
        </w:rPr>
        <w:t>las características más cuestionadas del marco actual de comercio e inversiones son las cláusulas de inversiones en los TLC y TBI, incluyendo sobre todo a los mecanismos de resolución de disputa inversionista – Estado (ISDS)</w:t>
      </w:r>
      <w:r>
        <w:rPr>
          <w:rStyle w:val="Ancredenotedebasdepage"/>
          <w:sz w:val="20"/>
          <w:szCs w:val="20"/>
          <w:lang w:val="es-ES"/>
        </w:rPr>
        <w:footnoteReference w:id="10"/>
      </w:r>
      <w:r>
        <w:rPr>
          <w:sz w:val="20"/>
          <w:szCs w:val="20"/>
          <w:lang w:val="es-ES"/>
        </w:rPr>
        <w:t>. Mediante los ISDS se ha otorg</w:t>
      </w:r>
      <w:r>
        <w:rPr>
          <w:sz w:val="20"/>
          <w:szCs w:val="20"/>
          <w:lang w:val="es-ES"/>
        </w:rPr>
        <w:t xml:space="preserve">ado a las </w:t>
      </w:r>
      <w:proofErr w:type="spellStart"/>
      <w:r>
        <w:rPr>
          <w:sz w:val="20"/>
          <w:szCs w:val="20"/>
          <w:lang w:val="es-ES"/>
        </w:rPr>
        <w:t>ETNs</w:t>
      </w:r>
      <w:proofErr w:type="spellEnd"/>
      <w:r>
        <w:rPr>
          <w:sz w:val="20"/>
          <w:szCs w:val="20"/>
          <w:lang w:val="es-ES"/>
        </w:rPr>
        <w:t xml:space="preserve"> el poder de procesar judicialmente a los Estados en tribunales supranacionales y secretos, mientras que éstos han renunciado al poder actuar para proteger los intereses y los derechos de sus ciudadanos.</w:t>
      </w:r>
    </w:p>
    <w:p w:rsidR="0034154B" w:rsidRDefault="0034154B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34154B" w:rsidRDefault="001060BD">
      <w:pPr>
        <w:pStyle w:val="BodyText"/>
        <w:spacing w:after="0" w:line="240" w:lineRule="auto"/>
        <w:jc w:val="both"/>
      </w:pPr>
      <w:r>
        <w:rPr>
          <w:sz w:val="20"/>
          <w:szCs w:val="20"/>
          <w:lang w:val="es-ES"/>
        </w:rPr>
        <w:t>Al día de hoy, existen 739 casos cono</w:t>
      </w:r>
      <w:r>
        <w:rPr>
          <w:sz w:val="20"/>
          <w:szCs w:val="20"/>
          <w:lang w:val="es-ES"/>
        </w:rPr>
        <w:t>cidos de demandas de inversionistas contra Estados en el marco de los TLC y TBI. La mayoría de las mismas son resultado de medidas regulatorias adoptadas por los Estados</w:t>
      </w:r>
      <w:r>
        <w:rPr>
          <w:rStyle w:val="Ancredenotedebasdepage"/>
          <w:sz w:val="20"/>
          <w:szCs w:val="20"/>
          <w:lang w:val="es-ES"/>
        </w:rPr>
        <w:footnoteReference w:id="11"/>
      </w:r>
      <w:r>
        <w:rPr>
          <w:sz w:val="20"/>
          <w:szCs w:val="20"/>
          <w:lang w:val="es-ES"/>
        </w:rPr>
        <w:t>. El número de casos de arbitraje de inversiones y las mega sumas drenadas desde los a</w:t>
      </w:r>
      <w:r>
        <w:rPr>
          <w:sz w:val="20"/>
          <w:szCs w:val="20"/>
          <w:lang w:val="es-ES"/>
        </w:rPr>
        <w:t xml:space="preserve">rcas públicas para pagarle a las </w:t>
      </w:r>
      <w:proofErr w:type="spellStart"/>
      <w:r>
        <w:rPr>
          <w:sz w:val="20"/>
          <w:szCs w:val="20"/>
          <w:lang w:val="es-ES"/>
        </w:rPr>
        <w:t>ETNs</w:t>
      </w:r>
      <w:proofErr w:type="spellEnd"/>
      <w:r>
        <w:rPr>
          <w:sz w:val="20"/>
          <w:szCs w:val="20"/>
          <w:lang w:val="es-ES"/>
        </w:rPr>
        <w:t xml:space="preserve"> surgió en las últimas dos décadas. Las sumas involucradas también se expandieron dramáticamente</w:t>
      </w:r>
      <w:r>
        <w:rPr>
          <w:rStyle w:val="Ancredenotedebasdepage"/>
          <w:sz w:val="20"/>
          <w:szCs w:val="20"/>
          <w:lang w:val="es-ES"/>
        </w:rPr>
        <w:footnoteReference w:id="12"/>
      </w:r>
      <w:r>
        <w:rPr>
          <w:sz w:val="20"/>
          <w:szCs w:val="20"/>
          <w:lang w:val="es-ES"/>
        </w:rPr>
        <w:t xml:space="preserve">. </w:t>
      </w:r>
    </w:p>
    <w:p w:rsidR="0034154B" w:rsidRDefault="0034154B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34154B" w:rsidRDefault="001060BD">
      <w:pPr>
        <w:pStyle w:val="BodyText"/>
        <w:spacing w:after="0" w:line="240" w:lineRule="auto"/>
        <w:jc w:val="both"/>
      </w:pPr>
      <w:r>
        <w:rPr>
          <w:sz w:val="20"/>
          <w:szCs w:val="20"/>
          <w:lang w:val="es-ES"/>
        </w:rPr>
        <w:t xml:space="preserve">Hay cientos de ejemplos de demandas multimillonarias de inversionistas contra Estados por tratar de proteger la salud </w:t>
      </w:r>
      <w:r>
        <w:rPr>
          <w:sz w:val="20"/>
          <w:szCs w:val="20"/>
          <w:lang w:val="es-ES"/>
        </w:rPr>
        <w:t>pública, el acceso al agua o a los servicios públicos, el derecho a la autodeterminación de los pueblos indígenas, y la protección del medioambiente</w:t>
      </w:r>
      <w:r>
        <w:rPr>
          <w:rStyle w:val="Ancredenotedebasdepage"/>
          <w:sz w:val="20"/>
          <w:szCs w:val="20"/>
          <w:lang w:val="es-ES"/>
        </w:rPr>
        <w:footnoteReference w:id="13"/>
      </w:r>
      <w:r>
        <w:rPr>
          <w:sz w:val="20"/>
          <w:szCs w:val="20"/>
          <w:lang w:val="es-ES"/>
        </w:rPr>
        <w:t xml:space="preserve">. Además, un volumen creciente de evidencias confirman que la amenaza que representa a los Estados </w:t>
      </w:r>
      <w:proofErr w:type="gramStart"/>
      <w:r>
        <w:rPr>
          <w:sz w:val="20"/>
          <w:szCs w:val="20"/>
          <w:lang w:val="es-ES"/>
        </w:rPr>
        <w:t>el poder</w:t>
      </w:r>
      <w:r>
        <w:rPr>
          <w:sz w:val="20"/>
          <w:szCs w:val="20"/>
          <w:lang w:val="es-ES"/>
        </w:rPr>
        <w:t xml:space="preserve"> ser demandados</w:t>
      </w:r>
      <w:proofErr w:type="gramEnd"/>
      <w:r>
        <w:rPr>
          <w:sz w:val="20"/>
          <w:szCs w:val="20"/>
          <w:lang w:val="es-ES"/>
        </w:rPr>
        <w:t xml:space="preserve"> bajo el sistema de ISDS ha ayudado a las corporaciones a hacer retroceder protecciones vitales para las personas y el medio ambiente, y que ha permitido el hacer retroceder decisiones democráticas y soberanas. Aquí mencionamos sólo algunos </w:t>
      </w:r>
      <w:r>
        <w:rPr>
          <w:sz w:val="20"/>
          <w:szCs w:val="20"/>
          <w:lang w:val="es-ES"/>
        </w:rPr>
        <w:t>ejemplos</w:t>
      </w:r>
      <w:r>
        <w:rPr>
          <w:rStyle w:val="Ancredenotedebasdepage"/>
          <w:sz w:val="20"/>
          <w:szCs w:val="20"/>
          <w:lang w:val="es-ES"/>
        </w:rPr>
        <w:footnoteReference w:id="14"/>
      </w:r>
      <w:r>
        <w:rPr>
          <w:sz w:val="20"/>
          <w:szCs w:val="20"/>
          <w:lang w:val="es-ES"/>
        </w:rPr>
        <w:t xml:space="preserve"> :</w:t>
      </w:r>
    </w:p>
    <w:p w:rsidR="0034154B" w:rsidRDefault="001060BD">
      <w:pPr>
        <w:pStyle w:val="BodyText"/>
        <w:numPr>
          <w:ilvl w:val="0"/>
          <w:numId w:val="5"/>
        </w:numPr>
        <w:spacing w:after="0" w:line="240" w:lineRule="auto"/>
        <w:jc w:val="both"/>
      </w:pPr>
      <w:r>
        <w:rPr>
          <w:sz w:val="20"/>
          <w:szCs w:val="20"/>
          <w:lang w:val="es-ES"/>
        </w:rPr>
        <w:t xml:space="preserve">Recientemente, otro tribunal de ISDS favoreció a la compañía canadiense </w:t>
      </w:r>
      <w:proofErr w:type="spellStart"/>
      <w:r>
        <w:rPr>
          <w:sz w:val="20"/>
          <w:szCs w:val="20"/>
          <w:lang w:val="es-ES"/>
        </w:rPr>
        <w:t>Copper</w:t>
      </w:r>
      <w:proofErr w:type="spellEnd"/>
      <w:r>
        <w:rPr>
          <w:sz w:val="20"/>
          <w:szCs w:val="20"/>
          <w:lang w:val="es-ES"/>
        </w:rPr>
        <w:t xml:space="preserve"> Mesa. Hace más de una década, campesinos ecuatorianos frenaron un proyecto minero para proteger sus granjas, biodiversidad, provisión de agua y las reservas forestal</w:t>
      </w:r>
      <w:r>
        <w:rPr>
          <w:sz w:val="20"/>
          <w:szCs w:val="20"/>
          <w:lang w:val="es-ES"/>
        </w:rPr>
        <w:t>es de la comunidad. La compañía se sirvió de paramilitares para tratar de entrar por la fuerza</w:t>
      </w:r>
      <w:r>
        <w:rPr>
          <w:rStyle w:val="Ancredenotedebasdepage"/>
          <w:sz w:val="20"/>
          <w:szCs w:val="20"/>
          <w:lang w:val="es-ES"/>
        </w:rPr>
        <w:footnoteReference w:id="15"/>
      </w:r>
      <w:r>
        <w:rPr>
          <w:sz w:val="20"/>
          <w:szCs w:val="20"/>
          <w:lang w:val="es-ES"/>
        </w:rPr>
        <w:t xml:space="preserve">. A pesar de reconocer que </w:t>
      </w:r>
      <w:proofErr w:type="spellStart"/>
      <w:r>
        <w:rPr>
          <w:sz w:val="20"/>
          <w:szCs w:val="20"/>
          <w:lang w:val="es-ES"/>
        </w:rPr>
        <w:t>Copper</w:t>
      </w:r>
      <w:proofErr w:type="spellEnd"/>
      <w:r>
        <w:rPr>
          <w:sz w:val="20"/>
          <w:szCs w:val="20"/>
          <w:lang w:val="es-ES"/>
        </w:rPr>
        <w:t xml:space="preserve"> Mesa había respondido a la oposición local a la mina con inusitada violencia, el tribunal le ordenó al Ecuador pagar 24 millone</w:t>
      </w:r>
      <w:r>
        <w:rPr>
          <w:sz w:val="20"/>
          <w:szCs w:val="20"/>
          <w:lang w:val="es-ES"/>
        </w:rPr>
        <w:t>s de dólares en compensación</w:t>
      </w:r>
      <w:r>
        <w:rPr>
          <w:rStyle w:val="Ancredenotedebasdepage"/>
          <w:sz w:val="20"/>
          <w:szCs w:val="20"/>
          <w:lang w:val="es-ES"/>
        </w:rPr>
        <w:footnoteReference w:id="16"/>
      </w:r>
      <w:r>
        <w:rPr>
          <w:sz w:val="20"/>
          <w:szCs w:val="20"/>
          <w:lang w:val="es-ES"/>
        </w:rPr>
        <w:t>.</w:t>
      </w:r>
    </w:p>
    <w:p w:rsidR="0034154B" w:rsidRDefault="001060BD">
      <w:pPr>
        <w:pStyle w:val="BodyTex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lastRenderedPageBreak/>
        <w:t xml:space="preserve">Desde 2009, la empresa minera canadiense </w:t>
      </w:r>
      <w:proofErr w:type="spellStart"/>
      <w:r>
        <w:rPr>
          <w:sz w:val="20"/>
          <w:szCs w:val="20"/>
          <w:lang w:val="es-ES"/>
        </w:rPr>
        <w:t>Pacific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Rim</w:t>
      </w:r>
      <w:proofErr w:type="spellEnd"/>
      <w:r>
        <w:rPr>
          <w:sz w:val="20"/>
          <w:szCs w:val="20"/>
          <w:lang w:val="es-ES"/>
        </w:rPr>
        <w:t xml:space="preserve"> (propiedad de </w:t>
      </w:r>
      <w:proofErr w:type="spellStart"/>
      <w:r>
        <w:rPr>
          <w:sz w:val="20"/>
          <w:szCs w:val="20"/>
          <w:lang w:val="es-ES"/>
        </w:rPr>
        <w:t>Oceanic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Gold</w:t>
      </w:r>
      <w:proofErr w:type="spellEnd"/>
      <w:r>
        <w:rPr>
          <w:sz w:val="20"/>
          <w:szCs w:val="20"/>
          <w:lang w:val="es-ES"/>
        </w:rPr>
        <w:t xml:space="preserve">) ha demandado a El Salvador por su decisión soberana y negativa en conceder una licencia de explotación sobre su subsuelo a </w:t>
      </w:r>
      <w:proofErr w:type="spellStart"/>
      <w:r>
        <w:rPr>
          <w:sz w:val="20"/>
          <w:szCs w:val="20"/>
          <w:lang w:val="es-ES"/>
        </w:rPr>
        <w:t>Pacific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Rim</w:t>
      </w:r>
      <w:proofErr w:type="spellEnd"/>
      <w:r>
        <w:rPr>
          <w:sz w:val="20"/>
          <w:szCs w:val="20"/>
          <w:lang w:val="es-ES"/>
        </w:rPr>
        <w:t>, quien no</w:t>
      </w:r>
      <w:r>
        <w:rPr>
          <w:sz w:val="20"/>
          <w:szCs w:val="20"/>
          <w:lang w:val="es-ES"/>
        </w:rPr>
        <w:t xml:space="preserve"> cumplió con los requisitos medio-ambientales. El reclamo es de 250 millones de dólares.</w:t>
      </w:r>
    </w:p>
    <w:p w:rsidR="0034154B" w:rsidRDefault="0034154B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34154B" w:rsidRDefault="001060BD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Abusos de la industria de arbitraje corporativo</w:t>
      </w:r>
    </w:p>
    <w:p w:rsidR="0034154B" w:rsidRDefault="001060BD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industria del arbitraje corporativo y la privatización de la justicia que ella representa no </w:t>
      </w:r>
      <w:proofErr w:type="gramStart"/>
      <w:r>
        <w:rPr>
          <w:sz w:val="20"/>
          <w:szCs w:val="20"/>
          <w:lang w:val="es-ES"/>
        </w:rPr>
        <w:t>está</w:t>
      </w:r>
      <w:proofErr w:type="gramEnd"/>
      <w:r>
        <w:rPr>
          <w:sz w:val="20"/>
          <w:szCs w:val="20"/>
          <w:lang w:val="es-ES"/>
        </w:rPr>
        <w:t xml:space="preserve"> confinada sólo al</w:t>
      </w:r>
      <w:r>
        <w:rPr>
          <w:sz w:val="20"/>
          <w:szCs w:val="20"/>
          <w:lang w:val="es-ES"/>
        </w:rPr>
        <w:t xml:space="preserve"> Centro Internacional de Arreglos de Disputas de Inversiones (CIADI) del Banco Mundial, sino que aparece en varios otros tribunales de arbitraje.</w:t>
      </w:r>
    </w:p>
    <w:p w:rsidR="0034154B" w:rsidRDefault="0034154B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34154B" w:rsidRDefault="001060BD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En contraste con el poder de estos tribunales corporativos, muchos casos llevados a cortes nacionales o inter</w:t>
      </w:r>
      <w:r>
        <w:rPr>
          <w:sz w:val="20"/>
          <w:szCs w:val="20"/>
          <w:lang w:val="es-ES"/>
        </w:rPr>
        <w:t xml:space="preserve">nacionales por ciudadanos, incluyendo los casos de </w:t>
      </w:r>
      <w:proofErr w:type="spellStart"/>
      <w:r>
        <w:rPr>
          <w:sz w:val="20"/>
          <w:szCs w:val="20"/>
          <w:lang w:val="es-ES"/>
        </w:rPr>
        <w:t>Chevron</w:t>
      </w:r>
      <w:proofErr w:type="spellEnd"/>
      <w:r>
        <w:rPr>
          <w:sz w:val="20"/>
          <w:szCs w:val="20"/>
          <w:lang w:val="es-ES"/>
        </w:rPr>
        <w:t xml:space="preserve"> o </w:t>
      </w:r>
      <w:proofErr w:type="spellStart"/>
      <w:r>
        <w:rPr>
          <w:sz w:val="20"/>
          <w:szCs w:val="20"/>
          <w:lang w:val="es-ES"/>
        </w:rPr>
        <w:t>Bophal</w:t>
      </w:r>
      <w:proofErr w:type="spellEnd"/>
      <w:r>
        <w:rPr>
          <w:sz w:val="20"/>
          <w:szCs w:val="20"/>
          <w:lang w:val="es-ES"/>
        </w:rPr>
        <w:t xml:space="preserve">, muestran los innumerables obstáculos que enfrentan en su búsqueda por justicia. Los mecanismos judiciales nacionales e internacionales han sido </w:t>
      </w:r>
      <w:proofErr w:type="spellStart"/>
      <w:r>
        <w:rPr>
          <w:sz w:val="20"/>
          <w:szCs w:val="20"/>
          <w:lang w:val="es-ES"/>
        </w:rPr>
        <w:t>distorcionados</w:t>
      </w:r>
      <w:proofErr w:type="spellEnd"/>
      <w:r>
        <w:rPr>
          <w:sz w:val="20"/>
          <w:szCs w:val="20"/>
          <w:lang w:val="es-ES"/>
        </w:rPr>
        <w:t xml:space="preserve"> para favorecer unilateralmen</w:t>
      </w:r>
      <w:r>
        <w:rPr>
          <w:sz w:val="20"/>
          <w:szCs w:val="20"/>
          <w:lang w:val="es-ES"/>
        </w:rPr>
        <w:t xml:space="preserve">te a las prácticas destructivas de las </w:t>
      </w:r>
      <w:proofErr w:type="spellStart"/>
      <w:r>
        <w:rPr>
          <w:sz w:val="20"/>
          <w:szCs w:val="20"/>
          <w:lang w:val="es-ES"/>
        </w:rPr>
        <w:t>ETNs</w:t>
      </w:r>
      <w:proofErr w:type="spellEnd"/>
      <w:r>
        <w:rPr>
          <w:sz w:val="20"/>
          <w:szCs w:val="20"/>
          <w:lang w:val="es-ES"/>
        </w:rPr>
        <w:t>, garantizar la maximización de sus lucros y nutrir a la industria legal con honorarios prohibitivos para muchos Estados. Es importante mencionar que esto se da en un contexto de ataques represivos y de propaganda</w:t>
      </w:r>
      <w:r>
        <w:rPr>
          <w:sz w:val="20"/>
          <w:szCs w:val="20"/>
          <w:lang w:val="es-ES"/>
        </w:rPr>
        <w:t xml:space="preserve"> contra las comunidades afectadas que continúa aún después de los actos originales de desapropiación o devastación del ambiente mientras las comunidades buscan justicia. </w:t>
      </w:r>
    </w:p>
    <w:p w:rsidR="0034154B" w:rsidRDefault="0034154B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34154B" w:rsidRDefault="001060BD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Propuestas:</w:t>
      </w:r>
    </w:p>
    <w:p w:rsidR="0034154B" w:rsidRDefault="001060BD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Al tiempo que la Campaña Global se plantea en el largo plazo la derogaci</w:t>
      </w:r>
      <w:r>
        <w:rPr>
          <w:sz w:val="20"/>
          <w:szCs w:val="20"/>
          <w:lang w:val="es-ES"/>
        </w:rPr>
        <w:t xml:space="preserve">ón de los  tratados de inversiones y libre comercio por considerarlos injustos, aboga por propuestas en el marco del proceso actual hacia un tratado en materia de ETN y otras empresas en relación a los derechos humanos. </w:t>
      </w:r>
    </w:p>
    <w:p w:rsidR="0034154B" w:rsidRDefault="0034154B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34154B" w:rsidRDefault="001060BD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Proponemos tres principios para la</w:t>
      </w:r>
      <w:r>
        <w:rPr>
          <w:sz w:val="20"/>
          <w:szCs w:val="20"/>
          <w:lang w:val="es-ES"/>
        </w:rPr>
        <w:t xml:space="preserve"> construcción de marcos alternativos para las inversiones internacionales:</w:t>
      </w:r>
    </w:p>
    <w:p w:rsidR="0034154B" w:rsidRDefault="001060BD">
      <w:pPr>
        <w:pStyle w:val="BodyTex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Afirmamos  la supremacía de los derechos humanos y el cuidado de la naturaleza sobre los derechos de los inversionistas y para establecer las obligaciones de las empresas transnacio</w:t>
      </w:r>
      <w:r>
        <w:rPr>
          <w:sz w:val="20"/>
          <w:szCs w:val="20"/>
          <w:lang w:val="es-ES"/>
        </w:rPr>
        <w:t xml:space="preserve">nales con los derechos humanos. </w:t>
      </w:r>
    </w:p>
    <w:p w:rsidR="0034154B" w:rsidRDefault="001060BD">
      <w:pPr>
        <w:pStyle w:val="BodyTex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fin de régimen inversionista estado para la resolución de disputas </w:t>
      </w:r>
    </w:p>
    <w:p w:rsidR="0034154B" w:rsidRDefault="001060BD">
      <w:pPr>
        <w:pStyle w:val="BodyTex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Exigir la soberanía del estado sobre las políticas públicas y las prioridades de estado.</w:t>
      </w:r>
    </w:p>
    <w:p w:rsidR="0034154B" w:rsidRDefault="0034154B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34154B" w:rsidRDefault="001060BD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Y específicamente hacemos las siguientes 6 propuestas:</w:t>
      </w:r>
    </w:p>
    <w:p w:rsidR="0034154B" w:rsidRDefault="001060BD">
      <w:pPr>
        <w:pStyle w:val="BodyTex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</w:t>
      </w:r>
      <w:r>
        <w:rPr>
          <w:sz w:val="20"/>
          <w:szCs w:val="20"/>
          <w:lang w:val="es-ES"/>
        </w:rPr>
        <w:t>punto del partida del Tratado debe ser el reconocimiento necesario de la soberanía del Estado, y su derecho para regular en el contexto de su obligación para proteger los derechos humanos de sus ciudadanos y el compromiso de desarrollar un modelo alternati</w:t>
      </w:r>
      <w:r>
        <w:rPr>
          <w:sz w:val="20"/>
          <w:szCs w:val="20"/>
          <w:lang w:val="es-ES"/>
        </w:rPr>
        <w:t>vo de economía que ponga a las necesidades básicas de las personas antes que los lucros de las empresas.</w:t>
      </w:r>
    </w:p>
    <w:p w:rsidR="0034154B" w:rsidRDefault="001060BD">
      <w:pPr>
        <w:pStyle w:val="BodyTex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Tratado necesita garantizar la primacía y superioridad del marco general de los derechos humanos en relación a las políticas de comercio e </w:t>
      </w:r>
      <w:r>
        <w:rPr>
          <w:sz w:val="20"/>
          <w:szCs w:val="20"/>
          <w:lang w:val="es-ES"/>
        </w:rPr>
        <w:t>inversiones, acuerdos y contratos; marco que asegura los derechos de todas las mujeres y hombres – campesinos, pescadores y pueblos indígenas – a sus medios de vida; de los trabajadores al trabajo decente, condiciones seguras de trabajo y un salario digno;</w:t>
      </w:r>
      <w:r>
        <w:rPr>
          <w:sz w:val="20"/>
          <w:szCs w:val="20"/>
          <w:lang w:val="es-ES"/>
        </w:rPr>
        <w:t xml:space="preserve"> de los derechos de la naturaleza y la protección de los servicios públicos y el interés público.</w:t>
      </w:r>
    </w:p>
    <w:p w:rsidR="0034154B" w:rsidRDefault="001060BD">
      <w:pPr>
        <w:pStyle w:val="BodyTex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Tratado debe revertir los actuales mecanismos de ISDS y la privatización de la justicia que promueve el sistema abusivo actual, tal como se lo practica hoy</w:t>
      </w:r>
      <w:r>
        <w:rPr>
          <w:sz w:val="20"/>
          <w:szCs w:val="20"/>
          <w:lang w:val="es-ES"/>
        </w:rPr>
        <w:t xml:space="preserve"> en el CIADI y en otros mecanismos de arbitraje. Y establecer un sistema de regulación de la inversión que incluya la resolución de las disputas pero que garantice a los Estados su soberanía y resuelva los conflictos de forma tal que no comprometa el inter</w:t>
      </w:r>
      <w:r>
        <w:rPr>
          <w:sz w:val="20"/>
          <w:szCs w:val="20"/>
          <w:lang w:val="es-ES"/>
        </w:rPr>
        <w:t xml:space="preserve">és de los ciudadanos. </w:t>
      </w:r>
    </w:p>
    <w:p w:rsidR="0034154B" w:rsidRDefault="001060BD">
      <w:pPr>
        <w:pStyle w:val="BodyTex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Prohibir la actual industria de arbitraje secreta e extremamente cara, que beneficia a un pequeño grupo de grandes empresas (principalmente de Europa y Estados Unidos).</w:t>
      </w:r>
    </w:p>
    <w:p w:rsidR="0034154B" w:rsidRDefault="001060BD">
      <w:pPr>
        <w:pStyle w:val="BodyTex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Tratado debe regular las transacciones financieras y la espec</w:t>
      </w:r>
      <w:r>
        <w:rPr>
          <w:sz w:val="20"/>
          <w:szCs w:val="20"/>
          <w:lang w:val="es-ES"/>
        </w:rPr>
        <w:t>ulación, prohibir practicas de evasión fiscal y “transferencia de precios”.</w:t>
      </w:r>
    </w:p>
    <w:p w:rsidR="0034154B" w:rsidRDefault="001060BD">
      <w:pPr>
        <w:pStyle w:val="BodyText"/>
        <w:numPr>
          <w:ilvl w:val="0"/>
          <w:numId w:val="4"/>
        </w:numPr>
        <w:spacing w:after="0" w:line="240" w:lineRule="auto"/>
        <w:jc w:val="both"/>
      </w:pPr>
      <w:r>
        <w:rPr>
          <w:sz w:val="20"/>
          <w:szCs w:val="20"/>
          <w:lang w:val="es-ES"/>
        </w:rPr>
        <w:t>Proveer mecanismos razonables y accesibles para facilitar el acceso a la justicia a comunidades afectadas, destruidas por políticas de comercio e inversiones orientadas a la explot</w:t>
      </w:r>
      <w:r>
        <w:rPr>
          <w:sz w:val="20"/>
          <w:szCs w:val="20"/>
          <w:lang w:val="es-ES"/>
        </w:rPr>
        <w:t xml:space="preserve">ación y el </w:t>
      </w:r>
      <w:proofErr w:type="spellStart"/>
      <w:r>
        <w:rPr>
          <w:sz w:val="20"/>
          <w:szCs w:val="20"/>
          <w:lang w:val="es-ES"/>
        </w:rPr>
        <w:t>extractivismo</w:t>
      </w:r>
      <w:proofErr w:type="spellEnd"/>
      <w:r>
        <w:rPr>
          <w:sz w:val="20"/>
          <w:szCs w:val="20"/>
          <w:lang w:val="es-ES"/>
        </w:rPr>
        <w:t xml:space="preserve"> depredador.</w:t>
      </w:r>
    </w:p>
    <w:sectPr w:rsidR="0034154B" w:rsidSect="0034154B">
      <w:pgSz w:w="11906" w:h="16838"/>
      <w:pgMar w:top="1440" w:right="1797" w:bottom="1440" w:left="179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4B" w:rsidRDefault="0034154B" w:rsidP="0034154B">
      <w:r>
        <w:separator/>
      </w:r>
    </w:p>
  </w:endnote>
  <w:endnote w:type="continuationSeparator" w:id="0">
    <w:p w:rsidR="0034154B" w:rsidRDefault="0034154B" w:rsidP="0034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4B" w:rsidRDefault="001060BD">
      <w:r>
        <w:separator/>
      </w:r>
    </w:p>
  </w:footnote>
  <w:footnote w:type="continuationSeparator" w:id="0">
    <w:p w:rsidR="0034154B" w:rsidRDefault="001060BD">
      <w:r>
        <w:continuationSeparator/>
      </w:r>
    </w:p>
  </w:footnote>
  <w:footnote w:id="1">
    <w:p w:rsidR="0034154B" w:rsidRPr="001060BD" w:rsidRDefault="001060BD">
      <w:pPr>
        <w:pStyle w:val="FootnoteText"/>
        <w:rPr>
          <w:sz w:val="20"/>
          <w:szCs w:val="20"/>
        </w:rPr>
      </w:pPr>
      <w:r w:rsidRPr="001060BD">
        <w:rPr>
          <w:sz w:val="20"/>
          <w:szCs w:val="20"/>
        </w:rPr>
        <w:footnoteRef/>
      </w:r>
      <w:r w:rsidRPr="001060BD">
        <w:rPr>
          <w:sz w:val="20"/>
          <w:szCs w:val="20"/>
        </w:rPr>
        <w:tab/>
        <w:t xml:space="preserve">El </w:t>
      </w:r>
      <w:proofErr w:type="spellStart"/>
      <w:r w:rsidRPr="001060BD">
        <w:rPr>
          <w:sz w:val="20"/>
          <w:szCs w:val="20"/>
        </w:rPr>
        <w:t>llamado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para</w:t>
      </w:r>
      <w:proofErr w:type="spellEnd"/>
      <w:r w:rsidRPr="001060BD">
        <w:rPr>
          <w:sz w:val="20"/>
          <w:szCs w:val="20"/>
        </w:rPr>
        <w:t xml:space="preserve"> la </w:t>
      </w:r>
      <w:proofErr w:type="spellStart"/>
      <w:r w:rsidRPr="001060BD">
        <w:rPr>
          <w:sz w:val="20"/>
          <w:szCs w:val="20"/>
        </w:rPr>
        <w:t>construcción</w:t>
      </w:r>
      <w:proofErr w:type="spellEnd"/>
      <w:r w:rsidRPr="001060BD">
        <w:rPr>
          <w:sz w:val="20"/>
          <w:szCs w:val="20"/>
        </w:rPr>
        <w:t xml:space="preserve"> de un </w:t>
      </w:r>
      <w:proofErr w:type="spellStart"/>
      <w:r w:rsidRPr="001060BD">
        <w:rPr>
          <w:sz w:val="20"/>
          <w:szCs w:val="20"/>
        </w:rPr>
        <w:t>marco</w:t>
      </w:r>
      <w:proofErr w:type="spellEnd"/>
      <w:r w:rsidRPr="001060BD">
        <w:rPr>
          <w:sz w:val="20"/>
          <w:szCs w:val="20"/>
        </w:rPr>
        <w:t xml:space="preserve"> legal </w:t>
      </w:r>
      <w:proofErr w:type="spellStart"/>
      <w:r w:rsidRPr="001060BD">
        <w:rPr>
          <w:sz w:val="20"/>
          <w:szCs w:val="20"/>
        </w:rPr>
        <w:t>alternativo</w:t>
      </w:r>
      <w:proofErr w:type="spellEnd"/>
      <w:r w:rsidRPr="001060BD">
        <w:rPr>
          <w:sz w:val="20"/>
          <w:szCs w:val="20"/>
        </w:rPr>
        <w:t xml:space="preserve"> a los </w:t>
      </w:r>
      <w:proofErr w:type="spellStart"/>
      <w:r w:rsidRPr="001060BD">
        <w:rPr>
          <w:sz w:val="20"/>
          <w:szCs w:val="20"/>
        </w:rPr>
        <w:t>tratados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internacionales</w:t>
      </w:r>
      <w:proofErr w:type="spellEnd"/>
      <w:r w:rsidRPr="001060BD">
        <w:rPr>
          <w:sz w:val="20"/>
          <w:szCs w:val="20"/>
        </w:rPr>
        <w:t xml:space="preserve"> de </w:t>
      </w:r>
      <w:proofErr w:type="spellStart"/>
      <w:proofErr w:type="gramStart"/>
      <w:r w:rsidRPr="001060BD">
        <w:rPr>
          <w:sz w:val="20"/>
          <w:szCs w:val="20"/>
        </w:rPr>
        <w:t>inversión</w:t>
      </w:r>
      <w:proofErr w:type="spellEnd"/>
      <w:r w:rsidRPr="001060BD">
        <w:rPr>
          <w:sz w:val="20"/>
          <w:szCs w:val="20"/>
        </w:rPr>
        <w:t xml:space="preserve"> :</w:t>
      </w:r>
      <w:proofErr w:type="gram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favoreciendo</w:t>
      </w:r>
      <w:proofErr w:type="spellEnd"/>
      <w:r w:rsidRPr="001060BD">
        <w:rPr>
          <w:sz w:val="20"/>
          <w:szCs w:val="20"/>
        </w:rPr>
        <w:t xml:space="preserve"> el </w:t>
      </w:r>
      <w:proofErr w:type="spellStart"/>
      <w:r w:rsidRPr="001060BD">
        <w:rPr>
          <w:sz w:val="20"/>
          <w:szCs w:val="20"/>
        </w:rPr>
        <w:t>interés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público</w:t>
      </w:r>
      <w:proofErr w:type="spellEnd"/>
      <w:r w:rsidRPr="001060BD">
        <w:rPr>
          <w:sz w:val="20"/>
          <w:szCs w:val="20"/>
        </w:rPr>
        <w:t xml:space="preserve">, </w:t>
      </w:r>
      <w:proofErr w:type="spellStart"/>
      <w:r w:rsidRPr="001060BD">
        <w:rPr>
          <w:sz w:val="20"/>
          <w:szCs w:val="20"/>
        </w:rPr>
        <w:t>acaban</w:t>
      </w:r>
      <w:r w:rsidRPr="001060BD">
        <w:rPr>
          <w:sz w:val="20"/>
          <w:szCs w:val="20"/>
        </w:rPr>
        <w:t>do</w:t>
      </w:r>
      <w:proofErr w:type="spellEnd"/>
      <w:r w:rsidRPr="001060BD">
        <w:rPr>
          <w:sz w:val="20"/>
          <w:szCs w:val="20"/>
        </w:rPr>
        <w:t xml:space="preserve"> con la </w:t>
      </w:r>
      <w:proofErr w:type="spellStart"/>
      <w:r w:rsidRPr="001060BD">
        <w:rPr>
          <w:sz w:val="20"/>
          <w:szCs w:val="20"/>
        </w:rPr>
        <w:t>impunidad</w:t>
      </w:r>
      <w:proofErr w:type="spellEnd"/>
      <w:r w:rsidRPr="001060BD">
        <w:rPr>
          <w:sz w:val="20"/>
          <w:szCs w:val="20"/>
        </w:rPr>
        <w:t xml:space="preserve"> de </w:t>
      </w:r>
      <w:proofErr w:type="spellStart"/>
      <w:r w:rsidRPr="001060BD">
        <w:rPr>
          <w:sz w:val="20"/>
          <w:szCs w:val="20"/>
        </w:rPr>
        <w:t>las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empresas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transnacionales</w:t>
      </w:r>
      <w:proofErr w:type="spellEnd"/>
      <w:r w:rsidRPr="001060BD">
        <w:rPr>
          <w:sz w:val="20"/>
          <w:szCs w:val="20"/>
        </w:rPr>
        <w:t xml:space="preserve">. </w:t>
      </w:r>
      <w:proofErr w:type="spellStart"/>
      <w:r w:rsidRPr="001060BD">
        <w:rPr>
          <w:sz w:val="20"/>
          <w:szCs w:val="20"/>
        </w:rPr>
        <w:t>Fuente</w:t>
      </w:r>
      <w:proofErr w:type="spellEnd"/>
      <w:r w:rsidRPr="001060BD">
        <w:rPr>
          <w:sz w:val="20"/>
          <w:szCs w:val="20"/>
        </w:rPr>
        <w:t xml:space="preserve"> :  http://www.ips-dc.org/call-building-alternative-legal-framework-international-investment-treaties-favoring-public-interest-away-transnational-corporate-impunity ; </w:t>
      </w:r>
      <w:proofErr w:type="spellStart"/>
      <w:r w:rsidRPr="001060BD">
        <w:rPr>
          <w:sz w:val="20"/>
          <w:szCs w:val="20"/>
        </w:rPr>
        <w:t>mas</w:t>
      </w:r>
      <w:proofErr w:type="spellEnd"/>
      <w:r w:rsidRPr="001060BD">
        <w:rPr>
          <w:sz w:val="20"/>
          <w:szCs w:val="20"/>
        </w:rPr>
        <w:t xml:space="preserve"> de 20</w:t>
      </w:r>
      <w:r w:rsidRPr="001060BD">
        <w:rPr>
          <w:color w:val="000000"/>
          <w:sz w:val="20"/>
          <w:szCs w:val="20"/>
          <w:lang w:eastAsia="nl-NL"/>
        </w:rPr>
        <w:t xml:space="preserve">0 </w:t>
      </w:r>
      <w:proofErr w:type="spellStart"/>
      <w:r w:rsidRPr="001060BD">
        <w:rPr>
          <w:color w:val="000000"/>
          <w:sz w:val="20"/>
          <w:szCs w:val="20"/>
          <w:lang w:eastAsia="nl-NL"/>
        </w:rPr>
        <w:t>organizaciones</w:t>
      </w:r>
      <w:proofErr w:type="spellEnd"/>
      <w:r w:rsidRPr="001060BD">
        <w:rPr>
          <w:color w:val="000000"/>
          <w:sz w:val="20"/>
          <w:szCs w:val="20"/>
          <w:lang w:eastAsia="nl-NL"/>
        </w:rPr>
        <w:t xml:space="preserve"> de l</w:t>
      </w:r>
      <w:r w:rsidRPr="001060BD">
        <w:rPr>
          <w:color w:val="000000"/>
          <w:sz w:val="20"/>
          <w:szCs w:val="20"/>
          <w:lang w:eastAsia="nl-NL"/>
        </w:rPr>
        <w:t xml:space="preserve">a </w:t>
      </w:r>
      <w:proofErr w:type="spellStart"/>
      <w:r w:rsidRPr="001060BD">
        <w:rPr>
          <w:color w:val="000000"/>
          <w:sz w:val="20"/>
          <w:szCs w:val="20"/>
          <w:lang w:eastAsia="nl-NL"/>
        </w:rPr>
        <w:t>sociedad</w:t>
      </w:r>
      <w:proofErr w:type="spellEnd"/>
      <w:r w:rsidRPr="001060BD">
        <w:rPr>
          <w:color w:val="000000"/>
          <w:sz w:val="20"/>
          <w:szCs w:val="20"/>
          <w:lang w:eastAsia="nl-NL"/>
        </w:rPr>
        <w:t xml:space="preserve"> civil </w:t>
      </w:r>
      <w:proofErr w:type="spellStart"/>
      <w:r w:rsidRPr="001060BD">
        <w:rPr>
          <w:color w:val="000000"/>
          <w:sz w:val="20"/>
          <w:szCs w:val="20"/>
          <w:lang w:eastAsia="nl-NL"/>
        </w:rPr>
        <w:t>demandan</w:t>
      </w:r>
      <w:proofErr w:type="spellEnd"/>
      <w:r w:rsidRPr="001060BD">
        <w:rPr>
          <w:color w:val="000000"/>
          <w:sz w:val="20"/>
          <w:szCs w:val="20"/>
          <w:lang w:eastAsia="nl-NL"/>
        </w:rPr>
        <w:t xml:space="preserve"> a los </w:t>
      </w:r>
      <w:proofErr w:type="spellStart"/>
      <w:r w:rsidRPr="001060BD">
        <w:rPr>
          <w:color w:val="000000"/>
          <w:sz w:val="20"/>
          <w:szCs w:val="20"/>
          <w:lang w:eastAsia="nl-NL"/>
        </w:rPr>
        <w:t>negociadores</w:t>
      </w:r>
      <w:proofErr w:type="spellEnd"/>
      <w:r w:rsidRPr="001060BD">
        <w:rPr>
          <w:color w:val="000000"/>
          <w:sz w:val="20"/>
          <w:szCs w:val="20"/>
          <w:lang w:eastAsia="nl-NL"/>
        </w:rPr>
        <w:t xml:space="preserve"> de Unión </w:t>
      </w:r>
      <w:proofErr w:type="spellStart"/>
      <w:r w:rsidRPr="001060BD">
        <w:rPr>
          <w:color w:val="000000"/>
          <w:sz w:val="20"/>
          <w:szCs w:val="20"/>
          <w:lang w:eastAsia="nl-NL"/>
        </w:rPr>
        <w:t>Europea</w:t>
      </w:r>
      <w:proofErr w:type="spellEnd"/>
      <w:r w:rsidRPr="001060BD">
        <w:rPr>
          <w:color w:val="000000"/>
          <w:sz w:val="20"/>
          <w:szCs w:val="20"/>
          <w:lang w:eastAsia="nl-NL"/>
        </w:rPr>
        <w:t xml:space="preserve"> y </w:t>
      </w:r>
      <w:proofErr w:type="spellStart"/>
      <w:r w:rsidRPr="001060BD">
        <w:rPr>
          <w:color w:val="000000"/>
          <w:sz w:val="20"/>
          <w:szCs w:val="20"/>
          <w:lang w:eastAsia="nl-NL"/>
        </w:rPr>
        <w:t>Estados</w:t>
      </w:r>
      <w:proofErr w:type="spellEnd"/>
      <w:r w:rsidRPr="001060BD">
        <w:rPr>
          <w:color w:val="000000"/>
          <w:sz w:val="20"/>
          <w:szCs w:val="20"/>
          <w:lang w:eastAsia="nl-NL"/>
        </w:rPr>
        <w:t xml:space="preserve"> </w:t>
      </w:r>
      <w:proofErr w:type="spellStart"/>
      <w:r w:rsidRPr="001060BD">
        <w:rPr>
          <w:color w:val="000000"/>
          <w:sz w:val="20"/>
          <w:szCs w:val="20"/>
          <w:lang w:eastAsia="nl-NL"/>
        </w:rPr>
        <w:t>Unidos</w:t>
      </w:r>
      <w:proofErr w:type="spellEnd"/>
      <w:r w:rsidRPr="001060BD">
        <w:rPr>
          <w:color w:val="000000"/>
          <w:sz w:val="20"/>
          <w:szCs w:val="20"/>
          <w:lang w:eastAsia="nl-NL"/>
        </w:rPr>
        <w:t xml:space="preserve">  de </w:t>
      </w:r>
      <w:proofErr w:type="spellStart"/>
      <w:r w:rsidRPr="001060BD">
        <w:rPr>
          <w:color w:val="000000"/>
          <w:sz w:val="20"/>
          <w:szCs w:val="20"/>
          <w:lang w:eastAsia="nl-NL"/>
        </w:rPr>
        <w:t>excluir</w:t>
      </w:r>
      <w:proofErr w:type="spellEnd"/>
      <w:r w:rsidRPr="001060BD">
        <w:rPr>
          <w:color w:val="000000"/>
          <w:sz w:val="20"/>
          <w:szCs w:val="20"/>
          <w:lang w:eastAsia="nl-NL"/>
        </w:rPr>
        <w:t xml:space="preserve"> el </w:t>
      </w:r>
      <w:proofErr w:type="spellStart"/>
      <w:r w:rsidRPr="001060BD">
        <w:rPr>
          <w:color w:val="000000"/>
          <w:sz w:val="20"/>
          <w:szCs w:val="20"/>
          <w:lang w:eastAsia="nl-NL"/>
        </w:rPr>
        <w:t>sistema</w:t>
      </w:r>
      <w:proofErr w:type="spellEnd"/>
      <w:r w:rsidRPr="001060BD">
        <w:rPr>
          <w:color w:val="000000"/>
          <w:sz w:val="20"/>
          <w:szCs w:val="20"/>
          <w:lang w:eastAsia="nl-NL"/>
        </w:rPr>
        <w:t xml:space="preserve"> de </w:t>
      </w:r>
      <w:proofErr w:type="spellStart"/>
      <w:r w:rsidRPr="001060BD">
        <w:rPr>
          <w:color w:val="000000"/>
          <w:sz w:val="20"/>
          <w:szCs w:val="20"/>
          <w:lang w:eastAsia="nl-NL"/>
        </w:rPr>
        <w:t>Protección</w:t>
      </w:r>
      <w:proofErr w:type="spellEnd"/>
      <w:r w:rsidRPr="001060BD">
        <w:rPr>
          <w:color w:val="000000"/>
          <w:sz w:val="20"/>
          <w:szCs w:val="20"/>
          <w:lang w:eastAsia="nl-NL"/>
        </w:rPr>
        <w:t xml:space="preserve"> al </w:t>
      </w:r>
      <w:proofErr w:type="spellStart"/>
      <w:r w:rsidRPr="001060BD">
        <w:rPr>
          <w:color w:val="000000"/>
          <w:sz w:val="20"/>
          <w:szCs w:val="20"/>
          <w:lang w:eastAsia="nl-NL"/>
        </w:rPr>
        <w:t>Inversor</w:t>
      </w:r>
      <w:proofErr w:type="spellEnd"/>
      <w:r w:rsidRPr="001060BD">
        <w:rPr>
          <w:color w:val="000000"/>
          <w:sz w:val="20"/>
          <w:szCs w:val="20"/>
          <w:lang w:eastAsia="nl-NL"/>
        </w:rPr>
        <w:t xml:space="preserve"> (ISDS) de </w:t>
      </w:r>
      <w:proofErr w:type="spellStart"/>
      <w:r w:rsidRPr="001060BD">
        <w:rPr>
          <w:color w:val="000000"/>
          <w:sz w:val="20"/>
          <w:szCs w:val="20"/>
          <w:lang w:eastAsia="nl-NL"/>
        </w:rPr>
        <w:t>las</w:t>
      </w:r>
      <w:proofErr w:type="spellEnd"/>
      <w:r w:rsidRPr="001060BD">
        <w:rPr>
          <w:color w:val="000000"/>
          <w:sz w:val="20"/>
          <w:szCs w:val="20"/>
          <w:lang w:eastAsia="nl-NL"/>
        </w:rPr>
        <w:t xml:space="preserve"> </w:t>
      </w:r>
      <w:proofErr w:type="spellStart"/>
      <w:r w:rsidRPr="001060BD">
        <w:rPr>
          <w:color w:val="000000"/>
          <w:sz w:val="20"/>
          <w:szCs w:val="20"/>
          <w:lang w:eastAsia="nl-NL"/>
        </w:rPr>
        <w:t>negociaciones</w:t>
      </w:r>
      <w:proofErr w:type="spellEnd"/>
      <w:r w:rsidRPr="001060BD">
        <w:rPr>
          <w:color w:val="000000"/>
          <w:sz w:val="20"/>
          <w:szCs w:val="20"/>
          <w:lang w:eastAsia="nl-NL"/>
        </w:rPr>
        <w:t xml:space="preserve"> </w:t>
      </w:r>
      <w:proofErr w:type="spellStart"/>
      <w:r w:rsidRPr="001060BD">
        <w:rPr>
          <w:color w:val="000000"/>
          <w:sz w:val="20"/>
          <w:szCs w:val="20"/>
          <w:lang w:eastAsia="nl-NL"/>
        </w:rPr>
        <w:t>sobre</w:t>
      </w:r>
      <w:proofErr w:type="spellEnd"/>
      <w:r w:rsidRPr="001060BD">
        <w:rPr>
          <w:color w:val="000000"/>
          <w:sz w:val="20"/>
          <w:szCs w:val="20"/>
          <w:lang w:eastAsia="nl-NL"/>
        </w:rPr>
        <w:t xml:space="preserve"> el TTIP. </w:t>
      </w:r>
      <w:proofErr w:type="spellStart"/>
      <w:r w:rsidRPr="001060BD">
        <w:rPr>
          <w:color w:val="000000"/>
          <w:sz w:val="20"/>
          <w:szCs w:val="20"/>
          <w:lang w:eastAsia="nl-NL"/>
        </w:rPr>
        <w:t>Fuente</w:t>
      </w:r>
      <w:proofErr w:type="spellEnd"/>
      <w:r w:rsidRPr="001060BD">
        <w:rPr>
          <w:color w:val="000000"/>
          <w:sz w:val="20"/>
          <w:szCs w:val="20"/>
          <w:lang w:eastAsia="nl-NL"/>
        </w:rPr>
        <w:t xml:space="preserve"> : http://corporateeurope.org/sites/default/files/attachments/ttip_investment_l</w:t>
      </w:r>
      <w:r w:rsidRPr="001060BD">
        <w:rPr>
          <w:color w:val="000000"/>
          <w:sz w:val="20"/>
          <w:szCs w:val="20"/>
          <w:lang w:eastAsia="nl-NL"/>
        </w:rPr>
        <w:t>etter_final.pdf</w:t>
      </w:r>
    </w:p>
  </w:footnote>
  <w:footnote w:id="2">
    <w:p w:rsidR="0034154B" w:rsidRPr="001060BD" w:rsidRDefault="001060BD">
      <w:pPr>
        <w:pStyle w:val="FootnoteText"/>
        <w:rPr>
          <w:sz w:val="20"/>
          <w:szCs w:val="20"/>
        </w:rPr>
      </w:pPr>
      <w:r w:rsidRPr="001060BD">
        <w:rPr>
          <w:sz w:val="20"/>
          <w:szCs w:val="20"/>
        </w:rPr>
        <w:footnoteRef/>
      </w:r>
      <w:r w:rsidRPr="001060BD">
        <w:rPr>
          <w:sz w:val="20"/>
          <w:szCs w:val="20"/>
        </w:rPr>
        <w:tab/>
      </w:r>
      <w:proofErr w:type="spellStart"/>
      <w:proofErr w:type="gramStart"/>
      <w:r w:rsidRPr="001060BD">
        <w:rPr>
          <w:sz w:val="20"/>
          <w:szCs w:val="20"/>
        </w:rPr>
        <w:t>Declaración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pública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sobre</w:t>
      </w:r>
      <w:proofErr w:type="spellEnd"/>
      <w:r w:rsidRPr="001060BD">
        <w:rPr>
          <w:sz w:val="20"/>
          <w:szCs w:val="20"/>
        </w:rPr>
        <w:t xml:space="preserve"> el </w:t>
      </w:r>
      <w:proofErr w:type="spellStart"/>
      <w:r w:rsidRPr="001060BD">
        <w:rPr>
          <w:sz w:val="20"/>
          <w:szCs w:val="20"/>
        </w:rPr>
        <w:t>Régimen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Internacional</w:t>
      </w:r>
      <w:proofErr w:type="spellEnd"/>
      <w:r w:rsidRPr="001060BD">
        <w:rPr>
          <w:sz w:val="20"/>
          <w:szCs w:val="20"/>
        </w:rPr>
        <w:t xml:space="preserve"> de </w:t>
      </w:r>
      <w:proofErr w:type="spellStart"/>
      <w:r w:rsidRPr="001060BD">
        <w:rPr>
          <w:sz w:val="20"/>
          <w:szCs w:val="20"/>
        </w:rPr>
        <w:t>Inversiones</w:t>
      </w:r>
      <w:proofErr w:type="spellEnd"/>
      <w:r w:rsidRPr="001060BD">
        <w:rPr>
          <w:sz w:val="20"/>
          <w:szCs w:val="20"/>
        </w:rPr>
        <w:t xml:space="preserve"> de </w:t>
      </w:r>
      <w:proofErr w:type="spellStart"/>
      <w:r w:rsidRPr="001060BD">
        <w:rPr>
          <w:sz w:val="20"/>
          <w:szCs w:val="20"/>
        </w:rPr>
        <w:t>academicos</w:t>
      </w:r>
      <w:proofErr w:type="spellEnd"/>
      <w:r w:rsidRPr="001060BD">
        <w:rPr>
          <w:sz w:val="20"/>
          <w:szCs w:val="20"/>
        </w:rPr>
        <w:t>.</w:t>
      </w:r>
      <w:proofErr w:type="gram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Fuente</w:t>
      </w:r>
      <w:proofErr w:type="spellEnd"/>
      <w:r w:rsidRPr="001060BD">
        <w:rPr>
          <w:sz w:val="20"/>
          <w:szCs w:val="20"/>
        </w:rPr>
        <w:t xml:space="preserve"> : http://www.osgoode.yorku.ca/public-statement-international-investment-regime-31-august-2010/</w:t>
      </w:r>
    </w:p>
  </w:footnote>
  <w:footnote w:id="3">
    <w:p w:rsidR="0034154B" w:rsidRPr="001060BD" w:rsidRDefault="001060BD">
      <w:pPr>
        <w:pStyle w:val="FootnoteText"/>
        <w:rPr>
          <w:sz w:val="20"/>
          <w:szCs w:val="20"/>
        </w:rPr>
      </w:pPr>
      <w:r w:rsidRPr="001060BD">
        <w:rPr>
          <w:sz w:val="20"/>
          <w:szCs w:val="20"/>
        </w:rPr>
        <w:footnoteRef/>
      </w:r>
      <w:r w:rsidRPr="001060BD">
        <w:rPr>
          <w:sz w:val="20"/>
          <w:szCs w:val="20"/>
        </w:rPr>
        <w:tab/>
      </w:r>
      <w:proofErr w:type="spellStart"/>
      <w:r w:rsidRPr="001060BD">
        <w:rPr>
          <w:sz w:val="20"/>
          <w:szCs w:val="20"/>
        </w:rPr>
        <w:t>Stiglitz</w:t>
      </w:r>
      <w:proofErr w:type="spellEnd"/>
      <w:r w:rsidRPr="001060BD">
        <w:rPr>
          <w:sz w:val="20"/>
          <w:szCs w:val="20"/>
        </w:rPr>
        <w:t xml:space="preserve"> contra </w:t>
      </w:r>
      <w:proofErr w:type="spellStart"/>
      <w:r w:rsidRPr="001060BD">
        <w:rPr>
          <w:sz w:val="20"/>
          <w:szCs w:val="20"/>
        </w:rPr>
        <w:t>las</w:t>
      </w:r>
      <w:proofErr w:type="spellEnd"/>
      <w:r w:rsidRPr="001060BD">
        <w:rPr>
          <w:sz w:val="20"/>
          <w:szCs w:val="20"/>
        </w:rPr>
        <w:t xml:space="preserve"> </w:t>
      </w:r>
      <w:proofErr w:type="gramStart"/>
      <w:r w:rsidRPr="001060BD">
        <w:rPr>
          <w:sz w:val="20"/>
          <w:szCs w:val="20"/>
        </w:rPr>
        <w:t>ISDS :</w:t>
      </w:r>
      <w:proofErr w:type="gramEnd"/>
      <w:r w:rsidRPr="001060BD">
        <w:rPr>
          <w:sz w:val="20"/>
          <w:szCs w:val="20"/>
        </w:rPr>
        <w:t xml:space="preserve"> “On the wrong side of glob</w:t>
      </w:r>
      <w:r w:rsidRPr="001060BD">
        <w:rPr>
          <w:sz w:val="20"/>
          <w:szCs w:val="20"/>
        </w:rPr>
        <w:t xml:space="preserve">alization”, 15 de </w:t>
      </w:r>
      <w:proofErr w:type="spellStart"/>
      <w:r w:rsidRPr="001060BD">
        <w:rPr>
          <w:sz w:val="20"/>
          <w:szCs w:val="20"/>
        </w:rPr>
        <w:t>marzo</w:t>
      </w:r>
      <w:proofErr w:type="spellEnd"/>
      <w:r w:rsidRPr="001060BD">
        <w:rPr>
          <w:sz w:val="20"/>
          <w:szCs w:val="20"/>
        </w:rPr>
        <w:t xml:space="preserve"> 2014. </w:t>
      </w:r>
      <w:proofErr w:type="spellStart"/>
      <w:proofErr w:type="gramStart"/>
      <w:r w:rsidRPr="001060BD">
        <w:rPr>
          <w:sz w:val="20"/>
          <w:szCs w:val="20"/>
        </w:rPr>
        <w:t>Fuente</w:t>
      </w:r>
      <w:proofErr w:type="spellEnd"/>
      <w:r w:rsidRPr="001060BD">
        <w:rPr>
          <w:sz w:val="20"/>
          <w:szCs w:val="20"/>
        </w:rPr>
        <w:t xml:space="preserve"> :</w:t>
      </w:r>
      <w:proofErr w:type="gramEnd"/>
      <w:r w:rsidRPr="001060BD">
        <w:rPr>
          <w:sz w:val="20"/>
          <w:szCs w:val="20"/>
        </w:rPr>
        <w:t xml:space="preserve"> http://opinionator.blogs.nytimes.com/2014/03/15/on-the-wrong-side-of-globalization/?_r=0 ; </w:t>
      </w:r>
      <w:proofErr w:type="spellStart"/>
      <w:r w:rsidRPr="001060BD">
        <w:rPr>
          <w:sz w:val="20"/>
          <w:szCs w:val="20"/>
        </w:rPr>
        <w:t>advertencias</w:t>
      </w:r>
      <w:proofErr w:type="spellEnd"/>
      <w:r w:rsidRPr="001060BD">
        <w:rPr>
          <w:sz w:val="20"/>
          <w:szCs w:val="20"/>
        </w:rPr>
        <w:t xml:space="preserve"> en </w:t>
      </w:r>
      <w:proofErr w:type="spellStart"/>
      <w:r w:rsidRPr="001060BD">
        <w:rPr>
          <w:sz w:val="20"/>
          <w:szCs w:val="20"/>
        </w:rPr>
        <w:t>materia</w:t>
      </w:r>
      <w:proofErr w:type="spellEnd"/>
      <w:r w:rsidRPr="001060BD">
        <w:rPr>
          <w:sz w:val="20"/>
          <w:szCs w:val="20"/>
        </w:rPr>
        <w:t xml:space="preserve"> de </w:t>
      </w:r>
      <w:proofErr w:type="spellStart"/>
      <w:r w:rsidRPr="001060BD">
        <w:rPr>
          <w:sz w:val="20"/>
          <w:szCs w:val="20"/>
        </w:rPr>
        <w:t>salud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sobre</w:t>
      </w:r>
      <w:proofErr w:type="spellEnd"/>
      <w:r w:rsidRPr="001060BD">
        <w:rPr>
          <w:sz w:val="20"/>
          <w:szCs w:val="20"/>
        </w:rPr>
        <w:t xml:space="preserve"> los </w:t>
      </w:r>
      <w:proofErr w:type="spellStart"/>
      <w:r w:rsidRPr="001060BD">
        <w:rPr>
          <w:sz w:val="20"/>
          <w:szCs w:val="20"/>
        </w:rPr>
        <w:t>acuerdos</w:t>
      </w:r>
      <w:proofErr w:type="spellEnd"/>
      <w:r w:rsidRPr="001060BD">
        <w:rPr>
          <w:sz w:val="20"/>
          <w:szCs w:val="20"/>
        </w:rPr>
        <w:t xml:space="preserve"> international de </w:t>
      </w:r>
      <w:proofErr w:type="spellStart"/>
      <w:r w:rsidRPr="001060BD">
        <w:rPr>
          <w:sz w:val="20"/>
          <w:szCs w:val="20"/>
        </w:rPr>
        <w:t>inversión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por</w:t>
      </w:r>
      <w:proofErr w:type="spellEnd"/>
      <w:r w:rsidRPr="001060BD">
        <w:rPr>
          <w:sz w:val="20"/>
          <w:szCs w:val="20"/>
        </w:rPr>
        <w:t xml:space="preserve"> el </w:t>
      </w:r>
      <w:proofErr w:type="spellStart"/>
      <w:r w:rsidRPr="001060BD">
        <w:rPr>
          <w:sz w:val="20"/>
          <w:szCs w:val="20"/>
        </w:rPr>
        <w:t>Relator</w:t>
      </w:r>
      <w:proofErr w:type="spellEnd"/>
      <w:r w:rsidRPr="001060BD">
        <w:rPr>
          <w:sz w:val="20"/>
          <w:szCs w:val="20"/>
        </w:rPr>
        <w:t xml:space="preserve"> Especial </w:t>
      </w:r>
      <w:proofErr w:type="spellStart"/>
      <w:r w:rsidRPr="001060BD">
        <w:rPr>
          <w:sz w:val="20"/>
          <w:szCs w:val="20"/>
        </w:rPr>
        <w:t>sobre</w:t>
      </w:r>
      <w:proofErr w:type="spellEnd"/>
      <w:r w:rsidRPr="001060BD">
        <w:rPr>
          <w:sz w:val="20"/>
          <w:szCs w:val="20"/>
        </w:rPr>
        <w:t xml:space="preserve"> el </w:t>
      </w:r>
      <w:proofErr w:type="spellStart"/>
      <w:r w:rsidRPr="001060BD">
        <w:rPr>
          <w:sz w:val="20"/>
          <w:szCs w:val="20"/>
        </w:rPr>
        <w:t>derecho</w:t>
      </w:r>
      <w:proofErr w:type="spellEnd"/>
      <w:r w:rsidRPr="001060BD">
        <w:rPr>
          <w:sz w:val="20"/>
          <w:szCs w:val="20"/>
        </w:rPr>
        <w:t xml:space="preserve"> a la </w:t>
      </w:r>
      <w:proofErr w:type="spellStart"/>
      <w:r w:rsidRPr="001060BD">
        <w:rPr>
          <w:sz w:val="20"/>
          <w:szCs w:val="20"/>
        </w:rPr>
        <w:t>s</w:t>
      </w:r>
      <w:r w:rsidRPr="001060BD">
        <w:rPr>
          <w:sz w:val="20"/>
          <w:szCs w:val="20"/>
        </w:rPr>
        <w:t>alud</w:t>
      </w:r>
      <w:proofErr w:type="spellEnd"/>
      <w:r w:rsidRPr="001060BD">
        <w:rPr>
          <w:sz w:val="20"/>
          <w:szCs w:val="20"/>
        </w:rPr>
        <w:t xml:space="preserve"> de </w:t>
      </w:r>
      <w:proofErr w:type="spellStart"/>
      <w:r w:rsidRPr="001060BD">
        <w:rPr>
          <w:sz w:val="20"/>
          <w:szCs w:val="20"/>
        </w:rPr>
        <w:t>Naciones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Unidas</w:t>
      </w:r>
      <w:proofErr w:type="spellEnd"/>
      <w:r w:rsidRPr="001060BD">
        <w:rPr>
          <w:sz w:val="20"/>
          <w:szCs w:val="20"/>
        </w:rPr>
        <w:t xml:space="preserve">, 11 de </w:t>
      </w:r>
      <w:proofErr w:type="spellStart"/>
      <w:r w:rsidRPr="001060BD">
        <w:rPr>
          <w:sz w:val="20"/>
          <w:szCs w:val="20"/>
        </w:rPr>
        <w:t>agosto</w:t>
      </w:r>
      <w:proofErr w:type="spellEnd"/>
      <w:r w:rsidRPr="001060BD">
        <w:rPr>
          <w:sz w:val="20"/>
          <w:szCs w:val="20"/>
        </w:rPr>
        <w:t xml:space="preserve"> 2014. </w:t>
      </w:r>
      <w:proofErr w:type="spellStart"/>
      <w:r w:rsidRPr="001060BD">
        <w:rPr>
          <w:sz w:val="20"/>
          <w:szCs w:val="20"/>
        </w:rPr>
        <w:t>Fuente</w:t>
      </w:r>
      <w:proofErr w:type="spellEnd"/>
      <w:r w:rsidRPr="001060BD">
        <w:rPr>
          <w:sz w:val="20"/>
          <w:szCs w:val="20"/>
        </w:rPr>
        <w:t xml:space="preserve"> : http://www.rightingfinance.org/wp-content/uploads/2015/02/report.pdf; </w:t>
      </w:r>
      <w:proofErr w:type="spellStart"/>
      <w:r w:rsidRPr="001060BD">
        <w:rPr>
          <w:sz w:val="20"/>
          <w:szCs w:val="20"/>
        </w:rPr>
        <w:t>informe</w:t>
      </w:r>
      <w:proofErr w:type="spellEnd"/>
      <w:r w:rsidRPr="001060BD">
        <w:rPr>
          <w:sz w:val="20"/>
          <w:szCs w:val="20"/>
        </w:rPr>
        <w:t xml:space="preserve"> de Alfred de </w:t>
      </w:r>
      <w:proofErr w:type="spellStart"/>
      <w:r w:rsidRPr="001060BD">
        <w:rPr>
          <w:sz w:val="20"/>
          <w:szCs w:val="20"/>
        </w:rPr>
        <w:t>Zayas</w:t>
      </w:r>
      <w:proofErr w:type="spellEnd"/>
      <w:r w:rsidRPr="001060BD">
        <w:rPr>
          <w:sz w:val="20"/>
          <w:szCs w:val="20"/>
        </w:rPr>
        <w:t xml:space="preserve"> ante la </w:t>
      </w:r>
      <w:proofErr w:type="spellStart"/>
      <w:r w:rsidRPr="001060BD">
        <w:rPr>
          <w:sz w:val="20"/>
          <w:szCs w:val="20"/>
        </w:rPr>
        <w:t>Asemblea</w:t>
      </w:r>
      <w:proofErr w:type="spellEnd"/>
      <w:r w:rsidRPr="001060BD">
        <w:rPr>
          <w:sz w:val="20"/>
          <w:szCs w:val="20"/>
        </w:rPr>
        <w:t xml:space="preserve"> General de la ONU, </w:t>
      </w:r>
      <w:proofErr w:type="spellStart"/>
      <w:r w:rsidRPr="001060BD">
        <w:rPr>
          <w:sz w:val="20"/>
          <w:szCs w:val="20"/>
        </w:rPr>
        <w:t>Experto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Independiente</w:t>
      </w:r>
      <w:proofErr w:type="spellEnd"/>
      <w:r w:rsidRPr="001060BD">
        <w:rPr>
          <w:sz w:val="20"/>
          <w:szCs w:val="20"/>
        </w:rPr>
        <w:t xml:space="preserve"> de </w:t>
      </w:r>
      <w:proofErr w:type="spellStart"/>
      <w:r w:rsidRPr="001060BD">
        <w:rPr>
          <w:sz w:val="20"/>
          <w:szCs w:val="20"/>
        </w:rPr>
        <w:t>Naciones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Unidas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sobre</w:t>
      </w:r>
      <w:proofErr w:type="spellEnd"/>
      <w:r w:rsidRPr="001060BD">
        <w:rPr>
          <w:sz w:val="20"/>
          <w:szCs w:val="20"/>
        </w:rPr>
        <w:t xml:space="preserve"> la </w:t>
      </w:r>
      <w:proofErr w:type="spellStart"/>
      <w:r w:rsidRPr="001060BD">
        <w:rPr>
          <w:sz w:val="20"/>
          <w:szCs w:val="20"/>
        </w:rPr>
        <w:t>promoción</w:t>
      </w:r>
      <w:proofErr w:type="spellEnd"/>
      <w:r w:rsidRPr="001060BD">
        <w:rPr>
          <w:sz w:val="20"/>
          <w:szCs w:val="20"/>
        </w:rPr>
        <w:t xml:space="preserve"> de un </w:t>
      </w:r>
      <w:proofErr w:type="spellStart"/>
      <w:r w:rsidRPr="001060BD">
        <w:rPr>
          <w:sz w:val="20"/>
          <w:szCs w:val="20"/>
        </w:rPr>
        <w:t>orde</w:t>
      </w:r>
      <w:r w:rsidRPr="001060BD">
        <w:rPr>
          <w:sz w:val="20"/>
          <w:szCs w:val="20"/>
        </w:rPr>
        <w:t>n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democratico</w:t>
      </w:r>
      <w:proofErr w:type="spellEnd"/>
      <w:r w:rsidRPr="001060BD">
        <w:rPr>
          <w:sz w:val="20"/>
          <w:szCs w:val="20"/>
        </w:rPr>
        <w:t xml:space="preserve"> y equitable, </w:t>
      </w:r>
      <w:proofErr w:type="spellStart"/>
      <w:r w:rsidRPr="001060BD">
        <w:rPr>
          <w:sz w:val="20"/>
          <w:szCs w:val="20"/>
        </w:rPr>
        <w:t>sobre</w:t>
      </w:r>
      <w:proofErr w:type="spellEnd"/>
      <w:r w:rsidRPr="001060BD">
        <w:rPr>
          <w:sz w:val="20"/>
          <w:szCs w:val="20"/>
        </w:rPr>
        <w:t xml:space="preserve"> la </w:t>
      </w:r>
      <w:proofErr w:type="spellStart"/>
      <w:r w:rsidRPr="001060BD">
        <w:rPr>
          <w:sz w:val="20"/>
          <w:szCs w:val="20"/>
        </w:rPr>
        <w:t>incompatibilidad</w:t>
      </w:r>
      <w:proofErr w:type="spellEnd"/>
      <w:r w:rsidRPr="001060BD">
        <w:rPr>
          <w:sz w:val="20"/>
          <w:szCs w:val="20"/>
        </w:rPr>
        <w:t xml:space="preserve"> de los ISDS con </w:t>
      </w:r>
      <w:proofErr w:type="spellStart"/>
      <w:r w:rsidRPr="001060BD">
        <w:rPr>
          <w:sz w:val="20"/>
          <w:szCs w:val="20"/>
        </w:rPr>
        <w:t>las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normas</w:t>
      </w:r>
      <w:proofErr w:type="spellEnd"/>
      <w:r w:rsidRPr="001060BD">
        <w:rPr>
          <w:sz w:val="20"/>
          <w:szCs w:val="20"/>
        </w:rPr>
        <w:t xml:space="preserve"> de </w:t>
      </w:r>
      <w:proofErr w:type="spellStart"/>
      <w:r w:rsidRPr="001060BD">
        <w:rPr>
          <w:sz w:val="20"/>
          <w:szCs w:val="20"/>
        </w:rPr>
        <w:t>derechos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humanos</w:t>
      </w:r>
      <w:proofErr w:type="spellEnd"/>
      <w:r w:rsidRPr="001060BD">
        <w:rPr>
          <w:sz w:val="20"/>
          <w:szCs w:val="20"/>
        </w:rPr>
        <w:t xml:space="preserve"> (A/70/285). </w:t>
      </w:r>
      <w:proofErr w:type="spellStart"/>
      <w:r w:rsidRPr="001060BD">
        <w:rPr>
          <w:sz w:val="20"/>
          <w:szCs w:val="20"/>
        </w:rPr>
        <w:t>Fuente</w:t>
      </w:r>
      <w:proofErr w:type="spellEnd"/>
      <w:r w:rsidRPr="001060BD">
        <w:rPr>
          <w:sz w:val="20"/>
          <w:szCs w:val="20"/>
        </w:rPr>
        <w:t xml:space="preserve"> :  http://www.un.org/en/ga/search/view_doc.asp?symbol=A/70/285</w:t>
      </w:r>
    </w:p>
  </w:footnote>
  <w:footnote w:id="4">
    <w:p w:rsidR="0034154B" w:rsidRPr="001060BD" w:rsidRDefault="001060BD">
      <w:pPr>
        <w:pStyle w:val="FootnoteText"/>
        <w:rPr>
          <w:sz w:val="20"/>
          <w:szCs w:val="20"/>
        </w:rPr>
      </w:pPr>
      <w:r w:rsidRPr="001060BD">
        <w:rPr>
          <w:sz w:val="20"/>
          <w:szCs w:val="20"/>
        </w:rPr>
        <w:footnoteRef/>
      </w:r>
      <w:r w:rsidRPr="001060BD">
        <w:rPr>
          <w:sz w:val="20"/>
          <w:szCs w:val="20"/>
        </w:rPr>
        <w:tab/>
        <w:t xml:space="preserve">Juan </w:t>
      </w:r>
      <w:proofErr w:type="spellStart"/>
      <w:r w:rsidRPr="001060BD">
        <w:rPr>
          <w:sz w:val="20"/>
          <w:szCs w:val="20"/>
        </w:rPr>
        <w:t>Hernández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Zubizarreta</w:t>
      </w:r>
      <w:proofErr w:type="spellEnd"/>
      <w:r w:rsidRPr="001060BD">
        <w:rPr>
          <w:sz w:val="20"/>
          <w:szCs w:val="20"/>
        </w:rPr>
        <w:t xml:space="preserve"> (2015) The new Global Corporate Law, State of</w:t>
      </w:r>
      <w:r w:rsidRPr="001060BD">
        <w:rPr>
          <w:sz w:val="20"/>
          <w:szCs w:val="20"/>
        </w:rPr>
        <w:t xml:space="preserve"> Power 2015, Transnational Institute https://www.tni.org/en/briefing/new-global-corporate-law</w:t>
      </w:r>
    </w:p>
  </w:footnote>
  <w:footnote w:id="5">
    <w:p w:rsidR="0034154B" w:rsidRPr="001060BD" w:rsidRDefault="001060BD">
      <w:pPr>
        <w:pStyle w:val="FootnoteText"/>
        <w:rPr>
          <w:sz w:val="20"/>
          <w:szCs w:val="20"/>
        </w:rPr>
      </w:pPr>
      <w:r w:rsidRPr="001060BD">
        <w:rPr>
          <w:sz w:val="20"/>
          <w:szCs w:val="20"/>
        </w:rPr>
        <w:footnoteRef/>
      </w:r>
      <w:r w:rsidRPr="001060BD">
        <w:rPr>
          <w:sz w:val="20"/>
          <w:szCs w:val="20"/>
        </w:rPr>
        <w:tab/>
      </w:r>
      <w:proofErr w:type="spellStart"/>
      <w:r w:rsidRPr="001060BD">
        <w:rPr>
          <w:sz w:val="20"/>
          <w:szCs w:val="20"/>
        </w:rPr>
        <w:t>Fuente</w:t>
      </w:r>
      <w:proofErr w:type="spellEnd"/>
      <w:r w:rsidRPr="001060BD">
        <w:rPr>
          <w:sz w:val="20"/>
          <w:szCs w:val="20"/>
        </w:rPr>
        <w:t xml:space="preserve"> : http://www.isdscorporateattacks.org/ y http://isds.bilaterals.org/ </w:t>
      </w:r>
    </w:p>
  </w:footnote>
  <w:footnote w:id="6">
    <w:p w:rsidR="0034154B" w:rsidRPr="001060BD" w:rsidRDefault="001060BD">
      <w:pPr>
        <w:pStyle w:val="FootnoteText"/>
        <w:rPr>
          <w:sz w:val="20"/>
          <w:szCs w:val="20"/>
        </w:rPr>
      </w:pPr>
      <w:r w:rsidRPr="001060BD">
        <w:rPr>
          <w:sz w:val="20"/>
          <w:szCs w:val="20"/>
        </w:rPr>
        <w:footnoteRef/>
      </w:r>
      <w:r w:rsidRPr="001060BD">
        <w:rPr>
          <w:sz w:val="20"/>
          <w:szCs w:val="20"/>
        </w:rPr>
        <w:tab/>
        <w:t>Fuentes :https://www.theguardian.com/business/2015/may/13/the-secret-corporate-ta</w:t>
      </w:r>
      <w:r w:rsidRPr="001060BD">
        <w:rPr>
          <w:sz w:val="20"/>
          <w:szCs w:val="20"/>
        </w:rPr>
        <w:t xml:space="preserve">keover-of-trade-agreements y https://www.theguardian.com/commentisfree/2013/nov/04/us-trade-deal-full-frontal-assault-on-democracy </w:t>
      </w:r>
    </w:p>
  </w:footnote>
  <w:footnote w:id="7">
    <w:p w:rsidR="0034154B" w:rsidRPr="001060BD" w:rsidRDefault="001060BD">
      <w:pPr>
        <w:pStyle w:val="FootnoteText"/>
        <w:rPr>
          <w:sz w:val="20"/>
          <w:szCs w:val="20"/>
        </w:rPr>
      </w:pPr>
      <w:r w:rsidRPr="001060BD">
        <w:rPr>
          <w:sz w:val="20"/>
          <w:szCs w:val="20"/>
        </w:rPr>
        <w:footnoteRef/>
      </w:r>
      <w:r w:rsidRPr="001060BD">
        <w:rPr>
          <w:sz w:val="20"/>
          <w:szCs w:val="20"/>
        </w:rPr>
        <w:tab/>
        <w:t xml:space="preserve">M. </w:t>
      </w:r>
      <w:proofErr w:type="spellStart"/>
      <w:r w:rsidRPr="001060BD">
        <w:rPr>
          <w:sz w:val="20"/>
          <w:szCs w:val="20"/>
        </w:rPr>
        <w:t>Sornarajah</w:t>
      </w:r>
      <w:proofErr w:type="spellEnd"/>
      <w:r w:rsidRPr="001060BD">
        <w:rPr>
          <w:sz w:val="20"/>
          <w:szCs w:val="20"/>
        </w:rPr>
        <w:t xml:space="preserve"> (2011</w:t>
      </w:r>
      <w:proofErr w:type="gramStart"/>
      <w:r w:rsidRPr="001060BD">
        <w:rPr>
          <w:sz w:val="20"/>
          <w:szCs w:val="20"/>
        </w:rPr>
        <w:t>)  Mutations</w:t>
      </w:r>
      <w:proofErr w:type="gramEnd"/>
      <w:r w:rsidRPr="001060BD">
        <w:rPr>
          <w:sz w:val="20"/>
          <w:szCs w:val="20"/>
        </w:rPr>
        <w:t xml:space="preserve">  of  Neo-Liberalism  in International Investment Law 3(1) TRADE L.&amp; DEV.203. </w:t>
      </w:r>
      <w:proofErr w:type="spellStart"/>
      <w:r w:rsidRPr="001060BD">
        <w:rPr>
          <w:sz w:val="20"/>
          <w:szCs w:val="20"/>
        </w:rPr>
        <w:t>Fuente</w:t>
      </w:r>
      <w:proofErr w:type="spellEnd"/>
      <w:r w:rsidRPr="001060BD">
        <w:rPr>
          <w:sz w:val="20"/>
          <w:szCs w:val="20"/>
        </w:rPr>
        <w:t xml:space="preserve"> http:/</w:t>
      </w:r>
      <w:r w:rsidRPr="001060BD">
        <w:rPr>
          <w:sz w:val="20"/>
          <w:szCs w:val="20"/>
        </w:rPr>
        <w:t xml:space="preserve">/www.tradelawdevelopment.com/index.php/tld/article/viewFile/3%281%29%20TRADE%20L.%20%26%20DEV.%20203%20%282011%29/86 </w:t>
      </w:r>
    </w:p>
  </w:footnote>
  <w:footnote w:id="8">
    <w:p w:rsidR="0034154B" w:rsidRPr="001060BD" w:rsidRDefault="001060BD">
      <w:pPr>
        <w:pStyle w:val="FootnoteText"/>
        <w:rPr>
          <w:sz w:val="20"/>
          <w:szCs w:val="20"/>
        </w:rPr>
      </w:pPr>
      <w:r w:rsidRPr="001060BD">
        <w:rPr>
          <w:rStyle w:val="FootnoteReference"/>
          <w:sz w:val="20"/>
          <w:szCs w:val="20"/>
        </w:rPr>
        <w:footnoteRef/>
      </w:r>
      <w:r w:rsidRPr="001060BD">
        <w:rPr>
          <w:rStyle w:val="FootnoteReference"/>
          <w:sz w:val="20"/>
          <w:szCs w:val="20"/>
        </w:rPr>
        <w:tab/>
      </w:r>
      <w:proofErr w:type="spellStart"/>
      <w:r w:rsidRPr="001060BD">
        <w:rPr>
          <w:sz w:val="20"/>
          <w:szCs w:val="20"/>
        </w:rPr>
        <w:t>Fuente</w:t>
      </w:r>
      <w:proofErr w:type="spellEnd"/>
      <w:r w:rsidRPr="001060BD">
        <w:rPr>
          <w:sz w:val="20"/>
          <w:szCs w:val="20"/>
        </w:rPr>
        <w:t xml:space="preserve"> : http://www.ohchr.org/en/NewsEvents/Pages/DisplayNews.aspx?NewsID=16031&amp;LangID=E </w:t>
      </w:r>
    </w:p>
  </w:footnote>
  <w:footnote w:id="9">
    <w:p w:rsidR="0034154B" w:rsidRPr="001060BD" w:rsidRDefault="001060BD">
      <w:pPr>
        <w:pStyle w:val="FootnoteText"/>
        <w:rPr>
          <w:sz w:val="20"/>
          <w:szCs w:val="20"/>
        </w:rPr>
      </w:pPr>
      <w:r w:rsidRPr="001060BD">
        <w:rPr>
          <w:rStyle w:val="FootnoteReference"/>
          <w:sz w:val="20"/>
          <w:szCs w:val="20"/>
        </w:rPr>
        <w:footnoteRef/>
      </w:r>
      <w:r w:rsidRPr="001060BD">
        <w:rPr>
          <w:rStyle w:val="FootnoteReference"/>
          <w:sz w:val="20"/>
          <w:szCs w:val="20"/>
        </w:rPr>
        <w:tab/>
      </w:r>
      <w:proofErr w:type="spellStart"/>
      <w:r w:rsidRPr="001060BD">
        <w:rPr>
          <w:sz w:val="20"/>
          <w:szCs w:val="20"/>
        </w:rPr>
        <w:t>Fuente</w:t>
      </w:r>
      <w:proofErr w:type="spellEnd"/>
      <w:r w:rsidRPr="001060BD">
        <w:rPr>
          <w:sz w:val="20"/>
          <w:szCs w:val="20"/>
        </w:rPr>
        <w:t xml:space="preserve"> : http://www.un.org/en/ga/search/view</w:t>
      </w:r>
      <w:r w:rsidRPr="001060BD">
        <w:rPr>
          <w:sz w:val="20"/>
          <w:szCs w:val="20"/>
        </w:rPr>
        <w:t xml:space="preserve">_doc.asp?symbol=A/70/285&amp;referer=/english/&amp;Lang=S </w:t>
      </w:r>
    </w:p>
  </w:footnote>
  <w:footnote w:id="10">
    <w:p w:rsidR="0034154B" w:rsidRPr="001060BD" w:rsidRDefault="001060BD">
      <w:pPr>
        <w:pStyle w:val="FootnoteText"/>
        <w:rPr>
          <w:sz w:val="20"/>
          <w:szCs w:val="20"/>
        </w:rPr>
      </w:pPr>
      <w:r w:rsidRPr="001060BD">
        <w:rPr>
          <w:rStyle w:val="FootnoteReference"/>
          <w:sz w:val="20"/>
          <w:szCs w:val="20"/>
        </w:rPr>
        <w:footnoteRef/>
      </w:r>
      <w:r w:rsidRPr="001060BD">
        <w:rPr>
          <w:rStyle w:val="FootnoteReference"/>
          <w:sz w:val="20"/>
          <w:szCs w:val="20"/>
        </w:rPr>
        <w:tab/>
      </w:r>
      <w:r w:rsidRPr="001060BD">
        <w:rPr>
          <w:sz w:val="20"/>
          <w:szCs w:val="20"/>
        </w:rPr>
        <w:t xml:space="preserve">En 2015, Cecilia </w:t>
      </w:r>
      <w:proofErr w:type="spellStart"/>
      <w:r w:rsidRPr="001060BD">
        <w:rPr>
          <w:sz w:val="20"/>
          <w:szCs w:val="20"/>
        </w:rPr>
        <w:t>Malmström</w:t>
      </w:r>
      <w:proofErr w:type="spellEnd"/>
      <w:r w:rsidRPr="001060BD">
        <w:rPr>
          <w:sz w:val="20"/>
          <w:szCs w:val="20"/>
        </w:rPr>
        <w:t xml:space="preserve">, </w:t>
      </w:r>
      <w:proofErr w:type="spellStart"/>
      <w:r w:rsidRPr="001060BD">
        <w:rPr>
          <w:sz w:val="20"/>
          <w:szCs w:val="20"/>
        </w:rPr>
        <w:t>ministra</w:t>
      </w:r>
      <w:proofErr w:type="spellEnd"/>
      <w:r w:rsidRPr="001060BD">
        <w:rPr>
          <w:sz w:val="20"/>
          <w:szCs w:val="20"/>
        </w:rPr>
        <w:t xml:space="preserve"> </w:t>
      </w:r>
      <w:proofErr w:type="gramStart"/>
      <w:r w:rsidRPr="001060BD">
        <w:rPr>
          <w:sz w:val="20"/>
          <w:szCs w:val="20"/>
        </w:rPr>
        <w:t>del</w:t>
      </w:r>
      <w:proofErr w:type="gram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comercio</w:t>
      </w:r>
      <w:proofErr w:type="spellEnd"/>
      <w:r w:rsidRPr="001060BD">
        <w:rPr>
          <w:sz w:val="20"/>
          <w:szCs w:val="20"/>
        </w:rPr>
        <w:t xml:space="preserve"> de UE, </w:t>
      </w:r>
      <w:proofErr w:type="spellStart"/>
      <w:r w:rsidRPr="001060BD">
        <w:rPr>
          <w:sz w:val="20"/>
          <w:szCs w:val="20"/>
        </w:rPr>
        <w:t>llamó</w:t>
      </w:r>
      <w:proofErr w:type="spellEnd"/>
      <w:r w:rsidRPr="001060BD">
        <w:rPr>
          <w:sz w:val="20"/>
          <w:szCs w:val="20"/>
        </w:rPr>
        <w:t xml:space="preserve"> a los ISDS: “el </w:t>
      </w:r>
      <w:proofErr w:type="spellStart"/>
      <w:r w:rsidRPr="001060BD">
        <w:rPr>
          <w:sz w:val="20"/>
          <w:szCs w:val="20"/>
        </w:rPr>
        <w:t>acrónimo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mas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tóxico</w:t>
      </w:r>
      <w:proofErr w:type="spellEnd"/>
      <w:r w:rsidRPr="001060BD">
        <w:rPr>
          <w:sz w:val="20"/>
          <w:szCs w:val="20"/>
        </w:rPr>
        <w:t xml:space="preserve"> en </w:t>
      </w:r>
      <w:proofErr w:type="spellStart"/>
      <w:r w:rsidRPr="001060BD">
        <w:rPr>
          <w:sz w:val="20"/>
          <w:szCs w:val="20"/>
        </w:rPr>
        <w:t>Europa</w:t>
      </w:r>
      <w:proofErr w:type="spellEnd"/>
      <w:r w:rsidRPr="001060BD">
        <w:rPr>
          <w:sz w:val="20"/>
          <w:szCs w:val="20"/>
        </w:rPr>
        <w:t xml:space="preserve">”. </w:t>
      </w:r>
      <w:proofErr w:type="spellStart"/>
      <w:r w:rsidRPr="001060BD">
        <w:rPr>
          <w:sz w:val="20"/>
          <w:szCs w:val="20"/>
        </w:rPr>
        <w:t>Fuente</w:t>
      </w:r>
      <w:proofErr w:type="spellEnd"/>
      <w:r w:rsidRPr="001060BD">
        <w:rPr>
          <w:sz w:val="20"/>
          <w:szCs w:val="20"/>
        </w:rPr>
        <w:t xml:space="preserve"> :  http://www.politico.eu/article/isds-the-most-toxic-acronym-in-europe/</w:t>
      </w:r>
    </w:p>
  </w:footnote>
  <w:footnote w:id="11">
    <w:p w:rsidR="0034154B" w:rsidRPr="001060BD" w:rsidRDefault="001060BD">
      <w:pPr>
        <w:pStyle w:val="FootnoteText"/>
        <w:rPr>
          <w:sz w:val="20"/>
          <w:szCs w:val="20"/>
        </w:rPr>
      </w:pPr>
      <w:r w:rsidRPr="001060BD">
        <w:rPr>
          <w:rStyle w:val="FootnoteReference"/>
          <w:sz w:val="20"/>
          <w:szCs w:val="20"/>
        </w:rPr>
        <w:footnoteRef/>
      </w:r>
      <w:r w:rsidRPr="001060BD">
        <w:rPr>
          <w:rStyle w:val="FootnoteReference"/>
          <w:sz w:val="20"/>
          <w:szCs w:val="20"/>
        </w:rPr>
        <w:tab/>
      </w:r>
      <w:proofErr w:type="spellStart"/>
      <w:r w:rsidRPr="001060BD">
        <w:rPr>
          <w:sz w:val="20"/>
          <w:szCs w:val="20"/>
        </w:rPr>
        <w:t>Fuente</w:t>
      </w:r>
      <w:proofErr w:type="spellEnd"/>
      <w:r w:rsidRPr="001060BD">
        <w:rPr>
          <w:sz w:val="20"/>
          <w:szCs w:val="20"/>
        </w:rPr>
        <w:t xml:space="preserve"> : h</w:t>
      </w:r>
      <w:r w:rsidRPr="001060BD">
        <w:rPr>
          <w:sz w:val="20"/>
          <w:szCs w:val="20"/>
        </w:rPr>
        <w:t>ttp://investmentpolicyhub.unctad.org/ISDS</w:t>
      </w:r>
    </w:p>
  </w:footnote>
  <w:footnote w:id="12">
    <w:p w:rsidR="0034154B" w:rsidRPr="001060BD" w:rsidRDefault="001060BD">
      <w:pPr>
        <w:pStyle w:val="FootnoteText"/>
        <w:rPr>
          <w:sz w:val="20"/>
          <w:szCs w:val="20"/>
        </w:rPr>
      </w:pPr>
      <w:r w:rsidRPr="001060BD">
        <w:rPr>
          <w:sz w:val="20"/>
          <w:szCs w:val="20"/>
        </w:rPr>
        <w:footnoteRef/>
      </w:r>
      <w:r w:rsidRPr="001060BD">
        <w:rPr>
          <w:sz w:val="20"/>
          <w:szCs w:val="20"/>
        </w:rPr>
        <w:tab/>
      </w:r>
      <w:proofErr w:type="spellStart"/>
      <w:r w:rsidRPr="001060BD">
        <w:rPr>
          <w:sz w:val="20"/>
          <w:szCs w:val="20"/>
        </w:rPr>
        <w:t>Goldhaber</w:t>
      </w:r>
      <w:proofErr w:type="spellEnd"/>
      <w:r w:rsidRPr="001060BD">
        <w:rPr>
          <w:sz w:val="20"/>
          <w:szCs w:val="20"/>
        </w:rPr>
        <w:t>, Michael D. (2015) “Deciding the world’s biggest disputes”, 2015 Arbitration Scorecard, American Lawyer, Focus Europe, Julio.</w:t>
      </w:r>
    </w:p>
  </w:footnote>
  <w:footnote w:id="13">
    <w:p w:rsidR="0034154B" w:rsidRPr="001060BD" w:rsidRDefault="001060BD">
      <w:pPr>
        <w:pStyle w:val="FootnoteText"/>
        <w:rPr>
          <w:sz w:val="20"/>
          <w:szCs w:val="20"/>
        </w:rPr>
      </w:pPr>
      <w:r w:rsidRPr="001060BD">
        <w:rPr>
          <w:rStyle w:val="FootnoteReference"/>
          <w:sz w:val="20"/>
          <w:szCs w:val="20"/>
        </w:rPr>
        <w:footnoteRef/>
      </w:r>
      <w:r w:rsidRPr="001060BD">
        <w:rPr>
          <w:rStyle w:val="FootnoteReference"/>
          <w:sz w:val="20"/>
          <w:szCs w:val="20"/>
        </w:rPr>
        <w:tab/>
      </w:r>
      <w:r w:rsidRPr="001060BD">
        <w:rPr>
          <w:sz w:val="20"/>
          <w:szCs w:val="20"/>
        </w:rPr>
        <w:t>UNCTAD database on known investment treaty ISDS cases worldwide http://inv</w:t>
      </w:r>
      <w:r w:rsidRPr="001060BD">
        <w:rPr>
          <w:sz w:val="20"/>
          <w:szCs w:val="20"/>
        </w:rPr>
        <w:t>estmentpolicyhub.unctad.org/ISDS</w:t>
      </w:r>
    </w:p>
  </w:footnote>
  <w:footnote w:id="14">
    <w:p w:rsidR="0034154B" w:rsidRPr="001060BD" w:rsidRDefault="001060BD">
      <w:pPr>
        <w:pStyle w:val="FootnoteText"/>
        <w:rPr>
          <w:sz w:val="20"/>
          <w:szCs w:val="20"/>
        </w:rPr>
      </w:pPr>
      <w:r w:rsidRPr="001060BD">
        <w:rPr>
          <w:sz w:val="20"/>
          <w:szCs w:val="20"/>
        </w:rPr>
        <w:footnoteRef/>
      </w:r>
      <w:r w:rsidRPr="001060BD">
        <w:rPr>
          <w:sz w:val="20"/>
          <w:szCs w:val="20"/>
        </w:rPr>
        <w:tab/>
      </w:r>
      <w:proofErr w:type="spellStart"/>
      <w:r w:rsidRPr="001060BD">
        <w:rPr>
          <w:sz w:val="20"/>
          <w:szCs w:val="20"/>
        </w:rPr>
        <w:t>Otros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ejemplos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recientes</w:t>
      </w:r>
      <w:proofErr w:type="spellEnd"/>
      <w:r w:rsidRPr="001060BD">
        <w:rPr>
          <w:sz w:val="20"/>
          <w:szCs w:val="20"/>
        </w:rPr>
        <w:t xml:space="preserve"> </w:t>
      </w:r>
      <w:proofErr w:type="spellStart"/>
      <w:r w:rsidRPr="001060BD">
        <w:rPr>
          <w:sz w:val="20"/>
          <w:szCs w:val="20"/>
        </w:rPr>
        <w:t>incluyen</w:t>
      </w:r>
      <w:proofErr w:type="spellEnd"/>
      <w:r w:rsidRPr="001060BD">
        <w:rPr>
          <w:sz w:val="20"/>
          <w:szCs w:val="20"/>
          <w:lang w:val="en-US"/>
        </w:rPr>
        <w:t xml:space="preserve">: </w:t>
      </w:r>
      <w:r w:rsidRPr="001060BD">
        <w:rPr>
          <w:rFonts w:cs="Arial"/>
          <w:i/>
          <w:sz w:val="20"/>
          <w:szCs w:val="20"/>
        </w:rPr>
        <w:t>Pacific Rim vs. El Salvador; Crystallex vs.</w:t>
      </w:r>
      <w:r w:rsidRPr="001060BD">
        <w:rPr>
          <w:rFonts w:cs="Arial"/>
          <w:sz w:val="20"/>
          <w:szCs w:val="20"/>
        </w:rPr>
        <w:t xml:space="preserve"> </w:t>
      </w:r>
      <w:r w:rsidRPr="001060BD">
        <w:rPr>
          <w:rFonts w:cs="Arial"/>
          <w:i/>
          <w:sz w:val="20"/>
          <w:szCs w:val="20"/>
        </w:rPr>
        <w:t>Venezuela</w:t>
      </w:r>
      <w:r w:rsidRPr="001060BD">
        <w:rPr>
          <w:rFonts w:cs="Arial"/>
          <w:sz w:val="20"/>
          <w:szCs w:val="20"/>
          <w:lang w:val="en-US"/>
        </w:rPr>
        <w:t xml:space="preserve">; </w:t>
      </w:r>
      <w:proofErr w:type="spellStart"/>
      <w:r w:rsidRPr="001060BD">
        <w:rPr>
          <w:rFonts w:cs="Arial"/>
          <w:i/>
          <w:sz w:val="20"/>
          <w:szCs w:val="20"/>
        </w:rPr>
        <w:t>Renco</w:t>
      </w:r>
      <w:proofErr w:type="spellEnd"/>
      <w:r w:rsidRPr="001060BD">
        <w:rPr>
          <w:rFonts w:cs="Arial"/>
          <w:i/>
          <w:sz w:val="20"/>
          <w:szCs w:val="20"/>
        </w:rPr>
        <w:t xml:space="preserve"> Group </w:t>
      </w:r>
      <w:proofErr w:type="spellStart"/>
      <w:r w:rsidRPr="001060BD">
        <w:rPr>
          <w:rFonts w:cs="Arial"/>
          <w:i/>
          <w:sz w:val="20"/>
          <w:szCs w:val="20"/>
        </w:rPr>
        <w:t>vs</w:t>
      </w:r>
      <w:proofErr w:type="spellEnd"/>
      <w:r w:rsidRPr="001060BD">
        <w:rPr>
          <w:rFonts w:cs="Arial"/>
          <w:i/>
          <w:sz w:val="20"/>
          <w:szCs w:val="20"/>
        </w:rPr>
        <w:t xml:space="preserve"> </w:t>
      </w:r>
      <w:proofErr w:type="spellStart"/>
      <w:r w:rsidRPr="001060BD">
        <w:rPr>
          <w:rFonts w:cs="Arial"/>
          <w:i/>
          <w:sz w:val="20"/>
          <w:szCs w:val="20"/>
        </w:rPr>
        <w:t>Perú</w:t>
      </w:r>
      <w:proofErr w:type="spellEnd"/>
      <w:r w:rsidRPr="001060BD">
        <w:rPr>
          <w:rFonts w:cs="Arial"/>
          <w:i/>
          <w:sz w:val="20"/>
          <w:szCs w:val="20"/>
        </w:rPr>
        <w:t xml:space="preserve"> </w:t>
      </w:r>
      <w:r w:rsidRPr="001060BD">
        <w:rPr>
          <w:rFonts w:cs="Arial"/>
          <w:sz w:val="20"/>
          <w:szCs w:val="20"/>
        </w:rPr>
        <w:t>y</w:t>
      </w:r>
      <w:r w:rsidRPr="001060BD">
        <w:rPr>
          <w:rFonts w:cs="Arial"/>
          <w:i/>
          <w:sz w:val="20"/>
          <w:szCs w:val="20"/>
        </w:rPr>
        <w:t xml:space="preserve"> Bear Creek </w:t>
      </w:r>
      <w:proofErr w:type="spellStart"/>
      <w:r w:rsidRPr="001060BD">
        <w:rPr>
          <w:rFonts w:cs="Arial"/>
          <w:i/>
          <w:sz w:val="20"/>
          <w:szCs w:val="20"/>
        </w:rPr>
        <w:t>vs</w:t>
      </w:r>
      <w:proofErr w:type="spellEnd"/>
      <w:r w:rsidRPr="001060BD">
        <w:rPr>
          <w:rFonts w:cs="Arial"/>
          <w:i/>
          <w:sz w:val="20"/>
          <w:szCs w:val="20"/>
        </w:rPr>
        <w:t xml:space="preserve"> </w:t>
      </w:r>
      <w:proofErr w:type="spellStart"/>
      <w:r w:rsidRPr="001060BD">
        <w:rPr>
          <w:rFonts w:cs="Arial"/>
          <w:i/>
          <w:sz w:val="20"/>
          <w:szCs w:val="20"/>
        </w:rPr>
        <w:t>Perú</w:t>
      </w:r>
      <w:proofErr w:type="spellEnd"/>
      <w:r w:rsidRPr="001060BD">
        <w:rPr>
          <w:rFonts w:cs="Arial"/>
          <w:i/>
          <w:sz w:val="20"/>
          <w:szCs w:val="20"/>
        </w:rPr>
        <w:t xml:space="preserve">; </w:t>
      </w:r>
      <w:proofErr w:type="spellStart"/>
      <w:r w:rsidRPr="001060BD">
        <w:rPr>
          <w:rFonts w:cs="Arial"/>
          <w:i/>
          <w:sz w:val="20"/>
          <w:szCs w:val="20"/>
        </w:rPr>
        <w:t>Infinito</w:t>
      </w:r>
      <w:proofErr w:type="spellEnd"/>
      <w:r w:rsidRPr="001060BD">
        <w:rPr>
          <w:rFonts w:cs="Arial"/>
          <w:i/>
          <w:sz w:val="20"/>
          <w:szCs w:val="20"/>
        </w:rPr>
        <w:t xml:space="preserve"> Gold vs. Costa Rica</w:t>
      </w:r>
      <w:r w:rsidRPr="001060BD">
        <w:rPr>
          <w:rFonts w:cs="Arial"/>
          <w:sz w:val="20"/>
          <w:szCs w:val="20"/>
        </w:rPr>
        <w:t xml:space="preserve">; </w:t>
      </w:r>
      <w:r w:rsidRPr="001060BD">
        <w:rPr>
          <w:rFonts w:cs="Arial"/>
          <w:bCs/>
          <w:i/>
          <w:sz w:val="20"/>
          <w:szCs w:val="20"/>
        </w:rPr>
        <w:t xml:space="preserve">Dominion Minerals vs. Panamá; TransCanada vs. </w:t>
      </w:r>
      <w:proofErr w:type="spellStart"/>
      <w:r w:rsidRPr="001060BD">
        <w:rPr>
          <w:rFonts w:cs="Arial"/>
          <w:bCs/>
          <w:i/>
          <w:sz w:val="20"/>
          <w:szCs w:val="20"/>
        </w:rPr>
        <w:t>Estados</w:t>
      </w:r>
      <w:proofErr w:type="spellEnd"/>
      <w:r w:rsidRPr="001060BD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1060BD">
        <w:rPr>
          <w:rFonts w:cs="Arial"/>
          <w:bCs/>
          <w:i/>
          <w:sz w:val="20"/>
          <w:szCs w:val="20"/>
        </w:rPr>
        <w:t>Unidos</w:t>
      </w:r>
      <w:proofErr w:type="spellEnd"/>
      <w:r w:rsidRPr="001060BD">
        <w:rPr>
          <w:rFonts w:cs="Arial"/>
          <w:bCs/>
          <w:i/>
          <w:sz w:val="20"/>
          <w:szCs w:val="20"/>
        </w:rPr>
        <w:t xml:space="preserve">; </w:t>
      </w:r>
      <w:r w:rsidRPr="001060BD">
        <w:rPr>
          <w:rFonts w:cs="Arial"/>
          <w:i/>
          <w:sz w:val="20"/>
          <w:szCs w:val="20"/>
        </w:rPr>
        <w:t xml:space="preserve">Lone Pine vs. </w:t>
      </w:r>
      <w:proofErr w:type="spellStart"/>
      <w:r w:rsidRPr="001060BD">
        <w:rPr>
          <w:rFonts w:cs="Arial"/>
          <w:i/>
          <w:sz w:val="20"/>
          <w:szCs w:val="20"/>
        </w:rPr>
        <w:t>Canadá</w:t>
      </w:r>
      <w:proofErr w:type="spellEnd"/>
      <w:r w:rsidRPr="001060BD">
        <w:rPr>
          <w:rFonts w:cs="Arial"/>
          <w:i/>
          <w:sz w:val="20"/>
          <w:szCs w:val="20"/>
        </w:rPr>
        <w:t xml:space="preserve"> ; </w:t>
      </w:r>
      <w:proofErr w:type="spellStart"/>
      <w:r w:rsidRPr="001060BD">
        <w:rPr>
          <w:rFonts w:cs="Arial"/>
          <w:i/>
          <w:sz w:val="20"/>
          <w:szCs w:val="20"/>
        </w:rPr>
        <w:t>Bilcon</w:t>
      </w:r>
      <w:proofErr w:type="spellEnd"/>
      <w:r w:rsidRPr="001060BD">
        <w:rPr>
          <w:rFonts w:cs="Arial"/>
          <w:i/>
          <w:sz w:val="20"/>
          <w:szCs w:val="20"/>
        </w:rPr>
        <w:t xml:space="preserve"> vs. </w:t>
      </w:r>
      <w:proofErr w:type="spellStart"/>
      <w:r w:rsidRPr="001060BD">
        <w:rPr>
          <w:rFonts w:cs="Arial"/>
          <w:i/>
          <w:sz w:val="20"/>
          <w:szCs w:val="20"/>
        </w:rPr>
        <w:t>Canadá</w:t>
      </w:r>
      <w:proofErr w:type="spellEnd"/>
      <w:r w:rsidRPr="001060BD">
        <w:rPr>
          <w:rFonts w:cs="Arial"/>
          <w:i/>
          <w:sz w:val="20"/>
          <w:szCs w:val="20"/>
        </w:rPr>
        <w:t xml:space="preserve"> ; y </w:t>
      </w:r>
      <w:proofErr w:type="spellStart"/>
      <w:r w:rsidRPr="001060BD">
        <w:rPr>
          <w:rFonts w:cs="Arial"/>
          <w:i/>
          <w:sz w:val="20"/>
          <w:szCs w:val="20"/>
        </w:rPr>
        <w:t>Glencore</w:t>
      </w:r>
      <w:proofErr w:type="spellEnd"/>
      <w:r w:rsidRPr="001060BD">
        <w:rPr>
          <w:rFonts w:cs="Arial"/>
          <w:i/>
          <w:sz w:val="20"/>
          <w:szCs w:val="20"/>
        </w:rPr>
        <w:t xml:space="preserve"> vs.</w:t>
      </w:r>
      <w:r w:rsidRPr="001060BD">
        <w:rPr>
          <w:rFonts w:cs="Arial"/>
          <w:sz w:val="20"/>
          <w:szCs w:val="20"/>
        </w:rPr>
        <w:t xml:space="preserve"> </w:t>
      </w:r>
      <w:r w:rsidRPr="001060BD">
        <w:rPr>
          <w:rFonts w:cs="Arial"/>
          <w:i/>
          <w:sz w:val="20"/>
          <w:szCs w:val="20"/>
        </w:rPr>
        <w:t>Colombia.</w:t>
      </w:r>
    </w:p>
  </w:footnote>
  <w:footnote w:id="15">
    <w:p w:rsidR="0034154B" w:rsidRPr="001060BD" w:rsidRDefault="001060BD">
      <w:pPr>
        <w:pStyle w:val="FootnoteText"/>
        <w:rPr>
          <w:sz w:val="20"/>
          <w:szCs w:val="20"/>
        </w:rPr>
      </w:pPr>
      <w:r w:rsidRPr="001060BD">
        <w:rPr>
          <w:rStyle w:val="FootnoteReference"/>
          <w:sz w:val="20"/>
          <w:szCs w:val="20"/>
        </w:rPr>
        <w:footnoteRef/>
      </w:r>
      <w:r w:rsidRPr="001060BD">
        <w:rPr>
          <w:rStyle w:val="FootnoteReference"/>
          <w:sz w:val="20"/>
          <w:szCs w:val="20"/>
        </w:rPr>
        <w:tab/>
      </w:r>
      <w:r w:rsidRPr="001060BD">
        <w:rPr>
          <w:sz w:val="20"/>
          <w:szCs w:val="20"/>
        </w:rPr>
        <w:t>https://business-humanrights.org/en/copper-mesa-mining-lawsuit-re-ecuador</w:t>
      </w:r>
    </w:p>
  </w:footnote>
  <w:footnote w:id="16">
    <w:p w:rsidR="0034154B" w:rsidRDefault="001060BD">
      <w:pPr>
        <w:pStyle w:val="FootnoteText"/>
      </w:pPr>
      <w:r w:rsidRPr="001060BD">
        <w:rPr>
          <w:rStyle w:val="FootnoteReference"/>
          <w:sz w:val="20"/>
          <w:szCs w:val="20"/>
        </w:rPr>
        <w:footnoteRef/>
      </w:r>
      <w:r w:rsidRPr="001060BD">
        <w:rPr>
          <w:rStyle w:val="FootnoteReference"/>
          <w:sz w:val="20"/>
          <w:szCs w:val="20"/>
        </w:rPr>
        <w:tab/>
      </w:r>
      <w:r w:rsidRPr="001060BD">
        <w:rPr>
          <w:sz w:val="20"/>
          <w:szCs w:val="20"/>
        </w:rPr>
        <w:t>http://www.italaw.com/sites/default/files/case-d</w:t>
      </w:r>
      <w:r w:rsidRPr="001060BD">
        <w:rPr>
          <w:sz w:val="20"/>
          <w:szCs w:val="20"/>
        </w:rPr>
        <w:t>ocuments/italaw7443.pdf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507"/>
    <w:multiLevelType w:val="multilevel"/>
    <w:tmpl w:val="3618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">
    <w:nsid w:val="3AA17D83"/>
    <w:multiLevelType w:val="multilevel"/>
    <w:tmpl w:val="CF769FB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pacing w:val="-1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5C1632"/>
    <w:multiLevelType w:val="multilevel"/>
    <w:tmpl w:val="7BDC2F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591F20"/>
    <w:multiLevelType w:val="multilevel"/>
    <w:tmpl w:val="6A94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  <w:lang w:val="es-E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  <w:szCs w:val="20"/>
        <w:lang w:val="es-E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  <w:szCs w:val="20"/>
        <w:lang w:val="es-E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  <w:lang w:val="es-E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0"/>
        <w:szCs w:val="20"/>
        <w:lang w:val="es-E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0"/>
        <w:szCs w:val="20"/>
        <w:lang w:val="es-E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  <w:lang w:val="es-E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0"/>
        <w:szCs w:val="20"/>
        <w:lang w:val="es-E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0"/>
        <w:szCs w:val="20"/>
        <w:lang w:val="es-ES"/>
      </w:rPr>
    </w:lvl>
  </w:abstractNum>
  <w:abstractNum w:abstractNumId="4">
    <w:nsid w:val="60C40B07"/>
    <w:multiLevelType w:val="multilevel"/>
    <w:tmpl w:val="8EDC190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F180E91"/>
    <w:multiLevelType w:val="multilevel"/>
    <w:tmpl w:val="28F46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154B"/>
    <w:rsid w:val="001060BD"/>
    <w:rsid w:val="003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fr-CH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4B"/>
    <w:pPr>
      <w:suppressAutoHyphens/>
    </w:pPr>
    <w:rPr>
      <w:rFonts w:ascii="Times New Roman" w:eastAsia="Times New Roman" w:hAnsi="Times New Roman" w:cs="Times New Roman"/>
      <w:color w:val="00000A"/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34154B"/>
  </w:style>
  <w:style w:type="character" w:customStyle="1" w:styleId="WW8Num1z1">
    <w:name w:val="WW8Num1z1"/>
    <w:qFormat/>
    <w:rsid w:val="0034154B"/>
  </w:style>
  <w:style w:type="character" w:customStyle="1" w:styleId="WW8Num1z2">
    <w:name w:val="WW8Num1z2"/>
    <w:qFormat/>
    <w:rsid w:val="0034154B"/>
  </w:style>
  <w:style w:type="character" w:customStyle="1" w:styleId="WW8Num1z3">
    <w:name w:val="WW8Num1z3"/>
    <w:qFormat/>
    <w:rsid w:val="0034154B"/>
  </w:style>
  <w:style w:type="character" w:customStyle="1" w:styleId="WW8Num1z4">
    <w:name w:val="WW8Num1z4"/>
    <w:qFormat/>
    <w:rsid w:val="0034154B"/>
  </w:style>
  <w:style w:type="character" w:customStyle="1" w:styleId="WW8Num1z5">
    <w:name w:val="WW8Num1z5"/>
    <w:qFormat/>
    <w:rsid w:val="0034154B"/>
  </w:style>
  <w:style w:type="character" w:customStyle="1" w:styleId="WW8Num1z6">
    <w:name w:val="WW8Num1z6"/>
    <w:qFormat/>
    <w:rsid w:val="0034154B"/>
  </w:style>
  <w:style w:type="character" w:customStyle="1" w:styleId="WW8Num1z7">
    <w:name w:val="WW8Num1z7"/>
    <w:qFormat/>
    <w:rsid w:val="0034154B"/>
  </w:style>
  <w:style w:type="character" w:customStyle="1" w:styleId="WW8Num1z8">
    <w:name w:val="WW8Num1z8"/>
    <w:qFormat/>
    <w:rsid w:val="0034154B"/>
  </w:style>
  <w:style w:type="character" w:customStyle="1" w:styleId="WW8Num2z0">
    <w:name w:val="WW8Num2z0"/>
    <w:qFormat/>
    <w:rsid w:val="0034154B"/>
    <w:rPr>
      <w:rFonts w:ascii="Courier New" w:hAnsi="Courier New" w:cs="Courier New"/>
      <w:spacing w:val="-12"/>
      <w:sz w:val="22"/>
      <w:szCs w:val="22"/>
    </w:rPr>
  </w:style>
  <w:style w:type="character" w:customStyle="1" w:styleId="WW8Num3z0">
    <w:name w:val="WW8Num3z0"/>
    <w:qFormat/>
    <w:rsid w:val="0034154B"/>
    <w:rPr>
      <w:rFonts w:ascii="Courier New" w:hAnsi="Courier New" w:cs="Courier New"/>
      <w:sz w:val="22"/>
      <w:szCs w:val="22"/>
    </w:rPr>
  </w:style>
  <w:style w:type="character" w:customStyle="1" w:styleId="WW8Num4z0">
    <w:name w:val="WW8Num4z0"/>
    <w:qFormat/>
    <w:rsid w:val="0034154B"/>
  </w:style>
  <w:style w:type="character" w:customStyle="1" w:styleId="WW8Num4z1">
    <w:name w:val="WW8Num4z1"/>
    <w:qFormat/>
    <w:rsid w:val="0034154B"/>
  </w:style>
  <w:style w:type="character" w:customStyle="1" w:styleId="WW8Num4z2">
    <w:name w:val="WW8Num4z2"/>
    <w:qFormat/>
    <w:rsid w:val="0034154B"/>
  </w:style>
  <w:style w:type="character" w:customStyle="1" w:styleId="WW8Num4z3">
    <w:name w:val="WW8Num4z3"/>
    <w:qFormat/>
    <w:rsid w:val="0034154B"/>
  </w:style>
  <w:style w:type="character" w:customStyle="1" w:styleId="WW8Num4z4">
    <w:name w:val="WW8Num4z4"/>
    <w:qFormat/>
    <w:rsid w:val="0034154B"/>
  </w:style>
  <w:style w:type="character" w:customStyle="1" w:styleId="WW8Num4z5">
    <w:name w:val="WW8Num4z5"/>
    <w:qFormat/>
    <w:rsid w:val="0034154B"/>
  </w:style>
  <w:style w:type="character" w:customStyle="1" w:styleId="WW8Num4z6">
    <w:name w:val="WW8Num4z6"/>
    <w:qFormat/>
    <w:rsid w:val="0034154B"/>
  </w:style>
  <w:style w:type="character" w:customStyle="1" w:styleId="WW8Num4z7">
    <w:name w:val="WW8Num4z7"/>
    <w:qFormat/>
    <w:rsid w:val="0034154B"/>
  </w:style>
  <w:style w:type="character" w:customStyle="1" w:styleId="WW8Num4z8">
    <w:name w:val="WW8Num4z8"/>
    <w:qFormat/>
    <w:rsid w:val="0034154B"/>
  </w:style>
  <w:style w:type="character" w:customStyle="1" w:styleId="WW8Num5z0">
    <w:name w:val="WW8Num5z0"/>
    <w:qFormat/>
    <w:rsid w:val="0034154B"/>
  </w:style>
  <w:style w:type="character" w:customStyle="1" w:styleId="WW8Num5z1">
    <w:name w:val="WW8Num5z1"/>
    <w:qFormat/>
    <w:rsid w:val="0034154B"/>
  </w:style>
  <w:style w:type="character" w:customStyle="1" w:styleId="WW8Num5z2">
    <w:name w:val="WW8Num5z2"/>
    <w:qFormat/>
    <w:rsid w:val="0034154B"/>
  </w:style>
  <w:style w:type="character" w:customStyle="1" w:styleId="WW8Num5z3">
    <w:name w:val="WW8Num5z3"/>
    <w:qFormat/>
    <w:rsid w:val="0034154B"/>
  </w:style>
  <w:style w:type="character" w:customStyle="1" w:styleId="WW8Num5z4">
    <w:name w:val="WW8Num5z4"/>
    <w:qFormat/>
    <w:rsid w:val="0034154B"/>
  </w:style>
  <w:style w:type="character" w:customStyle="1" w:styleId="WW8Num5z5">
    <w:name w:val="WW8Num5z5"/>
    <w:qFormat/>
    <w:rsid w:val="0034154B"/>
  </w:style>
  <w:style w:type="character" w:customStyle="1" w:styleId="WW8Num5z6">
    <w:name w:val="WW8Num5z6"/>
    <w:qFormat/>
    <w:rsid w:val="0034154B"/>
  </w:style>
  <w:style w:type="character" w:customStyle="1" w:styleId="WW8Num5z7">
    <w:name w:val="WW8Num5z7"/>
    <w:qFormat/>
    <w:rsid w:val="0034154B"/>
  </w:style>
  <w:style w:type="character" w:customStyle="1" w:styleId="WW8Num5z8">
    <w:name w:val="WW8Num5z8"/>
    <w:qFormat/>
    <w:rsid w:val="0034154B"/>
  </w:style>
  <w:style w:type="character" w:customStyle="1" w:styleId="WW8Num6z0">
    <w:name w:val="WW8Num6z0"/>
    <w:qFormat/>
    <w:rsid w:val="0034154B"/>
    <w:rPr>
      <w:rFonts w:ascii="Symbol" w:hAnsi="Symbol" w:cs="OpenSymbol"/>
      <w:sz w:val="20"/>
      <w:szCs w:val="20"/>
      <w:lang w:val="es-ES"/>
    </w:rPr>
  </w:style>
  <w:style w:type="character" w:customStyle="1" w:styleId="WW8Num3z1">
    <w:name w:val="WW8Num3z1"/>
    <w:qFormat/>
    <w:rsid w:val="0034154B"/>
  </w:style>
  <w:style w:type="character" w:customStyle="1" w:styleId="WW8Num3z2">
    <w:name w:val="WW8Num3z2"/>
    <w:qFormat/>
    <w:rsid w:val="0034154B"/>
  </w:style>
  <w:style w:type="character" w:customStyle="1" w:styleId="WW8Num3z3">
    <w:name w:val="WW8Num3z3"/>
    <w:qFormat/>
    <w:rsid w:val="0034154B"/>
  </w:style>
  <w:style w:type="character" w:customStyle="1" w:styleId="WW8Num3z4">
    <w:name w:val="WW8Num3z4"/>
    <w:qFormat/>
    <w:rsid w:val="0034154B"/>
  </w:style>
  <w:style w:type="character" w:customStyle="1" w:styleId="WW8Num3z5">
    <w:name w:val="WW8Num3z5"/>
    <w:qFormat/>
    <w:rsid w:val="0034154B"/>
  </w:style>
  <w:style w:type="character" w:customStyle="1" w:styleId="WW8Num3z6">
    <w:name w:val="WW8Num3z6"/>
    <w:qFormat/>
    <w:rsid w:val="0034154B"/>
  </w:style>
  <w:style w:type="character" w:customStyle="1" w:styleId="WW8Num3z7">
    <w:name w:val="WW8Num3z7"/>
    <w:qFormat/>
    <w:rsid w:val="0034154B"/>
  </w:style>
  <w:style w:type="character" w:customStyle="1" w:styleId="WW8Num3z8">
    <w:name w:val="WW8Num3z8"/>
    <w:qFormat/>
    <w:rsid w:val="0034154B"/>
  </w:style>
  <w:style w:type="character" w:customStyle="1" w:styleId="WW8Num6z1">
    <w:name w:val="WW8Num6z1"/>
    <w:qFormat/>
    <w:rsid w:val="0034154B"/>
  </w:style>
  <w:style w:type="character" w:customStyle="1" w:styleId="WW8Num6z2">
    <w:name w:val="WW8Num6z2"/>
    <w:qFormat/>
    <w:rsid w:val="0034154B"/>
  </w:style>
  <w:style w:type="character" w:customStyle="1" w:styleId="WW8Num6z3">
    <w:name w:val="WW8Num6z3"/>
    <w:qFormat/>
    <w:rsid w:val="0034154B"/>
  </w:style>
  <w:style w:type="character" w:customStyle="1" w:styleId="WW8Num6z4">
    <w:name w:val="WW8Num6z4"/>
    <w:qFormat/>
    <w:rsid w:val="0034154B"/>
  </w:style>
  <w:style w:type="character" w:customStyle="1" w:styleId="WW8Num6z5">
    <w:name w:val="WW8Num6z5"/>
    <w:qFormat/>
    <w:rsid w:val="0034154B"/>
  </w:style>
  <w:style w:type="character" w:customStyle="1" w:styleId="WW8Num6z6">
    <w:name w:val="WW8Num6z6"/>
    <w:qFormat/>
    <w:rsid w:val="0034154B"/>
  </w:style>
  <w:style w:type="character" w:customStyle="1" w:styleId="WW8Num6z7">
    <w:name w:val="WW8Num6z7"/>
    <w:qFormat/>
    <w:rsid w:val="0034154B"/>
  </w:style>
  <w:style w:type="character" w:customStyle="1" w:styleId="WW8Num6z8">
    <w:name w:val="WW8Num6z8"/>
    <w:qFormat/>
    <w:rsid w:val="0034154B"/>
  </w:style>
  <w:style w:type="character" w:customStyle="1" w:styleId="WW8Num2z2">
    <w:name w:val="WW8Num2z2"/>
    <w:qFormat/>
    <w:rsid w:val="0034154B"/>
    <w:rPr>
      <w:rFonts w:ascii="Wingdings" w:hAnsi="Wingdings" w:cs="Wingdings"/>
    </w:rPr>
  </w:style>
  <w:style w:type="character" w:customStyle="1" w:styleId="WW8Num2z3">
    <w:name w:val="WW8Num2z3"/>
    <w:qFormat/>
    <w:rsid w:val="0034154B"/>
    <w:rPr>
      <w:rFonts w:ascii="Symbol" w:hAnsi="Symbol" w:cs="Symbol"/>
    </w:rPr>
  </w:style>
  <w:style w:type="character" w:customStyle="1" w:styleId="WW-DefaultParagraphFont">
    <w:name w:val="WW-Default Paragraph Font"/>
    <w:qFormat/>
    <w:rsid w:val="0034154B"/>
  </w:style>
  <w:style w:type="character" w:customStyle="1" w:styleId="LienInternet">
    <w:name w:val="Lien Internet"/>
    <w:basedOn w:val="WW-DefaultParagraphFont"/>
    <w:rsid w:val="0034154B"/>
    <w:rPr>
      <w:color w:val="0000FF"/>
      <w:u w:val="single"/>
    </w:rPr>
  </w:style>
  <w:style w:type="character" w:customStyle="1" w:styleId="Accentuation">
    <w:name w:val="Accentuation"/>
    <w:basedOn w:val="WW-DefaultParagraphFont"/>
    <w:qFormat/>
    <w:rsid w:val="0034154B"/>
    <w:rPr>
      <w:i/>
      <w:iCs/>
    </w:rPr>
  </w:style>
  <w:style w:type="character" w:styleId="FootnoteReference">
    <w:name w:val="footnote reference"/>
    <w:basedOn w:val="WW-DefaultParagraphFont"/>
    <w:qFormat/>
    <w:rsid w:val="0034154B"/>
    <w:rPr>
      <w:vertAlign w:val="superscript"/>
    </w:rPr>
  </w:style>
  <w:style w:type="character" w:customStyle="1" w:styleId="Caractresdenotedebasdepage">
    <w:name w:val="Caractères de note de bas de page"/>
    <w:qFormat/>
    <w:rsid w:val="0034154B"/>
  </w:style>
  <w:style w:type="character" w:customStyle="1" w:styleId="Ancredenotedebasdepage">
    <w:name w:val="Ancre de note de bas de page"/>
    <w:qFormat/>
    <w:rsid w:val="0034154B"/>
    <w:rPr>
      <w:vertAlign w:val="superscript"/>
    </w:rPr>
  </w:style>
  <w:style w:type="character" w:customStyle="1" w:styleId="Caractresdenotedefin">
    <w:name w:val="Caractères de note de fin"/>
    <w:qFormat/>
    <w:rsid w:val="0034154B"/>
    <w:rPr>
      <w:vertAlign w:val="superscript"/>
    </w:rPr>
  </w:style>
  <w:style w:type="character" w:customStyle="1" w:styleId="WW-Caractresdenotedefin">
    <w:name w:val="WW-Caractères de note de fin"/>
    <w:qFormat/>
    <w:rsid w:val="0034154B"/>
  </w:style>
  <w:style w:type="character" w:customStyle="1" w:styleId="Ancredenotedefin">
    <w:name w:val="Ancre de note de fin"/>
    <w:qFormat/>
    <w:rsid w:val="0034154B"/>
    <w:rPr>
      <w:vertAlign w:val="superscript"/>
    </w:rPr>
  </w:style>
  <w:style w:type="character" w:customStyle="1" w:styleId="apple-converted-space">
    <w:name w:val="apple-converted-space"/>
    <w:basedOn w:val="WW-DefaultParagraphFont"/>
    <w:qFormat/>
    <w:rsid w:val="0034154B"/>
  </w:style>
  <w:style w:type="character" w:customStyle="1" w:styleId="Puces">
    <w:name w:val="Puces"/>
    <w:qFormat/>
    <w:rsid w:val="0034154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34154B"/>
    <w:rPr>
      <w:rFonts w:ascii="Arial Narrow" w:hAnsi="Arial Narrow" w:cs="Courier New"/>
      <w:b/>
      <w:spacing w:val="-12"/>
      <w:sz w:val="22"/>
      <w:szCs w:val="22"/>
    </w:rPr>
  </w:style>
  <w:style w:type="character" w:customStyle="1" w:styleId="ListLabel2">
    <w:name w:val="ListLabel 2"/>
    <w:qFormat/>
    <w:rsid w:val="0034154B"/>
    <w:rPr>
      <w:rFonts w:ascii="Arial Narrow" w:hAnsi="Arial Narrow" w:cs="Courier New"/>
      <w:sz w:val="22"/>
      <w:szCs w:val="22"/>
    </w:rPr>
  </w:style>
  <w:style w:type="character" w:customStyle="1" w:styleId="ListLabel3">
    <w:name w:val="ListLabel 3"/>
    <w:qFormat/>
    <w:rsid w:val="0034154B"/>
    <w:rPr>
      <w:rFonts w:cs="OpenSymbol"/>
      <w:sz w:val="20"/>
      <w:szCs w:val="20"/>
      <w:lang w:val="es-ES"/>
    </w:rPr>
  </w:style>
  <w:style w:type="character" w:customStyle="1" w:styleId="ListLabel4">
    <w:name w:val="ListLabel 4"/>
    <w:qFormat/>
    <w:rsid w:val="0034154B"/>
    <w:rPr>
      <w:rFonts w:cs="OpenSymbol"/>
      <w:sz w:val="20"/>
      <w:szCs w:val="20"/>
      <w:lang w:val="es-ES"/>
    </w:rPr>
  </w:style>
  <w:style w:type="character" w:customStyle="1" w:styleId="ListLabel5">
    <w:name w:val="ListLabel 5"/>
    <w:qFormat/>
    <w:rsid w:val="0034154B"/>
    <w:rPr>
      <w:rFonts w:cs="OpenSymbol"/>
      <w:sz w:val="20"/>
      <w:szCs w:val="20"/>
      <w:lang w:val="es-ES"/>
    </w:rPr>
  </w:style>
  <w:style w:type="character" w:customStyle="1" w:styleId="ListLabel6">
    <w:name w:val="ListLabel 6"/>
    <w:qFormat/>
    <w:rsid w:val="0034154B"/>
    <w:rPr>
      <w:rFonts w:cs="OpenSymbol"/>
      <w:sz w:val="20"/>
      <w:szCs w:val="20"/>
      <w:lang w:val="es-ES"/>
    </w:rPr>
  </w:style>
  <w:style w:type="character" w:customStyle="1" w:styleId="ListLabel7">
    <w:name w:val="ListLabel 7"/>
    <w:qFormat/>
    <w:rsid w:val="0034154B"/>
    <w:rPr>
      <w:rFonts w:cs="OpenSymbol"/>
      <w:sz w:val="20"/>
      <w:szCs w:val="20"/>
      <w:lang w:val="es-ES"/>
    </w:rPr>
  </w:style>
  <w:style w:type="character" w:customStyle="1" w:styleId="ListLabel8">
    <w:name w:val="ListLabel 8"/>
    <w:qFormat/>
    <w:rsid w:val="0034154B"/>
    <w:rPr>
      <w:rFonts w:cs="OpenSymbol"/>
      <w:sz w:val="20"/>
      <w:szCs w:val="20"/>
      <w:lang w:val="es-ES"/>
    </w:rPr>
  </w:style>
  <w:style w:type="character" w:customStyle="1" w:styleId="ListLabel9">
    <w:name w:val="ListLabel 9"/>
    <w:qFormat/>
    <w:rsid w:val="0034154B"/>
    <w:rPr>
      <w:rFonts w:cs="OpenSymbol"/>
      <w:sz w:val="20"/>
      <w:szCs w:val="20"/>
      <w:lang w:val="es-ES"/>
    </w:rPr>
  </w:style>
  <w:style w:type="character" w:customStyle="1" w:styleId="ListLabel10">
    <w:name w:val="ListLabel 10"/>
    <w:qFormat/>
    <w:rsid w:val="0034154B"/>
    <w:rPr>
      <w:rFonts w:cs="OpenSymbol"/>
      <w:sz w:val="20"/>
      <w:szCs w:val="20"/>
      <w:lang w:val="es-ES"/>
    </w:rPr>
  </w:style>
  <w:style w:type="character" w:customStyle="1" w:styleId="ListLabel11">
    <w:name w:val="ListLabel 11"/>
    <w:qFormat/>
    <w:rsid w:val="0034154B"/>
    <w:rPr>
      <w:rFonts w:cs="OpenSymbol"/>
      <w:sz w:val="20"/>
      <w:szCs w:val="20"/>
      <w:lang w:val="es-ES"/>
    </w:rPr>
  </w:style>
  <w:style w:type="character" w:customStyle="1" w:styleId="ListLabel12">
    <w:name w:val="ListLabel 12"/>
    <w:qFormat/>
    <w:rsid w:val="0034154B"/>
    <w:rPr>
      <w:rFonts w:cs="Courier New"/>
      <w:b/>
      <w:spacing w:val="-12"/>
      <w:sz w:val="22"/>
      <w:szCs w:val="22"/>
    </w:rPr>
  </w:style>
  <w:style w:type="character" w:customStyle="1" w:styleId="ListLabel13">
    <w:name w:val="ListLabel 13"/>
    <w:qFormat/>
    <w:rsid w:val="0034154B"/>
    <w:rPr>
      <w:rFonts w:ascii="Arial Narrow" w:hAnsi="Arial Narrow" w:cs="Courier New"/>
      <w:sz w:val="22"/>
      <w:szCs w:val="22"/>
    </w:rPr>
  </w:style>
  <w:style w:type="character" w:customStyle="1" w:styleId="ListLabel14">
    <w:name w:val="ListLabel 14"/>
    <w:qFormat/>
    <w:rsid w:val="0034154B"/>
    <w:rPr>
      <w:rFonts w:cs="OpenSymbol"/>
      <w:sz w:val="20"/>
      <w:szCs w:val="20"/>
      <w:lang w:val="es-ES"/>
    </w:rPr>
  </w:style>
  <w:style w:type="character" w:customStyle="1" w:styleId="ListLabel15">
    <w:name w:val="ListLabel 15"/>
    <w:qFormat/>
    <w:rsid w:val="0034154B"/>
    <w:rPr>
      <w:rFonts w:cs="OpenSymbol"/>
      <w:sz w:val="20"/>
      <w:szCs w:val="20"/>
      <w:lang w:val="es-ES"/>
    </w:rPr>
  </w:style>
  <w:style w:type="character" w:customStyle="1" w:styleId="ListLabel16">
    <w:name w:val="ListLabel 16"/>
    <w:qFormat/>
    <w:rsid w:val="0034154B"/>
    <w:rPr>
      <w:rFonts w:cs="OpenSymbol"/>
      <w:sz w:val="20"/>
      <w:szCs w:val="20"/>
      <w:lang w:val="es-ES"/>
    </w:rPr>
  </w:style>
  <w:style w:type="character" w:customStyle="1" w:styleId="ListLabel17">
    <w:name w:val="ListLabel 17"/>
    <w:qFormat/>
    <w:rsid w:val="0034154B"/>
    <w:rPr>
      <w:rFonts w:cs="OpenSymbol"/>
      <w:sz w:val="20"/>
      <w:szCs w:val="20"/>
      <w:lang w:val="es-ES"/>
    </w:rPr>
  </w:style>
  <w:style w:type="character" w:customStyle="1" w:styleId="ListLabel18">
    <w:name w:val="ListLabel 18"/>
    <w:qFormat/>
    <w:rsid w:val="0034154B"/>
    <w:rPr>
      <w:rFonts w:cs="OpenSymbol"/>
      <w:sz w:val="20"/>
      <w:szCs w:val="20"/>
      <w:lang w:val="es-ES"/>
    </w:rPr>
  </w:style>
  <w:style w:type="character" w:customStyle="1" w:styleId="ListLabel19">
    <w:name w:val="ListLabel 19"/>
    <w:qFormat/>
    <w:rsid w:val="0034154B"/>
    <w:rPr>
      <w:rFonts w:cs="OpenSymbol"/>
      <w:sz w:val="20"/>
      <w:szCs w:val="20"/>
      <w:lang w:val="es-ES"/>
    </w:rPr>
  </w:style>
  <w:style w:type="character" w:customStyle="1" w:styleId="ListLabel20">
    <w:name w:val="ListLabel 20"/>
    <w:qFormat/>
    <w:rsid w:val="0034154B"/>
    <w:rPr>
      <w:rFonts w:cs="OpenSymbol"/>
      <w:sz w:val="20"/>
      <w:szCs w:val="20"/>
      <w:lang w:val="es-ES"/>
    </w:rPr>
  </w:style>
  <w:style w:type="character" w:customStyle="1" w:styleId="ListLabel21">
    <w:name w:val="ListLabel 21"/>
    <w:qFormat/>
    <w:rsid w:val="0034154B"/>
    <w:rPr>
      <w:rFonts w:cs="OpenSymbol"/>
      <w:sz w:val="20"/>
      <w:szCs w:val="20"/>
      <w:lang w:val="es-ES"/>
    </w:rPr>
  </w:style>
  <w:style w:type="character" w:customStyle="1" w:styleId="ListLabel22">
    <w:name w:val="ListLabel 22"/>
    <w:qFormat/>
    <w:rsid w:val="0034154B"/>
    <w:rPr>
      <w:rFonts w:cs="OpenSymbol"/>
      <w:sz w:val="20"/>
      <w:szCs w:val="20"/>
      <w:lang w:val="es-ES"/>
    </w:rPr>
  </w:style>
  <w:style w:type="paragraph" w:customStyle="1" w:styleId="Titre">
    <w:name w:val="Titre"/>
    <w:basedOn w:val="Normal"/>
    <w:next w:val="BodyText"/>
    <w:qFormat/>
    <w:rsid w:val="003415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4154B"/>
    <w:pPr>
      <w:spacing w:after="140" w:line="288" w:lineRule="auto"/>
    </w:pPr>
  </w:style>
  <w:style w:type="paragraph" w:styleId="List">
    <w:name w:val="List"/>
    <w:basedOn w:val="BodyText"/>
    <w:rsid w:val="0034154B"/>
    <w:rPr>
      <w:rFonts w:cs="Mangal"/>
    </w:rPr>
  </w:style>
  <w:style w:type="paragraph" w:styleId="Caption">
    <w:name w:val="caption"/>
    <w:basedOn w:val="Normal"/>
    <w:qFormat/>
    <w:rsid w:val="0034154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34154B"/>
    <w:pPr>
      <w:suppressLineNumbers/>
    </w:pPr>
    <w:rPr>
      <w:rFonts w:cs="Mangal"/>
    </w:rPr>
  </w:style>
  <w:style w:type="paragraph" w:customStyle="1" w:styleId="sdfootnote">
    <w:name w:val="sdfootnote"/>
    <w:basedOn w:val="Normal"/>
    <w:qFormat/>
    <w:rsid w:val="0034154B"/>
    <w:pPr>
      <w:spacing w:before="280"/>
      <w:ind w:left="340" w:hanging="340"/>
    </w:pPr>
    <w:rPr>
      <w:sz w:val="20"/>
      <w:szCs w:val="20"/>
      <w:lang w:val="fr-FR"/>
    </w:rPr>
  </w:style>
  <w:style w:type="paragraph" w:styleId="FootnoteText">
    <w:name w:val="footnote text"/>
    <w:basedOn w:val="Normal"/>
    <w:qFormat/>
    <w:rsid w:val="0034154B"/>
  </w:style>
  <w:style w:type="paragraph" w:customStyle="1" w:styleId="Standard">
    <w:name w:val="Standard"/>
    <w:qFormat/>
    <w:rsid w:val="0034154B"/>
    <w:pPr>
      <w:suppressAutoHyphens/>
    </w:pPr>
    <w:rPr>
      <w:rFonts w:eastAsia="SimSun;宋体"/>
      <w:color w:val="00000A"/>
      <w:sz w:val="24"/>
    </w:rPr>
  </w:style>
  <w:style w:type="paragraph" w:customStyle="1" w:styleId="Footnote">
    <w:name w:val="Footnote"/>
    <w:basedOn w:val="Standard"/>
    <w:qFormat/>
    <w:rsid w:val="0034154B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  <w:rsid w:val="0034154B"/>
  </w:style>
  <w:style w:type="numbering" w:customStyle="1" w:styleId="WW8Num2">
    <w:name w:val="WW8Num2"/>
    <w:qFormat/>
    <w:rsid w:val="0034154B"/>
  </w:style>
  <w:style w:type="numbering" w:customStyle="1" w:styleId="WW8Num3">
    <w:name w:val="WW8Num3"/>
    <w:qFormat/>
    <w:rsid w:val="0034154B"/>
  </w:style>
  <w:style w:type="numbering" w:customStyle="1" w:styleId="WW8Num4">
    <w:name w:val="WW8Num4"/>
    <w:qFormat/>
    <w:rsid w:val="0034154B"/>
  </w:style>
  <w:style w:type="numbering" w:customStyle="1" w:styleId="WW8Num5">
    <w:name w:val="WW8Num5"/>
    <w:qFormat/>
    <w:rsid w:val="0034154B"/>
  </w:style>
  <w:style w:type="numbering" w:customStyle="1" w:styleId="WW8Num6">
    <w:name w:val="WW8Num6"/>
    <w:qFormat/>
    <w:rsid w:val="0034154B"/>
  </w:style>
  <w:style w:type="paragraph" w:styleId="BalloonText">
    <w:name w:val="Balloon Text"/>
    <w:basedOn w:val="Normal"/>
    <w:link w:val="BalloonTextChar"/>
    <w:uiPriority w:val="99"/>
    <w:semiHidden/>
    <w:unhideWhenUsed/>
    <w:rsid w:val="00106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BD"/>
    <w:rPr>
      <w:rFonts w:ascii="Tahoma" w:eastAsia="Times New Roman" w:hAnsi="Tahoma" w:cs="Tahoma"/>
      <w:color w:val="00000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etim.ch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gwg-tncs@ohchr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B2EEA-7E9F-4E23-9521-3311C837F922}"/>
</file>

<file path=customXml/itemProps2.xml><?xml version="1.0" encoding="utf-8"?>
<ds:datastoreItem xmlns:ds="http://schemas.openxmlformats.org/officeDocument/2006/customXml" ds:itemID="{A7262577-FB03-47EA-B1C8-585E724EE3E6}"/>
</file>

<file path=customXml/itemProps3.xml><?xml version="1.0" encoding="utf-8"?>
<ds:datastoreItem xmlns:ds="http://schemas.openxmlformats.org/officeDocument/2006/customXml" ds:itemID="{229C35AF-F2E7-43AF-97A7-EC1A52CE73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1907</Words>
  <Characters>10494</Characters>
  <Application>Microsoft Office Word</Application>
  <DocSecurity>0</DocSecurity>
  <Lines>87</Lines>
  <Paragraphs>24</Paragraphs>
  <ScaleCrop>false</ScaleCrop>
  <Company>CETIM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in Word</dc:title>
  <dc:subject/>
  <dc:creator>OHCHR</dc:creator>
  <dc:description/>
  <cp:lastModifiedBy>Julie Duchatel</cp:lastModifiedBy>
  <cp:revision>7</cp:revision>
  <cp:lastPrinted>2016-10-05T19:28:00Z</cp:lastPrinted>
  <dcterms:created xsi:type="dcterms:W3CDTF">2016-09-30T14:45:00Z</dcterms:created>
  <dcterms:modified xsi:type="dcterms:W3CDTF">2016-10-06T16:39:00Z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itle">
    <vt:lpwstr/>
  </property>
  <property fmtid="{D5CDD505-2E9C-101B-9397-08002B2CF9AE}" pid="3" name="CHTitle">
    <vt:lpwstr/>
  </property>
  <property fmtid="{D5CDD505-2E9C-101B-9397-08002B2CF9AE}" pid="4" name="ContentType">
    <vt:lpwstr>Document</vt:lpwstr>
  </property>
  <property fmtid="{D5CDD505-2E9C-101B-9397-08002B2CF9AE}" pid="5" name="FRTitle">
    <vt:lpwstr/>
  </property>
  <property fmtid="{D5CDD505-2E9C-101B-9397-08002B2CF9AE}" pid="6" name="Order1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RUTitle">
    <vt:lpwstr/>
  </property>
  <property fmtid="{D5CDD505-2E9C-101B-9397-08002B2CF9AE}" pid="10" name="SPTitle">
    <vt:lpwstr/>
  </property>
  <property fmtid="{D5CDD505-2E9C-101B-9397-08002B2CF9AE}" pid="11" name="TemplateUrl">
    <vt:lpwstr/>
  </property>
  <property fmtid="{D5CDD505-2E9C-101B-9397-08002B2CF9AE}" pid="12" name="_SourceUrl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display_urn:schemas-microsoft-com:office:office#Editor">
    <vt:lpwstr>System Account</vt:lpwstr>
  </property>
  <property fmtid="{D5CDD505-2E9C-101B-9397-08002B2CF9AE}" pid="15" name="xd_ProgID">
    <vt:lpwstr/>
  </property>
  <property fmtid="{D5CDD505-2E9C-101B-9397-08002B2CF9AE}" pid="16" name="xd_Signature">
    <vt:lpwstr/>
  </property>
  <property fmtid="{D5CDD505-2E9C-101B-9397-08002B2CF9AE}" pid="17" name="ContentTypeId">
    <vt:lpwstr>0x0101008822B9E06671B54FA89F14538B9B0FEA</vt:lpwstr>
  </property>
  <property fmtid="{D5CDD505-2E9C-101B-9397-08002B2CF9AE}" pid="18" name="Order">
    <vt:r8>3790300</vt:r8>
  </property>
  <property fmtid="{D5CDD505-2E9C-101B-9397-08002B2CF9AE}" pid="20" name="_SharedFileIndex">
    <vt:lpwstr/>
  </property>
</Properties>
</file>