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3C" w:rsidRPr="005F6A3C" w:rsidRDefault="005F6A3C">
      <w:pPr>
        <w:rPr>
          <w:b/>
        </w:rPr>
      </w:pPr>
      <w:r w:rsidRPr="005F6A3C">
        <w:rPr>
          <w:b/>
        </w:rPr>
        <w:t>Women’s Representation on Inter-American Human Rights Organs and Mechanisms</w:t>
      </w:r>
    </w:p>
    <w:p w:rsidR="00957E58" w:rsidRPr="00957E58" w:rsidRDefault="00957E58">
      <w:pPr>
        <w:rPr>
          <w:sz w:val="8"/>
          <w:szCs w:val="8"/>
        </w:rPr>
      </w:pPr>
    </w:p>
    <w:p w:rsidR="00957E58" w:rsidRPr="0062173C" w:rsidRDefault="00957E58">
      <w:r w:rsidRPr="0062173C">
        <w:t xml:space="preserve">Alejandra Mora </w:t>
      </w:r>
      <w:proofErr w:type="spellStart"/>
      <w:r w:rsidRPr="0062173C">
        <w:t>Mora</w:t>
      </w:r>
      <w:proofErr w:type="spellEnd"/>
      <w:r w:rsidRPr="0062173C">
        <w:t>, Executive Secretary</w:t>
      </w:r>
    </w:p>
    <w:p w:rsidR="005F6A3C" w:rsidRDefault="00957E58">
      <w:r>
        <w:t>Inter-American Commission of Women, Organization of American States</w:t>
      </w:r>
    </w:p>
    <w:p w:rsidR="00957E58" w:rsidRDefault="00957E58" w:rsidP="00F65901">
      <w:pPr>
        <w:rPr>
          <w:rFonts w:cstheme="minorHAnsi"/>
          <w:b/>
        </w:rPr>
      </w:pPr>
    </w:p>
    <w:p w:rsidR="00957E58" w:rsidRDefault="00957E58" w:rsidP="00F65901">
      <w:pPr>
        <w:rPr>
          <w:rFonts w:cstheme="minorHAnsi"/>
          <w:b/>
        </w:rPr>
      </w:pPr>
    </w:p>
    <w:p w:rsidR="00957E58" w:rsidRDefault="00957E58" w:rsidP="00F65901">
      <w:pPr>
        <w:rPr>
          <w:rFonts w:cstheme="minorHAnsi"/>
          <w:b/>
        </w:rPr>
      </w:pPr>
      <w:r>
        <w:rPr>
          <w:rFonts w:cstheme="minorHAnsi"/>
          <w:b/>
        </w:rPr>
        <w:t>Background</w:t>
      </w:r>
    </w:p>
    <w:p w:rsidR="00957E58" w:rsidRPr="00957E58" w:rsidRDefault="00957E58" w:rsidP="00F65901">
      <w:pPr>
        <w:rPr>
          <w:rFonts w:cstheme="minorHAnsi"/>
          <w:b/>
        </w:rPr>
      </w:pPr>
    </w:p>
    <w:p w:rsidR="0013454F" w:rsidRDefault="00CB5BE1" w:rsidP="00F65901">
      <w:pPr>
        <w:rPr>
          <w:rFonts w:cstheme="minorHAnsi"/>
        </w:rPr>
      </w:pPr>
      <w:r>
        <w:rPr>
          <w:rFonts w:cstheme="minorHAnsi"/>
        </w:rPr>
        <w:t>Since its establishment, the Inter-American Human Rights System has made important strides in terms of including women’s participation and leadership and addressing gender equality and women’s rights issues.  Of particular note are the creation of the Inter-American Commission of Women (CIM) in 1928 and its alliance with the Organization of American States (OAS) in 1948</w:t>
      </w:r>
      <w:r w:rsidR="00E04367">
        <w:rPr>
          <w:rFonts w:cstheme="minorHAnsi"/>
        </w:rPr>
        <w:t>,</w:t>
      </w:r>
      <w:r w:rsidR="00F35263">
        <w:rPr>
          <w:rFonts w:cstheme="minorHAnsi"/>
        </w:rPr>
        <w:t xml:space="preserve"> and </w:t>
      </w:r>
      <w:r>
        <w:rPr>
          <w:rFonts w:cstheme="minorHAnsi"/>
        </w:rPr>
        <w:t>the adoption of specific instruments on women’s right to nationality (1933), civil and political rights (1948), and violence against women (1994</w:t>
      </w:r>
      <w:r w:rsidR="00F35263">
        <w:rPr>
          <w:rFonts w:cstheme="minorHAnsi"/>
        </w:rPr>
        <w:t>).</w:t>
      </w:r>
    </w:p>
    <w:p w:rsidR="002C4C24" w:rsidRPr="00F65901" w:rsidRDefault="002C4C24" w:rsidP="00F65901">
      <w:pPr>
        <w:rPr>
          <w:rFonts w:cstheme="minorHAnsi"/>
        </w:rPr>
      </w:pPr>
    </w:p>
    <w:p w:rsidR="00F35263" w:rsidRDefault="00F35263" w:rsidP="00F65901">
      <w:pPr>
        <w:pStyle w:val="Heading2"/>
        <w:spacing w:before="0" w:beforeAutospacing="0" w:after="0" w:afterAutospacing="0"/>
        <w:jc w:val="both"/>
        <w:rPr>
          <w:rFonts w:asciiTheme="minorHAnsi" w:hAnsiTheme="minorHAnsi" w:cstheme="minorHAnsi"/>
          <w:b w:val="0"/>
          <w:sz w:val="22"/>
          <w:szCs w:val="22"/>
        </w:rPr>
      </w:pPr>
      <w:proofErr w:type="gramStart"/>
      <w:r>
        <w:rPr>
          <w:rFonts w:asciiTheme="minorHAnsi" w:hAnsiTheme="minorHAnsi" w:cstheme="minorHAnsi"/>
          <w:b w:val="0"/>
          <w:sz w:val="22"/>
          <w:szCs w:val="22"/>
        </w:rPr>
        <w:t>Through the OAS, t</w:t>
      </w:r>
      <w:r w:rsidR="00373AA2" w:rsidRPr="00F65901">
        <w:rPr>
          <w:rFonts w:asciiTheme="minorHAnsi" w:hAnsiTheme="minorHAnsi" w:cstheme="minorHAnsi"/>
          <w:b w:val="0"/>
          <w:sz w:val="22"/>
          <w:szCs w:val="22"/>
        </w:rPr>
        <w:t xml:space="preserve">he </w:t>
      </w:r>
      <w:r>
        <w:rPr>
          <w:rFonts w:asciiTheme="minorHAnsi" w:hAnsiTheme="minorHAnsi" w:cstheme="minorHAnsi"/>
          <w:b w:val="0"/>
          <w:sz w:val="22"/>
          <w:szCs w:val="22"/>
        </w:rPr>
        <w:t>entities</w:t>
      </w:r>
      <w:r w:rsidR="00373AA2" w:rsidRPr="00F65901">
        <w:rPr>
          <w:rFonts w:asciiTheme="minorHAnsi" w:hAnsiTheme="minorHAnsi" w:cstheme="minorHAnsi"/>
          <w:b w:val="0"/>
          <w:sz w:val="22"/>
          <w:szCs w:val="22"/>
        </w:rPr>
        <w:t xml:space="preserve"> that make up the inter-American system</w:t>
      </w:r>
      <w:r w:rsidR="000739D7">
        <w:rPr>
          <w:rFonts w:asciiTheme="minorHAnsi" w:hAnsiTheme="minorHAnsi" w:cstheme="minorHAnsi"/>
          <w:b w:val="0"/>
          <w:sz w:val="22"/>
          <w:szCs w:val="22"/>
        </w:rPr>
        <w:t xml:space="preserve"> </w:t>
      </w:r>
      <w:r w:rsidR="004A4B2B">
        <w:rPr>
          <w:rFonts w:asciiTheme="minorHAnsi" w:hAnsiTheme="minorHAnsi" w:cstheme="minorHAnsi"/>
          <w:b w:val="0"/>
          <w:sz w:val="22"/>
          <w:szCs w:val="22"/>
        </w:rPr>
        <w:t xml:space="preserve">broadly </w:t>
      </w:r>
      <w:r w:rsidR="00373AA2" w:rsidRPr="00F65901">
        <w:rPr>
          <w:rFonts w:asciiTheme="minorHAnsi" w:hAnsiTheme="minorHAnsi" w:cstheme="minorHAnsi"/>
          <w:b w:val="0"/>
          <w:sz w:val="22"/>
          <w:szCs w:val="22"/>
        </w:rPr>
        <w:t>include:</w:t>
      </w:r>
      <w:r w:rsidR="00957E58">
        <w:rPr>
          <w:rStyle w:val="FootnoteReference"/>
          <w:rFonts w:asciiTheme="minorHAnsi" w:hAnsiTheme="minorHAnsi" w:cstheme="minorHAnsi"/>
          <w:b w:val="0"/>
          <w:sz w:val="22"/>
          <w:szCs w:val="22"/>
        </w:rPr>
        <w:footnoteReference w:id="1"/>
      </w:r>
      <w:r w:rsidR="00373AA2" w:rsidRPr="00F65901">
        <w:rPr>
          <w:rFonts w:asciiTheme="minorHAnsi" w:hAnsiTheme="minorHAnsi" w:cstheme="minorHAnsi"/>
          <w:b w:val="0"/>
          <w:sz w:val="22"/>
          <w:szCs w:val="22"/>
        </w:rPr>
        <w:t xml:space="preserve"> </w:t>
      </w:r>
      <w:r w:rsidR="00CB5BE1">
        <w:rPr>
          <w:rFonts w:asciiTheme="minorHAnsi" w:hAnsiTheme="minorHAnsi" w:cstheme="minorHAnsi"/>
          <w:b w:val="0"/>
          <w:sz w:val="22"/>
          <w:szCs w:val="22"/>
        </w:rPr>
        <w:t>the Inter-American Commission on Human Rights (</w:t>
      </w:r>
      <w:r w:rsidR="00373AA2" w:rsidRPr="00F65901">
        <w:rPr>
          <w:rFonts w:asciiTheme="minorHAnsi" w:hAnsiTheme="minorHAnsi" w:cstheme="minorHAnsi"/>
          <w:b w:val="0"/>
          <w:sz w:val="22"/>
          <w:szCs w:val="22"/>
        </w:rPr>
        <w:t>IACHR</w:t>
      </w:r>
      <w:r w:rsidR="00CB5BE1">
        <w:rPr>
          <w:rFonts w:asciiTheme="minorHAnsi" w:hAnsiTheme="minorHAnsi" w:cstheme="minorHAnsi"/>
          <w:b w:val="0"/>
          <w:sz w:val="22"/>
          <w:szCs w:val="22"/>
        </w:rPr>
        <w:t>)</w:t>
      </w:r>
      <w:r>
        <w:rPr>
          <w:rFonts w:asciiTheme="minorHAnsi" w:hAnsiTheme="minorHAnsi" w:cstheme="minorHAnsi"/>
          <w:b w:val="0"/>
          <w:sz w:val="22"/>
          <w:szCs w:val="22"/>
        </w:rPr>
        <w:t>,</w:t>
      </w:r>
      <w:r w:rsidR="00F65901">
        <w:rPr>
          <w:rStyle w:val="FootnoteReference"/>
          <w:rFonts w:asciiTheme="minorHAnsi" w:hAnsiTheme="minorHAnsi" w:cstheme="minorHAnsi"/>
          <w:b w:val="0"/>
          <w:sz w:val="22"/>
          <w:szCs w:val="22"/>
        </w:rPr>
        <w:footnoteReference w:id="2"/>
      </w:r>
      <w:r w:rsidR="00373AA2" w:rsidRPr="00F65901">
        <w:rPr>
          <w:rFonts w:asciiTheme="minorHAnsi" w:hAnsiTheme="minorHAnsi" w:cstheme="minorHAnsi"/>
          <w:b w:val="0"/>
          <w:sz w:val="22"/>
          <w:szCs w:val="22"/>
        </w:rPr>
        <w:t xml:space="preserve"> </w:t>
      </w:r>
      <w:r w:rsidR="00CB5BE1">
        <w:rPr>
          <w:rFonts w:asciiTheme="minorHAnsi" w:hAnsiTheme="minorHAnsi" w:cstheme="minorHAnsi"/>
          <w:b w:val="0"/>
          <w:sz w:val="22"/>
          <w:szCs w:val="22"/>
        </w:rPr>
        <w:t>the Inter-American Court of Human Rights (</w:t>
      </w:r>
      <w:r w:rsidR="00373AA2" w:rsidRPr="00F65901">
        <w:rPr>
          <w:rFonts w:asciiTheme="minorHAnsi" w:hAnsiTheme="minorHAnsi" w:cstheme="minorHAnsi"/>
          <w:b w:val="0"/>
          <w:sz w:val="22"/>
          <w:szCs w:val="22"/>
        </w:rPr>
        <w:t>I/A Court</w:t>
      </w:r>
      <w:r w:rsidR="00BF2E5E">
        <w:rPr>
          <w:rFonts w:asciiTheme="minorHAnsi" w:hAnsiTheme="minorHAnsi" w:cstheme="minorHAnsi"/>
          <w:b w:val="0"/>
          <w:sz w:val="22"/>
          <w:szCs w:val="22"/>
        </w:rPr>
        <w:t>)</w:t>
      </w:r>
      <w:r w:rsidR="00373AA2" w:rsidRPr="00F65901">
        <w:rPr>
          <w:rFonts w:asciiTheme="minorHAnsi" w:hAnsiTheme="minorHAnsi" w:cstheme="minorHAnsi"/>
          <w:b w:val="0"/>
          <w:sz w:val="22"/>
          <w:szCs w:val="22"/>
        </w:rPr>
        <w:t>,</w:t>
      </w:r>
      <w:r w:rsidR="00CB5BE1">
        <w:rPr>
          <w:rStyle w:val="FootnoteReference"/>
          <w:rFonts w:asciiTheme="minorHAnsi" w:hAnsiTheme="minorHAnsi" w:cstheme="minorHAnsi"/>
          <w:b w:val="0"/>
          <w:sz w:val="22"/>
          <w:szCs w:val="22"/>
        </w:rPr>
        <w:footnoteReference w:id="3"/>
      </w:r>
      <w:r w:rsidR="00373AA2" w:rsidRPr="00F65901">
        <w:rPr>
          <w:rFonts w:asciiTheme="minorHAnsi" w:hAnsiTheme="minorHAnsi" w:cstheme="minorHAnsi"/>
          <w:b w:val="0"/>
          <w:sz w:val="22"/>
          <w:szCs w:val="22"/>
        </w:rPr>
        <w:t xml:space="preserve"> </w:t>
      </w:r>
      <w:r>
        <w:rPr>
          <w:rFonts w:asciiTheme="minorHAnsi" w:hAnsiTheme="minorHAnsi" w:cstheme="minorHAnsi"/>
          <w:b w:val="0"/>
          <w:sz w:val="22"/>
          <w:szCs w:val="22"/>
        </w:rPr>
        <w:t xml:space="preserve">the </w:t>
      </w:r>
      <w:r w:rsidR="00373AA2" w:rsidRPr="00F65901">
        <w:rPr>
          <w:rFonts w:asciiTheme="minorHAnsi" w:hAnsiTheme="minorHAnsi" w:cstheme="minorHAnsi"/>
          <w:b w:val="0"/>
          <w:sz w:val="22"/>
          <w:szCs w:val="22"/>
        </w:rPr>
        <w:t xml:space="preserve">CIM, </w:t>
      </w:r>
      <w:r>
        <w:rPr>
          <w:rFonts w:asciiTheme="minorHAnsi" w:hAnsiTheme="minorHAnsi" w:cstheme="minorHAnsi"/>
          <w:b w:val="0"/>
          <w:sz w:val="22"/>
          <w:szCs w:val="22"/>
        </w:rPr>
        <w:t>the Follow-Up Mechanism to the Belem do Para Convention (</w:t>
      </w:r>
      <w:r w:rsidR="00373AA2" w:rsidRPr="00F65901">
        <w:rPr>
          <w:rFonts w:asciiTheme="minorHAnsi" w:hAnsiTheme="minorHAnsi" w:cstheme="minorHAnsi"/>
          <w:b w:val="0"/>
          <w:sz w:val="22"/>
          <w:szCs w:val="22"/>
        </w:rPr>
        <w:t>MESECVI</w:t>
      </w:r>
      <w:r>
        <w:rPr>
          <w:rFonts w:asciiTheme="minorHAnsi" w:hAnsiTheme="minorHAnsi" w:cstheme="minorHAnsi"/>
          <w:b w:val="0"/>
          <w:sz w:val="22"/>
          <w:szCs w:val="22"/>
        </w:rPr>
        <w:t>)</w:t>
      </w:r>
      <w:r w:rsidR="00373AA2" w:rsidRPr="00F65901">
        <w:rPr>
          <w:rFonts w:asciiTheme="minorHAnsi" w:hAnsiTheme="minorHAnsi" w:cstheme="minorHAnsi"/>
          <w:b w:val="0"/>
          <w:sz w:val="22"/>
          <w:szCs w:val="22"/>
        </w:rPr>
        <w:t>,</w:t>
      </w:r>
      <w:r>
        <w:rPr>
          <w:rStyle w:val="FootnoteReference"/>
          <w:rFonts w:asciiTheme="minorHAnsi" w:hAnsiTheme="minorHAnsi" w:cstheme="minorHAnsi"/>
          <w:b w:val="0"/>
          <w:sz w:val="22"/>
          <w:szCs w:val="22"/>
        </w:rPr>
        <w:footnoteReference w:id="4"/>
      </w:r>
      <w:r w:rsidR="00373AA2" w:rsidRPr="00F65901">
        <w:rPr>
          <w:rFonts w:asciiTheme="minorHAnsi" w:hAnsiTheme="minorHAnsi" w:cstheme="minorHAnsi"/>
          <w:b w:val="0"/>
          <w:sz w:val="22"/>
          <w:szCs w:val="22"/>
        </w:rPr>
        <w:t xml:space="preserve"> </w:t>
      </w:r>
      <w:r w:rsidR="00CB5BE1">
        <w:rPr>
          <w:rFonts w:asciiTheme="minorHAnsi" w:hAnsiTheme="minorHAnsi" w:cstheme="minorHAnsi"/>
          <w:b w:val="0"/>
          <w:sz w:val="22"/>
          <w:szCs w:val="22"/>
        </w:rPr>
        <w:t xml:space="preserve">the </w:t>
      </w:r>
      <w:r w:rsidR="00373AA2" w:rsidRPr="00F65901">
        <w:rPr>
          <w:rFonts w:asciiTheme="minorHAnsi" w:hAnsiTheme="minorHAnsi" w:cstheme="minorHAnsi"/>
          <w:b w:val="0"/>
          <w:sz w:val="22"/>
          <w:szCs w:val="22"/>
          <w:shd w:val="clear" w:color="auto" w:fill="FFFFFF"/>
        </w:rPr>
        <w:t>Working Group on the Protocol of San Salvador</w:t>
      </w:r>
      <w:r w:rsidR="00F65901" w:rsidRPr="00F65901">
        <w:rPr>
          <w:rFonts w:asciiTheme="minorHAnsi" w:hAnsiTheme="minorHAnsi" w:cstheme="minorHAnsi"/>
          <w:b w:val="0"/>
          <w:sz w:val="22"/>
          <w:szCs w:val="22"/>
          <w:shd w:val="clear" w:color="auto" w:fill="FFFFFF"/>
        </w:rPr>
        <w:t xml:space="preserve">, </w:t>
      </w:r>
      <w:r w:rsidR="00957E58">
        <w:rPr>
          <w:rFonts w:asciiTheme="minorHAnsi" w:hAnsiTheme="minorHAnsi" w:cstheme="minorHAnsi"/>
          <w:b w:val="0"/>
          <w:sz w:val="22"/>
          <w:szCs w:val="22"/>
          <w:shd w:val="clear" w:color="auto" w:fill="FFFFFF"/>
        </w:rPr>
        <w:t xml:space="preserve">and </w:t>
      </w:r>
      <w:r w:rsidR="00CB5BE1">
        <w:rPr>
          <w:rFonts w:asciiTheme="minorHAnsi" w:hAnsiTheme="minorHAnsi" w:cstheme="minorHAnsi"/>
          <w:b w:val="0"/>
          <w:sz w:val="22"/>
          <w:szCs w:val="22"/>
          <w:shd w:val="clear" w:color="auto" w:fill="FFFFFF"/>
        </w:rPr>
        <w:t xml:space="preserve">the </w:t>
      </w:r>
      <w:r w:rsidR="00F65901" w:rsidRPr="00F65901">
        <w:rPr>
          <w:rFonts w:asciiTheme="minorHAnsi" w:hAnsiTheme="minorHAnsi" w:cstheme="minorHAnsi"/>
          <w:b w:val="0"/>
          <w:sz w:val="22"/>
          <w:szCs w:val="22"/>
        </w:rPr>
        <w:t>Committee for the Elimination of all Forms of Discrimination against Persons with Disabilities</w:t>
      </w:r>
      <w:r w:rsidR="00957E58">
        <w:rPr>
          <w:rFonts w:asciiTheme="minorHAnsi" w:hAnsiTheme="minorHAnsi" w:cstheme="minorHAnsi"/>
          <w:b w:val="0"/>
          <w:sz w:val="22"/>
          <w:szCs w:val="22"/>
        </w:rPr>
        <w:t>.</w:t>
      </w:r>
      <w:r w:rsidR="00F65901">
        <w:rPr>
          <w:rStyle w:val="FootnoteReference"/>
          <w:rFonts w:asciiTheme="minorHAnsi" w:hAnsiTheme="minorHAnsi" w:cstheme="minorHAnsi"/>
          <w:b w:val="0"/>
          <w:sz w:val="22"/>
          <w:szCs w:val="22"/>
        </w:rPr>
        <w:footnoteReference w:id="5"/>
      </w:r>
      <w:proofErr w:type="gramEnd"/>
      <w:r w:rsidR="000739D7">
        <w:rPr>
          <w:rFonts w:asciiTheme="minorHAnsi" w:hAnsiTheme="minorHAnsi" w:cstheme="minorHAnsi"/>
          <w:b w:val="0"/>
          <w:sz w:val="22"/>
          <w:szCs w:val="22"/>
        </w:rPr>
        <w:t xml:space="preserve">  </w:t>
      </w:r>
      <w:r>
        <w:rPr>
          <w:rFonts w:asciiTheme="minorHAnsi" w:hAnsiTheme="minorHAnsi" w:cstheme="minorHAnsi"/>
          <w:b w:val="0"/>
          <w:sz w:val="22"/>
          <w:szCs w:val="22"/>
        </w:rPr>
        <w:t>The IACHR includes ten thematic</w:t>
      </w:r>
      <w:r w:rsidRPr="00F65901">
        <w:rPr>
          <w:rFonts w:asciiTheme="minorHAnsi" w:hAnsiTheme="minorHAnsi" w:cstheme="minorHAnsi"/>
          <w:b w:val="0"/>
          <w:sz w:val="22"/>
          <w:szCs w:val="22"/>
        </w:rPr>
        <w:t xml:space="preserve"> </w:t>
      </w:r>
      <w:proofErr w:type="spellStart"/>
      <w:r w:rsidRPr="00F65901">
        <w:rPr>
          <w:rFonts w:asciiTheme="minorHAnsi" w:hAnsiTheme="minorHAnsi" w:cstheme="minorHAnsi"/>
          <w:b w:val="0"/>
          <w:sz w:val="22"/>
          <w:szCs w:val="22"/>
        </w:rPr>
        <w:t>Rapporteurships</w:t>
      </w:r>
      <w:proofErr w:type="spellEnd"/>
      <w:r>
        <w:rPr>
          <w:rFonts w:asciiTheme="minorHAnsi" w:hAnsiTheme="minorHAnsi" w:cstheme="minorHAnsi"/>
          <w:b w:val="0"/>
          <w:sz w:val="22"/>
          <w:szCs w:val="22"/>
        </w:rPr>
        <w:t xml:space="preserve"> that aim to strengthen the guarantee and protection of specific rights, or the rights of specific groups</w:t>
      </w:r>
      <w:r w:rsidR="006A0A4A">
        <w:rPr>
          <w:rFonts w:asciiTheme="minorHAnsi" w:hAnsiTheme="minorHAnsi" w:cstheme="minorHAnsi"/>
          <w:b w:val="0"/>
          <w:sz w:val="22"/>
          <w:szCs w:val="22"/>
        </w:rPr>
        <w:t xml:space="preserve"> of people</w:t>
      </w:r>
      <w:r>
        <w:rPr>
          <w:rFonts w:asciiTheme="minorHAnsi" w:hAnsiTheme="minorHAnsi" w:cstheme="minorHAnsi"/>
          <w:b w:val="0"/>
          <w:sz w:val="22"/>
          <w:szCs w:val="22"/>
        </w:rPr>
        <w:t>.</w:t>
      </w:r>
      <w:r>
        <w:rPr>
          <w:rStyle w:val="FootnoteReference"/>
          <w:rFonts w:asciiTheme="minorHAnsi" w:hAnsiTheme="minorHAnsi" w:cstheme="minorHAnsi"/>
          <w:b w:val="0"/>
          <w:sz w:val="22"/>
          <w:szCs w:val="22"/>
        </w:rPr>
        <w:footnoteReference w:id="6"/>
      </w:r>
    </w:p>
    <w:p w:rsidR="00F35263" w:rsidRDefault="00F35263" w:rsidP="00F65901">
      <w:pPr>
        <w:pStyle w:val="Heading2"/>
        <w:spacing w:before="0" w:beforeAutospacing="0" w:after="0" w:afterAutospacing="0"/>
        <w:jc w:val="both"/>
        <w:rPr>
          <w:rFonts w:asciiTheme="minorHAnsi" w:hAnsiTheme="minorHAnsi" w:cstheme="minorHAnsi"/>
          <w:b w:val="0"/>
          <w:sz w:val="22"/>
          <w:szCs w:val="22"/>
        </w:rPr>
      </w:pPr>
    </w:p>
    <w:p w:rsidR="00515338" w:rsidRDefault="000739D7" w:rsidP="00F65901">
      <w:pPr>
        <w:pStyle w:val="Heading2"/>
        <w:spacing w:before="0" w:beforeAutospacing="0" w:after="0" w:afterAutospacing="0"/>
        <w:jc w:val="both"/>
        <w:rPr>
          <w:rFonts w:asciiTheme="minorHAnsi" w:hAnsiTheme="minorHAnsi" w:cstheme="minorHAnsi"/>
          <w:b w:val="0"/>
          <w:sz w:val="22"/>
          <w:szCs w:val="22"/>
        </w:rPr>
      </w:pPr>
      <w:r>
        <w:rPr>
          <w:rFonts w:asciiTheme="minorHAnsi" w:hAnsiTheme="minorHAnsi" w:cstheme="minorHAnsi"/>
          <w:b w:val="0"/>
          <w:sz w:val="22"/>
          <w:szCs w:val="22"/>
        </w:rPr>
        <w:t>With the exception of the CIM and the MESECVI, the other entities of the inter-American system have not historically included an equal</w:t>
      </w:r>
      <w:r w:rsidR="006A0A4A">
        <w:rPr>
          <w:rFonts w:asciiTheme="minorHAnsi" w:hAnsiTheme="minorHAnsi" w:cstheme="minorHAnsi"/>
          <w:b w:val="0"/>
          <w:sz w:val="22"/>
          <w:szCs w:val="22"/>
        </w:rPr>
        <w:t xml:space="preserve"> or even a significant</w:t>
      </w:r>
      <w:r>
        <w:rPr>
          <w:rFonts w:asciiTheme="minorHAnsi" w:hAnsiTheme="minorHAnsi" w:cstheme="minorHAnsi"/>
          <w:b w:val="0"/>
          <w:sz w:val="22"/>
          <w:szCs w:val="22"/>
        </w:rPr>
        <w:t xml:space="preserve"> number of women, particularly among leadership and senior management positions. </w:t>
      </w:r>
      <w:r w:rsidR="00515338">
        <w:rPr>
          <w:rFonts w:asciiTheme="minorHAnsi" w:hAnsiTheme="minorHAnsi" w:cstheme="minorHAnsi"/>
          <w:b w:val="0"/>
          <w:sz w:val="22"/>
          <w:szCs w:val="22"/>
        </w:rPr>
        <w:t xml:space="preserve"> Although political bodies such as the General Assembly of the OAS have expressed their commitment to increasing women’s participation, and civil society organizations have lobbied to make that commitment a reality, the absence of any legal requirement for gender parity has hindered progress towards this goal. In addition, lack of transparency in nomination processes has often made it difficult for women at the national level to compete fairly for these nominations.</w:t>
      </w:r>
    </w:p>
    <w:p w:rsidR="00515338" w:rsidRDefault="00515338" w:rsidP="00F65901">
      <w:pPr>
        <w:pStyle w:val="Heading2"/>
        <w:spacing w:before="0" w:beforeAutospacing="0" w:after="0" w:afterAutospacing="0"/>
        <w:jc w:val="both"/>
        <w:rPr>
          <w:rFonts w:asciiTheme="minorHAnsi" w:hAnsiTheme="minorHAnsi" w:cstheme="minorHAnsi"/>
          <w:b w:val="0"/>
          <w:sz w:val="22"/>
          <w:szCs w:val="22"/>
        </w:rPr>
      </w:pPr>
    </w:p>
    <w:p w:rsidR="00F65901" w:rsidRPr="00CB5BE1" w:rsidRDefault="00F35263" w:rsidP="00F65901">
      <w:pPr>
        <w:pStyle w:val="Heading2"/>
        <w:spacing w:before="0" w:beforeAutospacing="0" w:after="0" w:afterAutospacing="0"/>
        <w:jc w:val="both"/>
        <w:rPr>
          <w:rFonts w:asciiTheme="minorHAnsi" w:hAnsiTheme="minorHAnsi" w:cstheme="minorHAnsi"/>
          <w:b w:val="0"/>
          <w:sz w:val="22"/>
          <w:szCs w:val="22"/>
        </w:rPr>
      </w:pPr>
      <w:r>
        <w:rPr>
          <w:rFonts w:asciiTheme="minorHAnsi" w:hAnsiTheme="minorHAnsi" w:cstheme="minorHAnsi"/>
          <w:b w:val="0"/>
          <w:sz w:val="22"/>
          <w:szCs w:val="22"/>
        </w:rPr>
        <w:t xml:space="preserve">At the same time that the CIM and MESECVI have gradually strengthened both political and technical </w:t>
      </w:r>
      <w:proofErr w:type="gramStart"/>
      <w:r>
        <w:rPr>
          <w:rFonts w:asciiTheme="minorHAnsi" w:hAnsiTheme="minorHAnsi" w:cstheme="minorHAnsi"/>
          <w:b w:val="0"/>
          <w:sz w:val="22"/>
          <w:szCs w:val="22"/>
        </w:rPr>
        <w:t>commitment</w:t>
      </w:r>
      <w:proofErr w:type="gramEnd"/>
      <w:r>
        <w:rPr>
          <w:rFonts w:asciiTheme="minorHAnsi" w:hAnsiTheme="minorHAnsi" w:cstheme="minorHAnsi"/>
          <w:b w:val="0"/>
          <w:sz w:val="22"/>
          <w:szCs w:val="22"/>
        </w:rPr>
        <w:t xml:space="preserve"> to gender equality and women’s rights issues on the agenda of the OAS, as women’s leadership has increased in the other entities of the inter-American human rights system, so has the attention paid to women’s rights.</w:t>
      </w:r>
    </w:p>
    <w:p w:rsidR="00373AA2" w:rsidRDefault="00373AA2">
      <w:pPr>
        <w:rPr>
          <w:rFonts w:cstheme="minorHAnsi"/>
        </w:rPr>
      </w:pPr>
    </w:p>
    <w:p w:rsidR="000739D7" w:rsidRDefault="00957E58">
      <w:r>
        <w:t>A</w:t>
      </w:r>
      <w:r w:rsidR="00373AA2">
        <w:t xml:space="preserve">ll of these mechanisms have </w:t>
      </w:r>
      <w:r>
        <w:t>multiple</w:t>
      </w:r>
      <w:r w:rsidR="00373AA2">
        <w:t xml:space="preserve"> mandates regarding gender equality and the participation and leadership of women</w:t>
      </w:r>
      <w:r w:rsidR="002F4DFE">
        <w:t>, beginning from the adoption in 1999 of the first resolution of the OAS General Assembly on women in senior management of the OAS</w:t>
      </w:r>
      <w:r>
        <w:t>,</w:t>
      </w:r>
      <w:r w:rsidR="002F4DFE">
        <w:t xml:space="preserve"> and including specific resolutions on the </w:t>
      </w:r>
      <w:r w:rsidR="000739D7">
        <w:t xml:space="preserve">composition of the </w:t>
      </w:r>
      <w:r w:rsidR="002F4DFE">
        <w:t>Inter-American Commission and Court of Human Rights</w:t>
      </w:r>
      <w:r w:rsidR="000739D7">
        <w:t>.</w:t>
      </w:r>
    </w:p>
    <w:p w:rsidR="00F35263" w:rsidRDefault="00F35263"/>
    <w:p w:rsidR="00F35263" w:rsidRPr="00F35263" w:rsidRDefault="00F35263">
      <w:pPr>
        <w:rPr>
          <w:b/>
        </w:rPr>
      </w:pPr>
      <w:r w:rsidRPr="00F35263">
        <w:rPr>
          <w:b/>
        </w:rPr>
        <w:lastRenderedPageBreak/>
        <w:t>Current situation</w:t>
      </w:r>
    </w:p>
    <w:p w:rsidR="000739D7" w:rsidRDefault="000739D7"/>
    <w:p w:rsidR="000739D7" w:rsidRDefault="00F35263">
      <w:r>
        <w:t xml:space="preserve">Over </w:t>
      </w:r>
      <w:r w:rsidRPr="003C6B1D">
        <w:t xml:space="preserve">the last </w:t>
      </w:r>
      <w:r w:rsidR="003C6B1D" w:rsidRPr="003C6B1D">
        <w:t>few</w:t>
      </w:r>
      <w:r w:rsidRPr="003C6B1D">
        <w:t xml:space="preserve"> years, women’s</w:t>
      </w:r>
      <w:r>
        <w:t xml:space="preserve"> leadership in the inter-American system h</w:t>
      </w:r>
      <w:r w:rsidR="004753BD">
        <w:t>as increased in visibility and importance</w:t>
      </w:r>
      <w:r w:rsidR="00486339">
        <w:t xml:space="preserve"> as part of the agenda of the OAS</w:t>
      </w:r>
      <w:r w:rsidR="004753BD">
        <w:t xml:space="preserve">, with a few </w:t>
      </w:r>
      <w:r w:rsidR="003C6B1D">
        <w:t xml:space="preserve">recent </w:t>
      </w:r>
      <w:r w:rsidR="004753BD">
        <w:t>highlights worth noting:</w:t>
      </w:r>
    </w:p>
    <w:p w:rsidR="004753BD" w:rsidRDefault="004753BD"/>
    <w:p w:rsidR="00957E58" w:rsidRDefault="000739D7" w:rsidP="00111D7D">
      <w:pPr>
        <w:pStyle w:val="ListParagraph"/>
        <w:numPr>
          <w:ilvl w:val="0"/>
          <w:numId w:val="3"/>
        </w:numPr>
      </w:pPr>
      <w:r>
        <w:t xml:space="preserve">In 2019, the General Assembly of the </w:t>
      </w:r>
      <w:r w:rsidR="004753BD">
        <w:t>OAS</w:t>
      </w:r>
      <w:r>
        <w:t xml:space="preserve"> adopted resolution </w:t>
      </w:r>
      <w:r w:rsidR="004753BD" w:rsidRPr="008C6E60">
        <w:rPr>
          <w:rFonts w:eastAsia="Times New Roman"/>
        </w:rPr>
        <w:t>AG/RES. 2941 (XLIX-O/19)</w:t>
      </w:r>
      <w:r w:rsidR="004753BD">
        <w:rPr>
          <w:rFonts w:eastAsia="Times New Roman"/>
        </w:rPr>
        <w:t xml:space="preserve">, on the Promotion and Protection of Human Rights, which in </w:t>
      </w:r>
      <w:r w:rsidR="004753BD">
        <w:rPr>
          <w:color w:val="000000"/>
          <w:lang w:eastAsia="es-ES"/>
        </w:rPr>
        <w:t>Chapter xiii addresses “</w:t>
      </w:r>
      <w:r w:rsidR="004753BD" w:rsidRPr="00E77EC1">
        <w:rPr>
          <w:color w:val="000000"/>
          <w:lang w:eastAsia="es-ES"/>
        </w:rPr>
        <w:t>Gender equity and balanced geographic and legal-system representation on the Inter-American Commission on Human Rights and the Inter-American Court of Human Rights</w:t>
      </w:r>
      <w:r w:rsidR="004753BD">
        <w:rPr>
          <w:color w:val="000000"/>
          <w:lang w:eastAsia="es-ES"/>
        </w:rPr>
        <w:t>.”</w:t>
      </w:r>
      <w:r w:rsidR="004753BD">
        <w:rPr>
          <w:rStyle w:val="FootnoteReference"/>
          <w:color w:val="000000"/>
          <w:lang w:eastAsia="es-ES"/>
        </w:rPr>
        <w:footnoteReference w:id="7"/>
      </w:r>
      <w:r w:rsidR="004753BD">
        <w:rPr>
          <w:color w:val="000000"/>
          <w:lang w:eastAsia="es-ES"/>
        </w:rPr>
        <w:t xml:space="preserve"> The resolution underscores that gender balance will strengthen the work and impact of these bodies in the </w:t>
      </w:r>
      <w:r w:rsidR="004753BD" w:rsidRPr="008C6E60">
        <w:t>prevention, promotion, protection, and guarantee of human rights, with special attention to issues of non-discrimination</w:t>
      </w:r>
      <w:r w:rsidR="004753BD">
        <w:t xml:space="preserve">, </w:t>
      </w:r>
      <w:proofErr w:type="gramStart"/>
      <w:r w:rsidR="004753BD">
        <w:t>and also</w:t>
      </w:r>
      <w:proofErr w:type="gramEnd"/>
      <w:r w:rsidR="004753BD">
        <w:t xml:space="preserve"> instructs the OAS’ Committee on Juridical and Political Affairs (CAJP) to strengthen its work on this issue through exchange of information and best practices.</w:t>
      </w:r>
    </w:p>
    <w:p w:rsidR="004753BD" w:rsidRDefault="004753BD" w:rsidP="00111D7D">
      <w:pPr>
        <w:pStyle w:val="ListParagraph"/>
      </w:pPr>
    </w:p>
    <w:p w:rsidR="004753BD" w:rsidRDefault="004753BD" w:rsidP="00111D7D">
      <w:pPr>
        <w:pStyle w:val="ListParagraph"/>
        <w:keepNext/>
        <w:numPr>
          <w:ilvl w:val="0"/>
          <w:numId w:val="3"/>
        </w:numPr>
        <w:rPr>
          <w:color w:val="000000"/>
          <w:lang w:eastAsia="es-ES"/>
        </w:rPr>
      </w:pPr>
      <w:r>
        <w:t>In 2019, the General Assembly of the OAS also adopted resolution</w:t>
      </w:r>
      <w:r w:rsidRPr="004753BD">
        <w:t xml:space="preserve"> </w:t>
      </w:r>
      <w:r w:rsidRPr="008C6E60">
        <w:t>AG/RES. 2940 (XLIX-O/19)</w:t>
      </w:r>
      <w:r>
        <w:t xml:space="preserve"> on the Program-Budget of the OAS for 2020, which contains a specific paragraph on gender equity and equality policies.  The resolution urges the </w:t>
      </w:r>
      <w:r w:rsidRPr="004753BD">
        <w:rPr>
          <w:color w:val="000000"/>
          <w:lang w:eastAsia="es-ES"/>
        </w:rPr>
        <w:t xml:space="preserve">Secretary General to continue the work of implementing gender equity and equality policies in the workplace, and promoting parity in categories where women </w:t>
      </w:r>
      <w:proofErr w:type="gramStart"/>
      <w:r w:rsidRPr="004753BD">
        <w:rPr>
          <w:color w:val="000000"/>
          <w:lang w:eastAsia="es-ES"/>
        </w:rPr>
        <w:t>are currently underrepresented</w:t>
      </w:r>
      <w:proofErr w:type="gramEnd"/>
      <w:r w:rsidRPr="004753BD">
        <w:rPr>
          <w:color w:val="000000"/>
          <w:lang w:eastAsia="es-ES"/>
        </w:rPr>
        <w:t>.</w:t>
      </w:r>
      <w:r>
        <w:rPr>
          <w:rStyle w:val="FootnoteReference"/>
          <w:color w:val="000000"/>
          <w:lang w:eastAsia="es-ES"/>
        </w:rPr>
        <w:footnoteReference w:id="8"/>
      </w:r>
    </w:p>
    <w:p w:rsidR="004753BD" w:rsidRPr="004753BD" w:rsidRDefault="004753BD" w:rsidP="00111D7D">
      <w:pPr>
        <w:pStyle w:val="ListParagraph"/>
        <w:rPr>
          <w:color w:val="000000"/>
          <w:lang w:eastAsia="es-ES"/>
        </w:rPr>
      </w:pPr>
    </w:p>
    <w:p w:rsidR="00486339" w:rsidRPr="00486339" w:rsidRDefault="004753BD" w:rsidP="00111D7D">
      <w:pPr>
        <w:pStyle w:val="ListParagraph"/>
        <w:keepNext/>
        <w:numPr>
          <w:ilvl w:val="0"/>
          <w:numId w:val="3"/>
        </w:numPr>
        <w:rPr>
          <w:color w:val="000000"/>
          <w:lang w:eastAsia="es-ES"/>
        </w:rPr>
      </w:pPr>
      <w:proofErr w:type="gramStart"/>
      <w:r w:rsidRPr="00486339">
        <w:rPr>
          <w:color w:val="000000"/>
          <w:lang w:eastAsia="es-ES"/>
        </w:rPr>
        <w:t>In 2020, the Permanent Council of the OAS</w:t>
      </w:r>
      <w:r w:rsidR="00486339" w:rsidRPr="00486339">
        <w:rPr>
          <w:color w:val="000000"/>
          <w:lang w:eastAsia="es-ES"/>
        </w:rPr>
        <w:t xml:space="preserve"> adopted resolution CP/RES. 1149 (2278/20)</w:t>
      </w:r>
      <w:r w:rsidR="00486339">
        <w:rPr>
          <w:color w:val="000000"/>
          <w:lang w:eastAsia="es-ES"/>
        </w:rPr>
        <w:t xml:space="preserve"> on “Women’s Representation and Participation in the OAS,”</w:t>
      </w:r>
      <w:r w:rsidR="00486339">
        <w:rPr>
          <w:rStyle w:val="FootnoteReference"/>
          <w:color w:val="000000"/>
          <w:lang w:eastAsia="es-ES"/>
        </w:rPr>
        <w:footnoteReference w:id="9"/>
      </w:r>
      <w:r w:rsidR="00486339">
        <w:rPr>
          <w:color w:val="000000"/>
          <w:lang w:eastAsia="es-ES"/>
        </w:rPr>
        <w:t xml:space="preserve"> which </w:t>
      </w:r>
      <w:r w:rsidR="00ED2991">
        <w:rPr>
          <w:color w:val="000000"/>
          <w:lang w:eastAsia="es-ES"/>
        </w:rPr>
        <w:t xml:space="preserve">requests that the General Secretariat of the OAS formulate a system-wide plan for achieving gender parity and progressively increasing </w:t>
      </w:r>
      <w:r w:rsidR="00ED2991" w:rsidRPr="00ED2991">
        <w:rPr>
          <w:color w:val="000000"/>
          <w:lang w:eastAsia="es-ES"/>
        </w:rPr>
        <w:t xml:space="preserve">women’s participation and representation in decision-making positions within the Organization, </w:t>
      </w:r>
      <w:r w:rsidR="00D11B9D">
        <w:rPr>
          <w:color w:val="000000"/>
          <w:lang w:eastAsia="es-ES"/>
        </w:rPr>
        <w:t>including</w:t>
      </w:r>
      <w:r w:rsidR="00ED2991" w:rsidRPr="00ED2991">
        <w:rPr>
          <w:color w:val="000000"/>
          <w:lang w:eastAsia="es-ES"/>
        </w:rPr>
        <w:t xml:space="preserve"> in commissions, missions, panels, collegiate groups, </w:t>
      </w:r>
      <w:r w:rsidR="00D11B9D">
        <w:rPr>
          <w:color w:val="000000"/>
          <w:lang w:eastAsia="es-ES"/>
        </w:rPr>
        <w:t>and</w:t>
      </w:r>
      <w:r w:rsidR="00ED2991" w:rsidRPr="00ED2991">
        <w:rPr>
          <w:color w:val="000000"/>
          <w:lang w:eastAsia="es-ES"/>
        </w:rPr>
        <w:t xml:space="preserve"> electoral observation missions</w:t>
      </w:r>
      <w:r w:rsidR="00D11B9D">
        <w:rPr>
          <w:color w:val="000000"/>
          <w:lang w:eastAsia="es-ES"/>
        </w:rPr>
        <w:t>.</w:t>
      </w:r>
      <w:proofErr w:type="gramEnd"/>
      <w:r w:rsidR="00486339">
        <w:rPr>
          <w:color w:val="000000"/>
          <w:lang w:eastAsia="es-ES"/>
        </w:rPr>
        <w:t xml:space="preserve"> </w:t>
      </w:r>
      <w:r w:rsidR="00111D7D">
        <w:rPr>
          <w:color w:val="000000"/>
          <w:lang w:eastAsia="es-ES"/>
        </w:rPr>
        <w:t xml:space="preserve">The resolution also underscores the responsibility of member states </w:t>
      </w:r>
      <w:r w:rsidR="00111D7D" w:rsidRPr="00111D7D">
        <w:rPr>
          <w:color w:val="000000"/>
          <w:lang w:eastAsia="es-ES"/>
        </w:rPr>
        <w:t>to generate conditions and spur opportunities for the nomination and/or appointment of women in OAS organs and entities</w:t>
      </w:r>
      <w:r w:rsidR="00111D7D">
        <w:rPr>
          <w:color w:val="000000"/>
          <w:lang w:eastAsia="es-ES"/>
        </w:rPr>
        <w:t>.</w:t>
      </w:r>
    </w:p>
    <w:p w:rsidR="00486339" w:rsidRDefault="00486339" w:rsidP="00486339">
      <w:pPr>
        <w:rPr>
          <w:color w:val="000000"/>
          <w:lang w:eastAsia="es-ES"/>
        </w:rPr>
      </w:pPr>
    </w:p>
    <w:p w:rsidR="004753BD" w:rsidRDefault="00486339" w:rsidP="004753BD">
      <w:r>
        <w:t xml:space="preserve">In practice, some important milestones </w:t>
      </w:r>
      <w:proofErr w:type="gramStart"/>
      <w:r>
        <w:t>have also been reached</w:t>
      </w:r>
      <w:proofErr w:type="gramEnd"/>
      <w:r>
        <w:t xml:space="preserve">: </w:t>
      </w:r>
    </w:p>
    <w:p w:rsidR="00E04367" w:rsidRDefault="00E04367" w:rsidP="004753BD"/>
    <w:p w:rsidR="00486339" w:rsidRDefault="003C6B1D" w:rsidP="00486339">
      <w:pPr>
        <w:pStyle w:val="ListParagraph"/>
        <w:numPr>
          <w:ilvl w:val="0"/>
          <w:numId w:val="1"/>
        </w:numPr>
      </w:pPr>
      <w:r>
        <w:t>T</w:t>
      </w:r>
      <w:r w:rsidR="00486339">
        <w:t xml:space="preserve">he </w:t>
      </w:r>
      <w:r w:rsidR="00E04367">
        <w:t>IACHR</w:t>
      </w:r>
      <w:r w:rsidR="00486339">
        <w:t xml:space="preserve"> </w:t>
      </w:r>
      <w:r>
        <w:t xml:space="preserve">currently </w:t>
      </w:r>
      <w:r w:rsidR="00486339">
        <w:t>has a majority of women among its Commissioners (5 of 7), a composition it will retain at least until the end of 2021</w:t>
      </w:r>
      <w:r w:rsidR="00614844">
        <w:t xml:space="preserve"> and only the second time in history that the Commission has had a majority of women</w:t>
      </w:r>
      <w:r w:rsidR="00486339">
        <w:t xml:space="preserve">.  </w:t>
      </w:r>
    </w:p>
    <w:p w:rsidR="00486339" w:rsidRDefault="00E04367" w:rsidP="00486339">
      <w:pPr>
        <w:pStyle w:val="ListParagraph"/>
        <w:numPr>
          <w:ilvl w:val="0"/>
          <w:numId w:val="1"/>
        </w:numPr>
      </w:pPr>
      <w:r>
        <w:t xml:space="preserve">Six women and </w:t>
      </w:r>
      <w:r w:rsidR="00894685">
        <w:t xml:space="preserve">four men head the ten thematic </w:t>
      </w:r>
      <w:proofErr w:type="spellStart"/>
      <w:r w:rsidR="00894685">
        <w:t>R</w:t>
      </w:r>
      <w:r>
        <w:t>apporteurships</w:t>
      </w:r>
      <w:proofErr w:type="spellEnd"/>
      <w:r>
        <w:t xml:space="preserve"> of the IACHR</w:t>
      </w:r>
      <w:r w:rsidR="00486339">
        <w:t>.</w:t>
      </w:r>
      <w:r w:rsidR="00486339">
        <w:rPr>
          <w:rStyle w:val="FootnoteReference"/>
        </w:rPr>
        <w:footnoteReference w:id="10"/>
      </w:r>
      <w:r w:rsidR="00486339">
        <w:t xml:space="preserve">  </w:t>
      </w:r>
    </w:p>
    <w:p w:rsidR="00486339" w:rsidRDefault="00486339" w:rsidP="00486339">
      <w:pPr>
        <w:pStyle w:val="ListParagraph"/>
        <w:numPr>
          <w:ilvl w:val="0"/>
          <w:numId w:val="1"/>
        </w:numPr>
      </w:pPr>
      <w:r>
        <w:t>The Working Group on the Protocol of San Salvador is currently at gender parity among its members (three men and three women) with two vacant seats.</w:t>
      </w:r>
    </w:p>
    <w:p w:rsidR="004753BD" w:rsidRDefault="004753BD"/>
    <w:p w:rsidR="00373AA2" w:rsidRDefault="00373AA2" w:rsidP="0091318F">
      <w:r>
        <w:t xml:space="preserve">Progress however is </w:t>
      </w:r>
      <w:proofErr w:type="gramStart"/>
      <w:r>
        <w:t>uneven,</w:t>
      </w:r>
      <w:proofErr w:type="gramEnd"/>
      <w:r>
        <w:t xml:space="preserve"> and not necessarily sustained over time – leaps forward may be followed by steps backward and p</w:t>
      </w:r>
      <w:r w:rsidR="0091318F">
        <w:t>arity is by no means guaranteed</w:t>
      </w:r>
      <w:r w:rsidR="0013454F">
        <w:t xml:space="preserve"> because it is not enshrined in the </w:t>
      </w:r>
      <w:r w:rsidR="00D7266B">
        <w:t>statu</w:t>
      </w:r>
      <w:r w:rsidR="006A0A4A">
        <w:t>t</w:t>
      </w:r>
      <w:r w:rsidR="00D7266B">
        <w:t xml:space="preserve">es or other </w:t>
      </w:r>
      <w:r w:rsidR="0013454F">
        <w:t>legal instruments of these bodies</w:t>
      </w:r>
      <w:r w:rsidR="00E04367">
        <w:t>.  In addition, other entities of the inter-American system are still far from reaching gender parity</w:t>
      </w:r>
      <w:r w:rsidR="0091318F">
        <w:t>:</w:t>
      </w:r>
    </w:p>
    <w:p w:rsidR="00E04367" w:rsidRDefault="00E04367" w:rsidP="0091318F"/>
    <w:p w:rsidR="00BF2E5E" w:rsidRDefault="00F133B7" w:rsidP="0091318F">
      <w:pPr>
        <w:pStyle w:val="ListParagraph"/>
        <w:numPr>
          <w:ilvl w:val="0"/>
          <w:numId w:val="1"/>
        </w:numPr>
      </w:pPr>
      <w:r>
        <w:lastRenderedPageBreak/>
        <w:t xml:space="preserve">At the end of 2019, the staff of the </w:t>
      </w:r>
      <w:r w:rsidR="00BF2E5E">
        <w:t xml:space="preserve">General Secretariat of the OAS </w:t>
      </w:r>
      <w:r>
        <w:t>was made up of 57% women, although the organization has never had a woman as Secretary General or Assistant Secretary General and senior management posts are still dominated by men at the D2 (78%), D1 (66%) and P5 levels (55%).</w:t>
      </w:r>
    </w:p>
    <w:p w:rsidR="0091318F" w:rsidRDefault="0091318F" w:rsidP="0091318F">
      <w:pPr>
        <w:pStyle w:val="ListParagraph"/>
        <w:numPr>
          <w:ilvl w:val="0"/>
          <w:numId w:val="1"/>
        </w:numPr>
      </w:pPr>
      <w:r>
        <w:t xml:space="preserve">The I/A Court currently includes only one woman judge among a total of seven, Elizabeth </w:t>
      </w:r>
      <w:proofErr w:type="spellStart"/>
      <w:r>
        <w:t>Odio</w:t>
      </w:r>
      <w:proofErr w:type="spellEnd"/>
      <w:r>
        <w:t>-Benito, and to-date has never had more than two women serving simultaneously.</w:t>
      </w:r>
    </w:p>
    <w:p w:rsidR="0091318F" w:rsidRPr="009B1A85" w:rsidRDefault="00436EF3" w:rsidP="0091318F">
      <w:pPr>
        <w:pStyle w:val="ListParagraph"/>
        <w:numPr>
          <w:ilvl w:val="0"/>
          <w:numId w:val="1"/>
        </w:numPr>
      </w:pPr>
      <w:r>
        <w:t xml:space="preserve">Of </w:t>
      </w:r>
      <w:r w:rsidRPr="00436EF3">
        <w:t xml:space="preserve">the 18 members of the </w:t>
      </w:r>
      <w:r w:rsidRPr="00436EF3">
        <w:rPr>
          <w:rFonts w:ascii="Calibri" w:hAnsi="Calibri" w:cs="Calibri"/>
          <w:bCs/>
          <w:color w:val="333333"/>
          <w:shd w:val="clear" w:color="auto" w:fill="FFFFFF"/>
        </w:rPr>
        <w:t>Committee for the Elimination of all Forms of Discrimination against Persons with Disabilities</w:t>
      </w:r>
      <w:r>
        <w:rPr>
          <w:rFonts w:ascii="Calibri" w:hAnsi="Calibri" w:cs="Calibri"/>
          <w:bCs/>
          <w:color w:val="333333"/>
          <w:shd w:val="clear" w:color="auto" w:fill="FFFFFF"/>
        </w:rPr>
        <w:t>,</w:t>
      </w:r>
      <w:r>
        <w:rPr>
          <w:rStyle w:val="FootnoteReference"/>
          <w:rFonts w:ascii="Calibri" w:hAnsi="Calibri" w:cs="Calibri"/>
          <w:bCs/>
          <w:color w:val="333333"/>
          <w:shd w:val="clear" w:color="auto" w:fill="FFFFFF"/>
        </w:rPr>
        <w:footnoteReference w:id="11"/>
      </w:r>
      <w:r>
        <w:rPr>
          <w:rFonts w:ascii="Calibri" w:hAnsi="Calibri" w:cs="Calibri"/>
          <w:bCs/>
          <w:color w:val="333333"/>
          <w:shd w:val="clear" w:color="auto" w:fill="FFFFFF"/>
        </w:rPr>
        <w:t xml:space="preserve"> eleven are men, six are women and one appointment is currently pending</w:t>
      </w:r>
      <w:r w:rsidR="009B1A85">
        <w:rPr>
          <w:rFonts w:ascii="Calibri" w:hAnsi="Calibri" w:cs="Calibri"/>
          <w:bCs/>
          <w:color w:val="333333"/>
          <w:shd w:val="clear" w:color="auto" w:fill="FFFFFF"/>
        </w:rPr>
        <w:t>.</w:t>
      </w:r>
    </w:p>
    <w:p w:rsidR="009B1A85" w:rsidRPr="00436EF3" w:rsidRDefault="003C6B1D" w:rsidP="0091318F">
      <w:pPr>
        <w:pStyle w:val="ListParagraph"/>
        <w:numPr>
          <w:ilvl w:val="0"/>
          <w:numId w:val="1"/>
        </w:numPr>
      </w:pPr>
      <w:r>
        <w:rPr>
          <w:rFonts w:ascii="Calibri" w:hAnsi="Calibri" w:cs="Calibri"/>
          <w:bCs/>
          <w:color w:val="333333"/>
          <w:shd w:val="clear" w:color="auto" w:fill="FFFFFF"/>
        </w:rPr>
        <w:t>Since its establishment, o</w:t>
      </w:r>
      <w:r w:rsidR="009B1A85">
        <w:rPr>
          <w:rFonts w:ascii="Calibri" w:hAnsi="Calibri" w:cs="Calibri"/>
          <w:bCs/>
          <w:color w:val="333333"/>
          <w:shd w:val="clear" w:color="auto" w:fill="FFFFFF"/>
        </w:rPr>
        <w:t>nly one woman has headed the Executive Secretariat of the IACHR (1990 to 1996</w:t>
      </w:r>
      <w:r w:rsidR="009B1A85" w:rsidRPr="003C6B1D">
        <w:rPr>
          <w:rFonts w:ascii="Calibri" w:hAnsi="Calibri" w:cs="Calibri"/>
          <w:bCs/>
          <w:color w:val="333333"/>
          <w:shd w:val="clear" w:color="auto" w:fill="FFFFFF"/>
        </w:rPr>
        <w:t>)</w:t>
      </w:r>
      <w:r w:rsidR="0062173C" w:rsidRPr="003C6B1D">
        <w:rPr>
          <w:rFonts w:ascii="Calibri" w:hAnsi="Calibri" w:cs="Calibri"/>
          <w:bCs/>
          <w:color w:val="333333"/>
          <w:shd w:val="clear" w:color="auto" w:fill="FFFFFF"/>
        </w:rPr>
        <w:t xml:space="preserve">, and only </w:t>
      </w:r>
      <w:r w:rsidRPr="003C6B1D">
        <w:rPr>
          <w:rFonts w:ascii="Calibri" w:hAnsi="Calibri" w:cs="Calibri"/>
          <w:bCs/>
          <w:color w:val="333333"/>
          <w:shd w:val="clear" w:color="auto" w:fill="FFFFFF"/>
        </w:rPr>
        <w:t>nine</w:t>
      </w:r>
      <w:r w:rsidR="0062173C" w:rsidRPr="003C6B1D">
        <w:rPr>
          <w:rFonts w:ascii="Calibri" w:hAnsi="Calibri" w:cs="Calibri"/>
          <w:bCs/>
          <w:color w:val="333333"/>
          <w:shd w:val="clear" w:color="auto" w:fill="FFFFFF"/>
        </w:rPr>
        <w:t xml:space="preserve"> women have </w:t>
      </w:r>
      <w:r w:rsidRPr="003C6B1D">
        <w:rPr>
          <w:rFonts w:ascii="Calibri" w:hAnsi="Calibri" w:cs="Calibri"/>
          <w:bCs/>
          <w:color w:val="333333"/>
          <w:shd w:val="clear" w:color="auto" w:fill="FFFFFF"/>
        </w:rPr>
        <w:t>chaired</w:t>
      </w:r>
      <w:r w:rsidR="0062173C" w:rsidRPr="003C6B1D">
        <w:rPr>
          <w:rFonts w:ascii="Calibri" w:hAnsi="Calibri" w:cs="Calibri"/>
          <w:bCs/>
          <w:color w:val="333333"/>
          <w:shd w:val="clear" w:color="auto" w:fill="FFFFFF"/>
        </w:rPr>
        <w:t xml:space="preserve"> the Commission itself.</w:t>
      </w:r>
    </w:p>
    <w:p w:rsidR="00373AA2" w:rsidRDefault="00373AA2"/>
    <w:p w:rsidR="009B1083" w:rsidRDefault="009B1083">
      <w:r w:rsidRPr="00BF2E5E">
        <w:t>Challeng</w:t>
      </w:r>
      <w:bookmarkStart w:id="0" w:name="_GoBack"/>
      <w:bookmarkEnd w:id="0"/>
      <w:r w:rsidRPr="00BF2E5E">
        <w:t>es to achieving gender parity in the inter-American system include</w:t>
      </w:r>
      <w:r w:rsidR="00BF2E5E">
        <w:t xml:space="preserve"> that n</w:t>
      </w:r>
      <w:r w:rsidR="00BF2E5E" w:rsidRPr="00BF2E5E">
        <w:t>ominations and some appointments</w:t>
      </w:r>
      <w:r w:rsidRPr="00BF2E5E">
        <w:t xml:space="preserve"> ar</w:t>
      </w:r>
      <w:r w:rsidR="00BF2E5E">
        <w:t>e at the discretion of member s</w:t>
      </w:r>
      <w:r w:rsidRPr="00BF2E5E">
        <w:t xml:space="preserve">tates. Although in recent years more states have included gender equality considerations in the proposed </w:t>
      </w:r>
      <w:r w:rsidR="006A0A4A">
        <w:t xml:space="preserve">nominations for election or </w:t>
      </w:r>
      <w:r w:rsidRPr="00BF2E5E">
        <w:t xml:space="preserve">appointments to these mechanisms, </w:t>
      </w:r>
      <w:r w:rsidR="006A0A4A">
        <w:t xml:space="preserve">they </w:t>
      </w:r>
      <w:proofErr w:type="gramStart"/>
      <w:r w:rsidR="006A0A4A">
        <w:t>are</w:t>
      </w:r>
      <w:r w:rsidRPr="00BF2E5E">
        <w:t xml:space="preserve"> not always taken</w:t>
      </w:r>
      <w:proofErr w:type="gramEnd"/>
      <w:r w:rsidRPr="00BF2E5E">
        <w:t xml:space="preserve"> into account </w:t>
      </w:r>
      <w:r w:rsidR="00BF2E5E" w:rsidRPr="00BF2E5E">
        <w:t>in the election process</w:t>
      </w:r>
      <w:r w:rsidR="00BF2E5E">
        <w:t xml:space="preserve"> for Judges and </w:t>
      </w:r>
      <w:r w:rsidR="00C92923">
        <w:t>Commissioners</w:t>
      </w:r>
      <w:r w:rsidR="00BF2E5E">
        <w:t xml:space="preserve"> or in the appointment process for senior management officials.</w:t>
      </w:r>
    </w:p>
    <w:p w:rsidR="009B1083" w:rsidRDefault="009B1083"/>
    <w:p w:rsidR="00E04367" w:rsidRDefault="00373AA2" w:rsidP="00F13253">
      <w:r>
        <w:t xml:space="preserve">The </w:t>
      </w:r>
      <w:r w:rsidR="00E04367">
        <w:t>obvious</w:t>
      </w:r>
      <w:r>
        <w:t xml:space="preserve"> exception </w:t>
      </w:r>
      <w:r w:rsidR="007C7D9A">
        <w:t>has always been the two mechanisms</w:t>
      </w:r>
      <w:r w:rsidR="00E04367">
        <w:t xml:space="preserve"> specifically</w:t>
      </w:r>
      <w:r w:rsidR="007C7D9A">
        <w:t xml:space="preserve"> focused on women’s rights: the </w:t>
      </w:r>
      <w:r w:rsidR="00E04367">
        <w:t>CIM and the MESECVI</w:t>
      </w:r>
      <w:r w:rsidR="007C7D9A">
        <w:t xml:space="preserve">. </w:t>
      </w:r>
      <w:r w:rsidR="00E04367">
        <w:t xml:space="preserve">The CIM </w:t>
      </w:r>
      <w:r w:rsidR="009B1083" w:rsidRPr="009B1083">
        <w:t>was the product of emerging women's movements throughout the hemisphere and reflected growing cooperation between the women of North, Central and South America. In her address to the 1928 conference,</w:t>
      </w:r>
      <w:r w:rsidR="00F13253">
        <w:t xml:space="preserve"> the first President of the CIM, Doris</w:t>
      </w:r>
      <w:r w:rsidR="009B1083" w:rsidRPr="009B1083">
        <w:t xml:space="preserve"> Stevens</w:t>
      </w:r>
      <w:r w:rsidR="00F13253">
        <w:t>,</w:t>
      </w:r>
      <w:r w:rsidR="009B1083" w:rsidRPr="009B1083">
        <w:t xml:space="preserve"> stressed "the necessity of action through the Pan American Conference, not by separate countries, in obtaining equal rights for women in all the American republics."</w:t>
      </w:r>
      <w:r w:rsidR="00F13253">
        <w:t xml:space="preserve">  Early feminists in Latin America recognized that there were advantages in addressing the question of women's rights in regional and international fora and that the </w:t>
      </w:r>
      <w:proofErr w:type="gramStart"/>
      <w:r w:rsidR="00F13253">
        <w:t>leverage</w:t>
      </w:r>
      <w:proofErr w:type="gramEnd"/>
      <w:r w:rsidR="00F13253">
        <w:t xml:space="preserve"> provided through this inter-American</w:t>
      </w:r>
      <w:r w:rsidR="009A3851">
        <w:t xml:space="preserve"> </w:t>
      </w:r>
      <w:r w:rsidR="00F13253">
        <w:t xml:space="preserve">body was crucial to the expansion of political and civil rights in their </w:t>
      </w:r>
      <w:r w:rsidR="009A3851">
        <w:t>o</w:t>
      </w:r>
      <w:r w:rsidR="00F13253">
        <w:t xml:space="preserve">wn societies. </w:t>
      </w:r>
    </w:p>
    <w:p w:rsidR="002D33D5" w:rsidRDefault="002D33D5" w:rsidP="00F13253"/>
    <w:p w:rsidR="002D33D5" w:rsidRDefault="004C3A8B" w:rsidP="00F13253">
      <w:r>
        <w:t xml:space="preserve">Since its establishment, the CIM has pushed for the full recognition, guarantee and protection of women’s rights and their participation and leadership in all spheres of life. It is now </w:t>
      </w:r>
      <w:r w:rsidR="002D33D5">
        <w:t>composed of 34 Principal Delegates, one for each member stat</w:t>
      </w:r>
      <w:r>
        <w:t>e</w:t>
      </w:r>
      <w:r w:rsidR="002D33D5">
        <w:t xml:space="preserve"> of the OAS, who is usually the Minister for Women or her equivalent at the national level. </w:t>
      </w:r>
      <w:r>
        <w:t xml:space="preserve"> For this reason, the members of the CIM have historically been overwhelmingly women.</w:t>
      </w:r>
      <w:r w:rsidR="002D33D5">
        <w:t xml:space="preserve">  </w:t>
      </w:r>
      <w:r>
        <w:t>The Executive Secretary of the CIM, a position that has never been held by a man, is the highest-level authority on gender equality and women’s rights issues within the Secretariat, although it is worth noting that her position is classified one step lower than, for example, the Executive Secretary of the IACHR.</w:t>
      </w:r>
    </w:p>
    <w:p w:rsidR="00C13778" w:rsidRDefault="00C13778" w:rsidP="00F13253"/>
    <w:p w:rsidR="00C13778" w:rsidRDefault="00C13778" w:rsidP="00C13778">
      <w:r>
        <w:t xml:space="preserve">The MESECVI </w:t>
      </w:r>
      <w:proofErr w:type="gramStart"/>
      <w:r>
        <w:t>was established</w:t>
      </w:r>
      <w:proofErr w:type="gramEnd"/>
      <w:r>
        <w:t xml:space="preserve"> in 2004 as a</w:t>
      </w:r>
      <w:r w:rsidRPr="00C13778">
        <w:t xml:space="preserve"> continuous and independent evaluation process</w:t>
      </w:r>
      <w:r>
        <w:t xml:space="preserve"> to monitor the implementation of the Inter-American Convention on the Prevention, Punishment and Eradication of Violence against Women (Belem do Para Convention).  MESECVI is a systematic and permanent multilateral evaluation methodology that </w:t>
      </w:r>
      <w:proofErr w:type="gramStart"/>
      <w:r>
        <w:t>is based</w:t>
      </w:r>
      <w:proofErr w:type="gramEnd"/>
      <w:r>
        <w:t xml:space="preserve"> on exchange and technical cooperation between the States Party to the Convention and a Committee of Experts. </w:t>
      </w:r>
      <w:r w:rsidR="0062173C">
        <w:t xml:space="preserve">This </w:t>
      </w:r>
      <w:r w:rsidR="003C6B1D">
        <w:t>Committee</w:t>
      </w:r>
      <w:r>
        <w:t xml:space="preserve"> analyzes progress in the implementation of the Convention by the States Party, as well as persistent challenges to an effective State response to violence against women. Again, because of the nature of its work, both the State representatives and the Experts that participate in the MESECVI are almost exclusively women.</w:t>
      </w:r>
    </w:p>
    <w:p w:rsidR="00436638" w:rsidRDefault="00436638" w:rsidP="00C13778"/>
    <w:p w:rsidR="00CF0A65" w:rsidRDefault="00CF0A65" w:rsidP="00C13778"/>
    <w:p w:rsidR="00CF0A65" w:rsidRDefault="00CF0A65" w:rsidP="00C13778">
      <w:r w:rsidRPr="00CF0A65">
        <w:rPr>
          <w:b/>
        </w:rPr>
        <w:lastRenderedPageBreak/>
        <w:t>Challenges</w:t>
      </w:r>
      <w:r>
        <w:t xml:space="preserve"> </w:t>
      </w:r>
      <w:r w:rsidRPr="00CF0A65">
        <w:rPr>
          <w:b/>
        </w:rPr>
        <w:t>and opportunities</w:t>
      </w:r>
    </w:p>
    <w:p w:rsidR="00C13778" w:rsidRDefault="00C13778" w:rsidP="00C13778"/>
    <w:p w:rsidR="005F2005" w:rsidRDefault="00C13778" w:rsidP="00C13778">
      <w:r>
        <w:t>Although dedicated spaces, occupied by women, to advance women’s rights and gender equality issues have been essential to effective progress</w:t>
      </w:r>
      <w:r w:rsidR="005F2005">
        <w:t xml:space="preserve">, they are only part of the solution.  The fact that spaces like the CIM and the MESECVI are chronically under-staffed and under-funded means that they are unable </w:t>
      </w:r>
      <w:proofErr w:type="gramStart"/>
      <w:r w:rsidR="005F2005">
        <w:t>to effectively fulfill</w:t>
      </w:r>
      <w:proofErr w:type="gramEnd"/>
      <w:r w:rsidR="005F2005">
        <w:t xml:space="preserve"> their mandates.  The CIM for example receives two percent of the regular operating budget of the OAS and has just over two percent of the staff.  The MESECVI receive</w:t>
      </w:r>
      <w:r w:rsidR="00CF0A65">
        <w:t>s</w:t>
      </w:r>
      <w:r w:rsidR="005F2005">
        <w:t xml:space="preserve"> no funding from the regular budget and operates exclusively </w:t>
      </w:r>
      <w:proofErr w:type="gramStart"/>
      <w:r w:rsidR="005F2005">
        <w:t>on</w:t>
      </w:r>
      <w:r w:rsidR="00436638">
        <w:t xml:space="preserve"> the basis of</w:t>
      </w:r>
      <w:proofErr w:type="gramEnd"/>
      <w:r w:rsidR="005F2005">
        <w:t xml:space="preserve"> voluntary contributions.</w:t>
      </w:r>
    </w:p>
    <w:p w:rsidR="005F2005" w:rsidRDefault="005F2005" w:rsidP="00C13778"/>
    <w:p w:rsidR="00C13778" w:rsidRDefault="005F2005" w:rsidP="00C13778">
      <w:r>
        <w:t xml:space="preserve">At the same time, </w:t>
      </w:r>
      <w:r w:rsidR="00CF0A65">
        <w:t>t</w:t>
      </w:r>
      <w:r>
        <w:t xml:space="preserve">he absence of women </w:t>
      </w:r>
      <w:r w:rsidR="00CF0A65">
        <w:t xml:space="preserve">from leadership and decision-making in other parts of the organization means that women’s rights and gender equality issues </w:t>
      </w:r>
      <w:proofErr w:type="gramStart"/>
      <w:r w:rsidR="00CF0A65">
        <w:t>are ghettoized</w:t>
      </w:r>
      <w:proofErr w:type="gramEnd"/>
      <w:r w:rsidR="00CF0A65">
        <w:t>, rather than a crosscutting and truly integrated part of the work of the OAS.</w:t>
      </w:r>
    </w:p>
    <w:p w:rsidR="00373AA2" w:rsidRDefault="00373AA2"/>
    <w:p w:rsidR="002D33D5" w:rsidRDefault="00373AA2">
      <w:r>
        <w:t>As more women have participated in human rights mechanisms</w:t>
      </w:r>
      <w:r w:rsidR="007C7D9A">
        <w:t>, their agendas</w:t>
      </w:r>
      <w:r w:rsidR="009B1A85">
        <w:t xml:space="preserve"> – taken as the cumulus of hearings, decisions, opinions, reports, meetings, and other activities – have </w:t>
      </w:r>
      <w:r w:rsidR="007C7D9A">
        <w:t>gradually shifted to include key issues such as sexual and reproductive rights, the rights of LGBTI persons, the multiple manifestations of violence against women, women’s political participation and leadership and other key issues.</w:t>
      </w:r>
      <w:r w:rsidR="009B1A85">
        <w:t xml:space="preserve"> While the evidence is still scarce for a direct correlation between more women in leadership and more work on women’s rights and gender equality, the argument for diversity and inclusion in leadership positions is clear and convincing. </w:t>
      </w:r>
      <w:r w:rsidR="00B732EF">
        <w:t xml:space="preserve"> </w:t>
      </w:r>
      <w:r w:rsidR="002D33D5">
        <w:t>In addition, a growing body of evidence supports that women and men judge differently in different cases, which means that any judicial body with unequal representation of either women or men is potentially incapable of judging without bias.</w:t>
      </w:r>
      <w:r w:rsidR="002D33D5">
        <w:rPr>
          <w:rStyle w:val="FootnoteReference"/>
        </w:rPr>
        <w:footnoteReference w:id="12"/>
      </w:r>
      <w:r w:rsidR="002D33D5">
        <w:t xml:space="preserve">  This is particularly relevant when a body like the Inter-American Court of Human Rights has to decide a case involving, for example, sexual violence perpetrated against women by agents of the State.</w:t>
      </w:r>
    </w:p>
    <w:p w:rsidR="00BF7E63" w:rsidRDefault="00BF7E63" w:rsidP="00BF7E63"/>
    <w:p w:rsidR="004A4B2B" w:rsidRDefault="004A4B2B" w:rsidP="004A4B2B">
      <w:r>
        <w:t xml:space="preserve">Since </w:t>
      </w:r>
      <w:r w:rsidR="00436638">
        <w:t>2013,</w:t>
      </w:r>
      <w:r>
        <w:t xml:space="preserve"> a number of actors both inside and outside the inter-American human rights system have been actively engaged in analysis and discussion of the nomination and selection processes for judges, commissioners and senior management personnel.  These discussions have identified a plethora of recommendations aimed at making the process itself more inclusive and transparent, with the goal of making the result more diverse.</w:t>
      </w:r>
      <w:r>
        <w:rPr>
          <w:rStyle w:val="FootnoteReference"/>
        </w:rPr>
        <w:footnoteReference w:id="13"/>
      </w:r>
    </w:p>
    <w:p w:rsidR="004A4B2B" w:rsidRDefault="004A4B2B" w:rsidP="004A4B2B"/>
    <w:p w:rsidR="004A4B2B" w:rsidRDefault="004A4B2B" w:rsidP="004A4B2B">
      <w:r>
        <w:t xml:space="preserve">The </w:t>
      </w:r>
      <w:proofErr w:type="spellStart"/>
      <w:r>
        <w:t>Gqual</w:t>
      </w:r>
      <w:proofErr w:type="spellEnd"/>
      <w:r>
        <w:t xml:space="preserve"> Campaign,</w:t>
      </w:r>
      <w:r w:rsidR="00A32EE0">
        <w:rPr>
          <w:rStyle w:val="FootnoteReference"/>
        </w:rPr>
        <w:footnoteReference w:id="14"/>
      </w:r>
      <w:r>
        <w:t xml:space="preserve"> which launched in 2015</w:t>
      </w:r>
      <w:r w:rsidR="00A32EE0">
        <w:t xml:space="preserve"> and </w:t>
      </w:r>
      <w:r>
        <w:t xml:space="preserve">aims to bring attention to the underrepresentation of women </w:t>
      </w:r>
      <w:r w:rsidR="00A32EE0">
        <w:t xml:space="preserve">in </w:t>
      </w:r>
      <w:r w:rsidR="00A32EE0" w:rsidRPr="00A32EE0">
        <w:t>international tribunals and monitoring or adjudicating bodies</w:t>
      </w:r>
      <w:r w:rsidR="00A32EE0">
        <w:t xml:space="preserve"> has been very active within the inter-American system, lobbying member states, activists and the Secretariat to join forces in strengthening their commitment to gender parity.  The data gathering and advocacy efforts with which the campaign debuted were successful in placing the issue on the agenda of a number of the OAS’ multilateral forums, including the Inter-American Commission of Women</w:t>
      </w:r>
      <w:r w:rsidR="00C13778">
        <w:t>,</w:t>
      </w:r>
      <w:r w:rsidR="00A32EE0">
        <w:t xml:space="preserve"> and the process for nominating and electing Commissioners and Judges has in recent years become somewhat more transparent and accessible.</w:t>
      </w:r>
      <w:r w:rsidR="00C13778">
        <w:t xml:space="preserve"> Additional commitments to ensuring gender parity such as the previously mentioned resolutions of the OAS General Assembly have resulted from the persistence of selected member states with the support of the Secretariat, and have served to maintain the high visibility of the issue as well as strengthen calls for accountability.</w:t>
      </w:r>
    </w:p>
    <w:p w:rsidR="00A32EE0" w:rsidRDefault="00A32EE0" w:rsidP="004A4B2B"/>
    <w:p w:rsidR="00BF2E5E" w:rsidRDefault="00BF2E5E" w:rsidP="00E77EC1"/>
    <w:sectPr w:rsidR="00BF2E5E" w:rsidSect="004366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8C" w:rsidRDefault="00566E8C" w:rsidP="00F65901">
      <w:r>
        <w:separator/>
      </w:r>
    </w:p>
  </w:endnote>
  <w:endnote w:type="continuationSeparator" w:id="0">
    <w:p w:rsidR="00566E8C" w:rsidRDefault="00566E8C" w:rsidP="00F6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8C" w:rsidRDefault="00566E8C" w:rsidP="00F65901">
      <w:r>
        <w:separator/>
      </w:r>
    </w:p>
  </w:footnote>
  <w:footnote w:type="continuationSeparator" w:id="0">
    <w:p w:rsidR="00566E8C" w:rsidRDefault="00566E8C" w:rsidP="00F65901">
      <w:r>
        <w:continuationSeparator/>
      </w:r>
    </w:p>
  </w:footnote>
  <w:footnote w:id="1">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The </w:t>
      </w:r>
      <w:r w:rsidRPr="006A0A4A">
        <w:rPr>
          <w:rFonts w:cstheme="minorHAnsi"/>
          <w:sz w:val="16"/>
          <w:szCs w:val="16"/>
        </w:rPr>
        <w:t xml:space="preserve">Follow-Up Mechanism to the Inter-American Convention on the Rights of Older Persons is not yet operational, as </w:t>
      </w:r>
      <w:proofErr w:type="gramStart"/>
      <w:r w:rsidRPr="006A0A4A">
        <w:rPr>
          <w:rFonts w:cstheme="minorHAnsi"/>
          <w:sz w:val="16"/>
          <w:szCs w:val="16"/>
        </w:rPr>
        <w:t>the Convention has only been ratified by six States Party</w:t>
      </w:r>
      <w:proofErr w:type="gramEnd"/>
      <w:r w:rsidRPr="006A0A4A">
        <w:rPr>
          <w:rFonts w:cstheme="minorHAnsi"/>
          <w:sz w:val="16"/>
          <w:szCs w:val="16"/>
        </w:rPr>
        <w:t xml:space="preserve"> and ten ratifications are needed. </w:t>
      </w:r>
    </w:p>
  </w:footnote>
  <w:footnote w:id="2">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For more information, see: </w:t>
      </w:r>
      <w:hyperlink r:id="rId1" w:history="1">
        <w:r w:rsidRPr="006A0A4A">
          <w:rPr>
            <w:rStyle w:val="Hyperlink"/>
            <w:sz w:val="16"/>
            <w:szCs w:val="16"/>
          </w:rPr>
          <w:t>http://www.oas.org/en/iachr/</w:t>
        </w:r>
      </w:hyperlink>
    </w:p>
  </w:footnote>
  <w:footnote w:id="3">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For more information, see: </w:t>
      </w:r>
      <w:hyperlink r:id="rId2" w:history="1">
        <w:r w:rsidRPr="006A0A4A">
          <w:rPr>
            <w:rStyle w:val="Hyperlink"/>
            <w:sz w:val="16"/>
            <w:szCs w:val="16"/>
          </w:rPr>
          <w:t>http://www.corteidh.or.cr/index-en.cfm</w:t>
        </w:r>
      </w:hyperlink>
    </w:p>
  </w:footnote>
  <w:footnote w:id="4">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For more information, see: </w:t>
      </w:r>
      <w:hyperlink r:id="rId3" w:history="1">
        <w:r w:rsidRPr="006A0A4A">
          <w:rPr>
            <w:rStyle w:val="Hyperlink"/>
            <w:sz w:val="16"/>
            <w:szCs w:val="16"/>
          </w:rPr>
          <w:t>http://www.oas.org/en/mesecvi/default.asp</w:t>
        </w:r>
      </w:hyperlink>
    </w:p>
  </w:footnote>
  <w:footnote w:id="5">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For more information, see: </w:t>
      </w:r>
      <w:hyperlink r:id="rId4" w:history="1">
        <w:r w:rsidRPr="006A0A4A">
          <w:rPr>
            <w:rStyle w:val="Hyperlink"/>
            <w:sz w:val="16"/>
            <w:szCs w:val="16"/>
          </w:rPr>
          <w:t>https://www.oas.org/en/sedi/ddse/pages/index-4_committee.asp</w:t>
        </w:r>
      </w:hyperlink>
    </w:p>
  </w:footnote>
  <w:footnote w:id="6">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w:t>
      </w:r>
      <w:r w:rsidRPr="006A0A4A">
        <w:rPr>
          <w:color w:val="000000"/>
          <w:sz w:val="16"/>
          <w:szCs w:val="16"/>
        </w:rPr>
        <w:t xml:space="preserve">The </w:t>
      </w:r>
      <w:proofErr w:type="spellStart"/>
      <w:r w:rsidRPr="006A0A4A">
        <w:rPr>
          <w:color w:val="000000"/>
          <w:sz w:val="16"/>
          <w:szCs w:val="16"/>
        </w:rPr>
        <w:t>Rapporteurships</w:t>
      </w:r>
      <w:proofErr w:type="spellEnd"/>
      <w:r w:rsidRPr="006A0A4A">
        <w:rPr>
          <w:color w:val="000000"/>
          <w:sz w:val="16"/>
          <w:szCs w:val="16"/>
        </w:rPr>
        <w:t xml:space="preserve"> of the IACHR touch on the following thematic issues: Rights of Indigenous Peoples, Rights of Women, Rights of Migrants, Rights of the Child, Human Rights Defenders, Rights of Persons Deprived of Liberty, </w:t>
      </w:r>
      <w:proofErr w:type="gramStart"/>
      <w:r w:rsidRPr="006A0A4A">
        <w:rPr>
          <w:color w:val="000000"/>
          <w:sz w:val="16"/>
          <w:szCs w:val="16"/>
        </w:rPr>
        <w:t>Rights</w:t>
      </w:r>
      <w:proofErr w:type="gramEnd"/>
      <w:r w:rsidRPr="006A0A4A">
        <w:rPr>
          <w:color w:val="000000"/>
          <w:sz w:val="16"/>
          <w:szCs w:val="16"/>
        </w:rPr>
        <w:t xml:space="preserve"> of Afro-Descendants and against Racial Discrimination, and Rights of Lesbian, Gay, Trans, Bisexual, and Intersex Persons. In addition, two Special </w:t>
      </w:r>
      <w:proofErr w:type="spellStart"/>
      <w:r w:rsidRPr="006A0A4A">
        <w:rPr>
          <w:color w:val="000000"/>
          <w:sz w:val="16"/>
          <w:szCs w:val="16"/>
        </w:rPr>
        <w:t>Rapporteurships</w:t>
      </w:r>
      <w:proofErr w:type="spellEnd"/>
      <w:r w:rsidRPr="006A0A4A">
        <w:rPr>
          <w:color w:val="000000"/>
          <w:sz w:val="16"/>
          <w:szCs w:val="16"/>
        </w:rPr>
        <w:t xml:space="preserve"> touch on: Freedom of Expression and Economic, Social, Cultural, and Environmental Rights. </w:t>
      </w:r>
      <w:hyperlink r:id="rId5" w:history="1">
        <w:r w:rsidRPr="006A0A4A">
          <w:rPr>
            <w:rStyle w:val="Hyperlink"/>
            <w:sz w:val="16"/>
            <w:szCs w:val="16"/>
          </w:rPr>
          <w:t>https://www.oas.org/en/iachr/mandate/rapporteurships.asp</w:t>
        </w:r>
      </w:hyperlink>
    </w:p>
  </w:footnote>
  <w:footnote w:id="7">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See: </w:t>
      </w:r>
      <w:hyperlink r:id="rId6" w:history="1">
        <w:r w:rsidRPr="006A0A4A">
          <w:rPr>
            <w:rStyle w:val="Hyperlink"/>
            <w:sz w:val="16"/>
            <w:szCs w:val="16"/>
          </w:rPr>
          <w:t>http://scm.oas.org/IDMS/Redirectpage.aspx?class=AG/doc.&amp;classNum=5682&amp;lang=e</w:t>
        </w:r>
      </w:hyperlink>
      <w:r w:rsidRPr="006A0A4A">
        <w:rPr>
          <w:sz w:val="16"/>
          <w:szCs w:val="16"/>
        </w:rPr>
        <w:t xml:space="preserve"> for the full text of the resolution.</w:t>
      </w:r>
    </w:p>
  </w:footnote>
  <w:footnote w:id="8">
    <w:p w:rsidR="00BF2E5E" w:rsidRPr="006A0A4A" w:rsidRDefault="00BF2E5E" w:rsidP="00894685">
      <w:pPr>
        <w:jc w:val="left"/>
        <w:rPr>
          <w:color w:val="000000"/>
          <w:sz w:val="16"/>
          <w:szCs w:val="16"/>
          <w:lang w:eastAsia="es-ES"/>
        </w:rPr>
      </w:pPr>
      <w:r w:rsidRPr="006A0A4A">
        <w:rPr>
          <w:rStyle w:val="FootnoteReference"/>
          <w:sz w:val="16"/>
          <w:szCs w:val="16"/>
        </w:rPr>
        <w:footnoteRef/>
      </w:r>
      <w:r w:rsidRPr="006A0A4A">
        <w:rPr>
          <w:sz w:val="16"/>
          <w:szCs w:val="16"/>
        </w:rPr>
        <w:t xml:space="preserve"> See: </w:t>
      </w:r>
      <w:hyperlink r:id="rId7" w:history="1">
        <w:r w:rsidRPr="006A0A4A">
          <w:rPr>
            <w:rStyle w:val="Hyperlink"/>
            <w:sz w:val="16"/>
            <w:szCs w:val="16"/>
          </w:rPr>
          <w:t>http://scm.oas.org/IDMS/Redirectpage.aspx?class=AG/doc.&amp;classNum=5682&amp;lang=e</w:t>
        </w:r>
      </w:hyperlink>
      <w:r w:rsidRPr="006A0A4A">
        <w:rPr>
          <w:sz w:val="16"/>
          <w:szCs w:val="16"/>
        </w:rPr>
        <w:t xml:space="preserve"> for the full text of the resolution.</w:t>
      </w:r>
    </w:p>
  </w:footnote>
  <w:footnote w:id="9">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See: </w:t>
      </w:r>
      <w:hyperlink r:id="rId8" w:history="1">
        <w:r w:rsidRPr="006A0A4A">
          <w:rPr>
            <w:rStyle w:val="Hyperlink"/>
            <w:sz w:val="16"/>
            <w:szCs w:val="16"/>
          </w:rPr>
          <w:t>http://scm.oas.org/doc_public/english/hist_20/cp42142e03.docx</w:t>
        </w:r>
      </w:hyperlink>
      <w:r w:rsidRPr="006A0A4A">
        <w:rPr>
          <w:sz w:val="16"/>
          <w:szCs w:val="16"/>
        </w:rPr>
        <w:t xml:space="preserve"> for the full text of the resolution.</w:t>
      </w:r>
    </w:p>
  </w:footnote>
  <w:footnote w:id="10">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The </w:t>
      </w:r>
      <w:proofErr w:type="spellStart"/>
      <w:r w:rsidRPr="006A0A4A">
        <w:rPr>
          <w:sz w:val="16"/>
          <w:szCs w:val="16"/>
        </w:rPr>
        <w:t>Rapporteurships</w:t>
      </w:r>
      <w:proofErr w:type="spellEnd"/>
      <w:r w:rsidRPr="006A0A4A">
        <w:rPr>
          <w:sz w:val="16"/>
          <w:szCs w:val="16"/>
        </w:rPr>
        <w:t xml:space="preserve"> on Indigenous, Women, Children, Afro-Descendant and LGBTI Persons </w:t>
      </w:r>
      <w:proofErr w:type="gramStart"/>
      <w:r w:rsidRPr="006A0A4A">
        <w:rPr>
          <w:sz w:val="16"/>
          <w:szCs w:val="16"/>
        </w:rPr>
        <w:t>are headed</w:t>
      </w:r>
      <w:proofErr w:type="gramEnd"/>
      <w:r w:rsidRPr="006A0A4A">
        <w:rPr>
          <w:sz w:val="16"/>
          <w:szCs w:val="16"/>
        </w:rPr>
        <w:t xml:space="preserve"> by women, as is the Special Rapporteurship on Economic, Social and Cultural Rights. The Rapporteurships on Migrant Persons, Human Rights Defenders and People Deprived of Liberty </w:t>
      </w:r>
      <w:proofErr w:type="gramStart"/>
      <w:r w:rsidRPr="006A0A4A">
        <w:rPr>
          <w:sz w:val="16"/>
          <w:szCs w:val="16"/>
        </w:rPr>
        <w:t>are headed</w:t>
      </w:r>
      <w:proofErr w:type="gramEnd"/>
      <w:r w:rsidRPr="006A0A4A">
        <w:rPr>
          <w:sz w:val="16"/>
          <w:szCs w:val="16"/>
        </w:rPr>
        <w:t xml:space="preserve"> by men, as is the Special Rapporteurship on Freedom of Expression. </w:t>
      </w:r>
    </w:p>
  </w:footnote>
  <w:footnote w:id="11">
    <w:p w:rsidR="00BF2E5E" w:rsidRPr="006A0A4A" w:rsidRDefault="00BF2E5E" w:rsidP="00894685">
      <w:pPr>
        <w:pStyle w:val="FootnoteText"/>
        <w:jc w:val="left"/>
        <w:rPr>
          <w:sz w:val="16"/>
          <w:szCs w:val="16"/>
        </w:rPr>
      </w:pPr>
      <w:r w:rsidRPr="006A0A4A">
        <w:rPr>
          <w:rStyle w:val="FootnoteReference"/>
          <w:sz w:val="16"/>
          <w:szCs w:val="16"/>
        </w:rPr>
        <w:footnoteRef/>
      </w:r>
      <w:r w:rsidRPr="006A0A4A">
        <w:rPr>
          <w:sz w:val="16"/>
          <w:szCs w:val="16"/>
        </w:rPr>
        <w:t xml:space="preserve"> For more information, see </w:t>
      </w:r>
      <w:hyperlink r:id="rId9" w:history="1">
        <w:r w:rsidRPr="006A0A4A">
          <w:rPr>
            <w:rStyle w:val="Hyperlink"/>
            <w:sz w:val="16"/>
            <w:szCs w:val="16"/>
          </w:rPr>
          <w:t>https://www.oas.org/en/sedi/ddse/pages/index-4_committee_members.asp</w:t>
        </w:r>
      </w:hyperlink>
    </w:p>
  </w:footnote>
  <w:footnote w:id="12">
    <w:p w:rsidR="00BF2E5E" w:rsidRPr="006A0A4A" w:rsidRDefault="00BF2E5E">
      <w:pPr>
        <w:pStyle w:val="FootnoteText"/>
        <w:rPr>
          <w:sz w:val="16"/>
          <w:szCs w:val="16"/>
        </w:rPr>
      </w:pPr>
      <w:r w:rsidRPr="006A0A4A">
        <w:rPr>
          <w:rStyle w:val="FootnoteReference"/>
          <w:sz w:val="16"/>
          <w:szCs w:val="16"/>
        </w:rPr>
        <w:footnoteRef/>
      </w:r>
      <w:r w:rsidRPr="006A0A4A">
        <w:rPr>
          <w:sz w:val="16"/>
          <w:szCs w:val="16"/>
        </w:rPr>
        <w:t xml:space="preserve"> CEJIL (2014), </w:t>
      </w:r>
      <w:proofErr w:type="spellStart"/>
      <w:r w:rsidRPr="006A0A4A">
        <w:rPr>
          <w:sz w:val="16"/>
          <w:szCs w:val="16"/>
        </w:rPr>
        <w:t>op.cit</w:t>
      </w:r>
      <w:proofErr w:type="spellEnd"/>
      <w:r w:rsidRPr="006A0A4A">
        <w:rPr>
          <w:sz w:val="16"/>
          <w:szCs w:val="16"/>
        </w:rPr>
        <w:t>.</w:t>
      </w:r>
    </w:p>
  </w:footnote>
  <w:footnote w:id="13">
    <w:p w:rsidR="00BF2E5E" w:rsidRPr="006A0A4A" w:rsidRDefault="00BF2E5E" w:rsidP="004A4B2B">
      <w:pPr>
        <w:pStyle w:val="FootnoteText"/>
        <w:jc w:val="left"/>
        <w:rPr>
          <w:sz w:val="16"/>
          <w:szCs w:val="16"/>
        </w:rPr>
      </w:pPr>
      <w:r w:rsidRPr="006A0A4A">
        <w:rPr>
          <w:rStyle w:val="FootnoteReference"/>
          <w:sz w:val="16"/>
          <w:szCs w:val="16"/>
        </w:rPr>
        <w:footnoteRef/>
      </w:r>
      <w:r w:rsidRPr="006A0A4A">
        <w:rPr>
          <w:sz w:val="16"/>
          <w:szCs w:val="16"/>
        </w:rPr>
        <w:t xml:space="preserve"> See for example: CEJIL (2014). </w:t>
      </w:r>
      <w:r w:rsidRPr="006A0A4A">
        <w:rPr>
          <w:i/>
          <w:sz w:val="16"/>
          <w:szCs w:val="16"/>
        </w:rPr>
        <w:t>The Selection Process of the Inter-American Commission and Court on Human Rights: Reflections on necessary reforms</w:t>
      </w:r>
      <w:r w:rsidRPr="006A0A4A">
        <w:rPr>
          <w:sz w:val="16"/>
          <w:szCs w:val="16"/>
        </w:rPr>
        <w:t xml:space="preserve"> (Position Paper No. 10)  </w:t>
      </w:r>
      <w:hyperlink r:id="rId10" w:history="1">
        <w:r w:rsidRPr="006A0A4A">
          <w:rPr>
            <w:rStyle w:val="Hyperlink"/>
            <w:sz w:val="16"/>
            <w:szCs w:val="16"/>
          </w:rPr>
          <w:t>https://www.cejil.org/sites/default/files/legacy_files/Position%20Paper%20N%C2%BA10.pdf</w:t>
        </w:r>
      </w:hyperlink>
    </w:p>
  </w:footnote>
  <w:footnote w:id="14">
    <w:p w:rsidR="00BF2E5E" w:rsidRPr="006A0A4A" w:rsidRDefault="00BF2E5E">
      <w:pPr>
        <w:pStyle w:val="FootnoteText"/>
        <w:rPr>
          <w:sz w:val="16"/>
          <w:szCs w:val="16"/>
        </w:rPr>
      </w:pPr>
      <w:r w:rsidRPr="006A0A4A">
        <w:rPr>
          <w:rStyle w:val="FootnoteReference"/>
          <w:sz w:val="16"/>
          <w:szCs w:val="16"/>
        </w:rPr>
        <w:footnoteRef/>
      </w:r>
      <w:r w:rsidRPr="006A0A4A">
        <w:rPr>
          <w:sz w:val="16"/>
          <w:szCs w:val="16"/>
        </w:rPr>
        <w:t xml:space="preserve"> For more information, see: </w:t>
      </w:r>
      <w:hyperlink r:id="rId11" w:history="1">
        <w:r w:rsidRPr="006A0A4A">
          <w:rPr>
            <w:rStyle w:val="Hyperlink"/>
            <w:sz w:val="16"/>
            <w:szCs w:val="16"/>
          </w:rPr>
          <w:t>http://www.gqualcampaign.org/about-gqual/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D7D"/>
    <w:multiLevelType w:val="hybridMultilevel"/>
    <w:tmpl w:val="E1807030"/>
    <w:lvl w:ilvl="0" w:tplc="58169864">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150ECC"/>
    <w:multiLevelType w:val="hybridMultilevel"/>
    <w:tmpl w:val="4072B4D6"/>
    <w:lvl w:ilvl="0" w:tplc="F43E9D0E">
      <w:start w:val="2"/>
      <w:numFmt w:val="decimal"/>
      <w:lvlText w:val="%1."/>
      <w:lvlJc w:val="left"/>
      <w:pPr>
        <w:ind w:left="1350" w:hanging="720"/>
      </w:pPr>
      <w:rPr>
        <w:rFonts w:hint="default"/>
        <w:i w:val="0"/>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D9134D"/>
    <w:multiLevelType w:val="hybridMultilevel"/>
    <w:tmpl w:val="8AB4BEEA"/>
    <w:lvl w:ilvl="0" w:tplc="5910492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3C"/>
    <w:rsid w:val="000739D7"/>
    <w:rsid w:val="000D3EEB"/>
    <w:rsid w:val="00111D7D"/>
    <w:rsid w:val="0013454F"/>
    <w:rsid w:val="002C4C24"/>
    <w:rsid w:val="002D33D5"/>
    <w:rsid w:val="002F08AD"/>
    <w:rsid w:val="002F4DFE"/>
    <w:rsid w:val="00373AA2"/>
    <w:rsid w:val="003C6B1D"/>
    <w:rsid w:val="003C7865"/>
    <w:rsid w:val="003E0F34"/>
    <w:rsid w:val="00436638"/>
    <w:rsid w:val="00436EF3"/>
    <w:rsid w:val="0046139D"/>
    <w:rsid w:val="004753BD"/>
    <w:rsid w:val="00486339"/>
    <w:rsid w:val="004A4B2B"/>
    <w:rsid w:val="004C3A8B"/>
    <w:rsid w:val="00515338"/>
    <w:rsid w:val="00566E8C"/>
    <w:rsid w:val="005E1F87"/>
    <w:rsid w:val="005F2005"/>
    <w:rsid w:val="005F6A3C"/>
    <w:rsid w:val="00614844"/>
    <w:rsid w:val="0062173C"/>
    <w:rsid w:val="00645386"/>
    <w:rsid w:val="006A0A4A"/>
    <w:rsid w:val="006B6490"/>
    <w:rsid w:val="00773779"/>
    <w:rsid w:val="007C7D9A"/>
    <w:rsid w:val="007D33F2"/>
    <w:rsid w:val="00894685"/>
    <w:rsid w:val="0091318F"/>
    <w:rsid w:val="00957E58"/>
    <w:rsid w:val="009A3851"/>
    <w:rsid w:val="009B1083"/>
    <w:rsid w:val="009B1A85"/>
    <w:rsid w:val="009D3908"/>
    <w:rsid w:val="009E3681"/>
    <w:rsid w:val="00A05753"/>
    <w:rsid w:val="00A32EE0"/>
    <w:rsid w:val="00A82B19"/>
    <w:rsid w:val="00B732EF"/>
    <w:rsid w:val="00BA2827"/>
    <w:rsid w:val="00BF2E5E"/>
    <w:rsid w:val="00BF7E63"/>
    <w:rsid w:val="00C13778"/>
    <w:rsid w:val="00C92923"/>
    <w:rsid w:val="00CB5BE1"/>
    <w:rsid w:val="00CF0A65"/>
    <w:rsid w:val="00D11B9D"/>
    <w:rsid w:val="00D7266B"/>
    <w:rsid w:val="00DA2899"/>
    <w:rsid w:val="00E04367"/>
    <w:rsid w:val="00E77EC1"/>
    <w:rsid w:val="00ED2991"/>
    <w:rsid w:val="00EF797C"/>
    <w:rsid w:val="00F13253"/>
    <w:rsid w:val="00F133B7"/>
    <w:rsid w:val="00F35263"/>
    <w:rsid w:val="00F65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7DA2"/>
  <w15:chartTrackingRefBased/>
  <w15:docId w15:val="{34E02842-0EE9-4C7F-886A-19AB84B7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5901"/>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8F"/>
    <w:pPr>
      <w:ind w:left="720"/>
      <w:contextualSpacing/>
    </w:pPr>
  </w:style>
  <w:style w:type="character" w:customStyle="1" w:styleId="Heading2Char">
    <w:name w:val="Heading 2 Char"/>
    <w:basedOn w:val="DefaultParagraphFont"/>
    <w:link w:val="Heading2"/>
    <w:uiPriority w:val="9"/>
    <w:rsid w:val="00F65901"/>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F65901"/>
    <w:rPr>
      <w:sz w:val="20"/>
      <w:szCs w:val="20"/>
    </w:rPr>
  </w:style>
  <w:style w:type="character" w:customStyle="1" w:styleId="FootnoteTextChar">
    <w:name w:val="Footnote Text Char"/>
    <w:basedOn w:val="DefaultParagraphFont"/>
    <w:link w:val="FootnoteText"/>
    <w:uiPriority w:val="99"/>
    <w:semiHidden/>
    <w:rsid w:val="00F65901"/>
    <w:rPr>
      <w:sz w:val="20"/>
      <w:szCs w:val="20"/>
    </w:rPr>
  </w:style>
  <w:style w:type="character" w:styleId="FootnoteReference">
    <w:name w:val="footnote reference"/>
    <w:basedOn w:val="DefaultParagraphFont"/>
    <w:uiPriority w:val="99"/>
    <w:semiHidden/>
    <w:unhideWhenUsed/>
    <w:rsid w:val="00F65901"/>
    <w:rPr>
      <w:vertAlign w:val="superscript"/>
    </w:rPr>
  </w:style>
  <w:style w:type="character" w:styleId="Hyperlink">
    <w:name w:val="Hyperlink"/>
    <w:basedOn w:val="DefaultParagraphFont"/>
    <w:uiPriority w:val="99"/>
    <w:semiHidden/>
    <w:unhideWhenUsed/>
    <w:rsid w:val="00F65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6464">
      <w:bodyDiv w:val="1"/>
      <w:marLeft w:val="0"/>
      <w:marRight w:val="0"/>
      <w:marTop w:val="0"/>
      <w:marBottom w:val="0"/>
      <w:divBdr>
        <w:top w:val="none" w:sz="0" w:space="0" w:color="auto"/>
        <w:left w:val="none" w:sz="0" w:space="0" w:color="auto"/>
        <w:bottom w:val="none" w:sz="0" w:space="0" w:color="auto"/>
        <w:right w:val="none" w:sz="0" w:space="0" w:color="auto"/>
      </w:divBdr>
    </w:div>
    <w:div w:id="358746920">
      <w:bodyDiv w:val="1"/>
      <w:marLeft w:val="0"/>
      <w:marRight w:val="0"/>
      <w:marTop w:val="0"/>
      <w:marBottom w:val="0"/>
      <w:divBdr>
        <w:top w:val="none" w:sz="0" w:space="0" w:color="auto"/>
        <w:left w:val="none" w:sz="0" w:space="0" w:color="auto"/>
        <w:bottom w:val="none" w:sz="0" w:space="0" w:color="auto"/>
        <w:right w:val="none" w:sz="0" w:space="0" w:color="auto"/>
      </w:divBdr>
    </w:div>
    <w:div w:id="3836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m.oas.org/doc_public/english/hist_20/cp42142e03.docx" TargetMode="External"/><Relationship Id="rId3" Type="http://schemas.openxmlformats.org/officeDocument/2006/relationships/hyperlink" Target="http://www.oas.org/en/mesecvi/default.asp" TargetMode="External"/><Relationship Id="rId7" Type="http://schemas.openxmlformats.org/officeDocument/2006/relationships/hyperlink" Target="http://scm.oas.org/IDMS/Redirectpage.aspx?class=AG/doc.&amp;classNum=5682&amp;lang=e" TargetMode="External"/><Relationship Id="rId2" Type="http://schemas.openxmlformats.org/officeDocument/2006/relationships/hyperlink" Target="http://www.corteidh.or.cr/index-en.cfm" TargetMode="External"/><Relationship Id="rId1" Type="http://schemas.openxmlformats.org/officeDocument/2006/relationships/hyperlink" Target="http://www.oas.org/en/iachr/" TargetMode="External"/><Relationship Id="rId6" Type="http://schemas.openxmlformats.org/officeDocument/2006/relationships/hyperlink" Target="http://scm.oas.org/IDMS/Redirectpage.aspx?class=AG/doc.&amp;classNum=5682&amp;lang=e" TargetMode="External"/><Relationship Id="rId11" Type="http://schemas.openxmlformats.org/officeDocument/2006/relationships/hyperlink" Target="http://www.gqualcampaign.org/about-gqual/" TargetMode="External"/><Relationship Id="rId5" Type="http://schemas.openxmlformats.org/officeDocument/2006/relationships/hyperlink" Target="https://www.oas.org/en/iachr/mandate/rapporteurships.asp" TargetMode="External"/><Relationship Id="rId10" Type="http://schemas.openxmlformats.org/officeDocument/2006/relationships/hyperlink" Target="https://www.cejil.org/sites/default/files/legacy_files/Position%20Paper%20N%C2%BA10.pdf" TargetMode="External"/><Relationship Id="rId4" Type="http://schemas.openxmlformats.org/officeDocument/2006/relationships/hyperlink" Target="https://www.oas.org/en/sedi/ddse/pages/index-4_committee.asp" TargetMode="External"/><Relationship Id="rId9" Type="http://schemas.openxmlformats.org/officeDocument/2006/relationships/hyperlink" Target="https://www.oas.org/en/sedi/ddse/pages/index-4_committee_member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D161DD-D78A-4D01-ACE0-EC285A7ED822}">
  <ds:schemaRefs>
    <ds:schemaRef ds:uri="http://schemas.openxmlformats.org/officeDocument/2006/bibliography"/>
  </ds:schemaRefs>
</ds:datastoreItem>
</file>

<file path=customXml/itemProps2.xml><?xml version="1.0" encoding="utf-8"?>
<ds:datastoreItem xmlns:ds="http://schemas.openxmlformats.org/officeDocument/2006/customXml" ds:itemID="{42C27C76-9942-4EFB-8983-A8F68F68852C}"/>
</file>

<file path=customXml/itemProps3.xml><?xml version="1.0" encoding="utf-8"?>
<ds:datastoreItem xmlns:ds="http://schemas.openxmlformats.org/officeDocument/2006/customXml" ds:itemID="{49D9506D-3A46-4767-B1C7-8F397F726A93}"/>
</file>

<file path=customXml/itemProps4.xml><?xml version="1.0" encoding="utf-8"?>
<ds:datastoreItem xmlns:ds="http://schemas.openxmlformats.org/officeDocument/2006/customXml" ds:itemID="{3DC205D2-8F33-41F6-B107-8EEB917CC8C9}"/>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Hilary Anderson</cp:lastModifiedBy>
  <cp:revision>2</cp:revision>
  <dcterms:created xsi:type="dcterms:W3CDTF">2020-05-28T01:00:00Z</dcterms:created>
  <dcterms:modified xsi:type="dcterms:W3CDTF">2020-05-28T01:00:00Z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