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F9414" w14:textId="4EAF0167" w:rsidR="00B562DD" w:rsidRPr="00B562DD" w:rsidRDefault="00B562DD" w:rsidP="00B562DD">
      <w:pPr>
        <w:tabs>
          <w:tab w:val="left" w:pos="3057"/>
        </w:tabs>
        <w:spacing w:before="184" w:after="0" w:line="300" w:lineRule="exact"/>
        <w:ind w:left="2707" w:right="2153"/>
        <w:jc w:val="right"/>
        <w:rPr>
          <w:rFonts w:ascii="Times New Roman" w:eastAsia="Times New Roman" w:hAnsi="Times New Roman" w:cs="Times New Roman"/>
          <w:i/>
          <w:iCs/>
          <w:sz w:val="24"/>
          <w:szCs w:val="24"/>
          <w:lang w:val="es-GT"/>
        </w:rPr>
      </w:pPr>
      <w:bookmarkStart w:id="0" w:name="_GoBack"/>
      <w:bookmarkEnd w:id="0"/>
      <w:r w:rsidRPr="00B562DD">
        <w:rPr>
          <w:rFonts w:ascii="Times New Roman" w:eastAsia="Times New Roman" w:hAnsi="Times New Roman" w:cs="Times New Roman"/>
          <w:i/>
          <w:iCs/>
          <w:sz w:val="24"/>
          <w:szCs w:val="24"/>
          <w:lang w:val="es-GT"/>
        </w:rPr>
        <w:t>Guatemala, 28 de mayo 2020</w:t>
      </w:r>
    </w:p>
    <w:p w14:paraId="4FC51CB2" w14:textId="77777777" w:rsidR="00B562DD" w:rsidRDefault="00B562DD" w:rsidP="00DA56AE">
      <w:pPr>
        <w:tabs>
          <w:tab w:val="left" w:pos="3057"/>
        </w:tabs>
        <w:spacing w:before="184" w:after="0" w:line="300" w:lineRule="exact"/>
        <w:ind w:left="2707" w:right="2153"/>
        <w:jc w:val="center"/>
        <w:rPr>
          <w:rFonts w:ascii="Times New Roman" w:eastAsia="Times New Roman" w:hAnsi="Times New Roman" w:cs="Times New Roman"/>
          <w:b/>
          <w:bCs/>
          <w:sz w:val="24"/>
          <w:szCs w:val="24"/>
          <w:lang w:val="es-GT"/>
        </w:rPr>
      </w:pPr>
    </w:p>
    <w:p w14:paraId="426359E1" w14:textId="620A3815" w:rsidR="00B562DD" w:rsidRPr="00B562DD" w:rsidRDefault="0070397D" w:rsidP="00B562DD">
      <w:pPr>
        <w:tabs>
          <w:tab w:val="left" w:pos="3057"/>
        </w:tabs>
        <w:spacing w:before="184" w:after="0" w:line="300" w:lineRule="exact"/>
        <w:ind w:left="2707" w:right="2153"/>
        <w:jc w:val="center"/>
        <w:rPr>
          <w:rFonts w:ascii="Times New Roman" w:eastAsia="Times New Roman" w:hAnsi="Times New Roman" w:cs="Times New Roman"/>
          <w:b/>
          <w:bCs/>
          <w:sz w:val="24"/>
          <w:szCs w:val="24"/>
          <w:lang w:val="es-GT"/>
        </w:rPr>
      </w:pPr>
      <w:r>
        <w:rPr>
          <w:rFonts w:ascii="Times New Roman" w:eastAsia="Times New Roman" w:hAnsi="Times New Roman" w:cs="Times New Roman"/>
          <w:b/>
          <w:bCs/>
          <w:sz w:val="24"/>
          <w:szCs w:val="24"/>
          <w:lang w:val="es-GT"/>
        </w:rPr>
        <w:t>Insumos para dar r</w:t>
      </w:r>
      <w:r w:rsidR="00B562DD">
        <w:rPr>
          <w:rFonts w:ascii="Times New Roman" w:eastAsia="Times New Roman" w:hAnsi="Times New Roman" w:cs="Times New Roman"/>
          <w:b/>
          <w:bCs/>
          <w:sz w:val="24"/>
          <w:szCs w:val="24"/>
          <w:lang w:val="es-GT"/>
        </w:rPr>
        <w:t xml:space="preserve">espuesta </w:t>
      </w:r>
      <w:r>
        <w:rPr>
          <w:rFonts w:ascii="Times New Roman" w:eastAsia="Times New Roman" w:hAnsi="Times New Roman" w:cs="Times New Roman"/>
          <w:b/>
          <w:bCs/>
          <w:sz w:val="24"/>
          <w:szCs w:val="24"/>
          <w:lang w:val="es-GT"/>
        </w:rPr>
        <w:t xml:space="preserve">por parte del Estado de Guatemala </w:t>
      </w:r>
      <w:r w:rsidR="00B562DD">
        <w:rPr>
          <w:rFonts w:ascii="Times New Roman" w:eastAsia="Times New Roman" w:hAnsi="Times New Roman" w:cs="Times New Roman"/>
          <w:b/>
          <w:bCs/>
          <w:sz w:val="24"/>
          <w:szCs w:val="24"/>
          <w:lang w:val="es-GT"/>
        </w:rPr>
        <w:t xml:space="preserve">al </w:t>
      </w:r>
      <w:r w:rsidR="00DA56AE" w:rsidRPr="00B562DD">
        <w:rPr>
          <w:rFonts w:ascii="Times New Roman" w:eastAsia="Times New Roman" w:hAnsi="Times New Roman" w:cs="Times New Roman"/>
          <w:b/>
          <w:bCs/>
          <w:sz w:val="24"/>
          <w:szCs w:val="24"/>
          <w:lang w:val="es-GT"/>
        </w:rPr>
        <w:t xml:space="preserve">Cuestionario sobre los niveles actuales de representación de la mujer </w:t>
      </w:r>
      <w:r w:rsidR="00B17B33">
        <w:rPr>
          <w:rFonts w:ascii="Times New Roman" w:eastAsia="Times New Roman" w:hAnsi="Times New Roman" w:cs="Times New Roman"/>
          <w:b/>
          <w:bCs/>
          <w:sz w:val="24"/>
          <w:szCs w:val="24"/>
          <w:lang w:val="es-GT"/>
        </w:rPr>
        <w:t xml:space="preserve">en </w:t>
      </w:r>
      <w:r w:rsidR="00DA56AE" w:rsidRPr="00B562DD">
        <w:rPr>
          <w:rFonts w:ascii="Times New Roman" w:eastAsia="Times New Roman" w:hAnsi="Times New Roman" w:cs="Times New Roman"/>
          <w:b/>
          <w:bCs/>
          <w:sz w:val="24"/>
          <w:szCs w:val="24"/>
          <w:lang w:val="es-GT"/>
        </w:rPr>
        <w:t>órganos y mecanismos</w:t>
      </w:r>
      <w:r w:rsidR="00B562DD" w:rsidRPr="00B562DD">
        <w:rPr>
          <w:rFonts w:ascii="Times New Roman" w:eastAsia="Times New Roman" w:hAnsi="Times New Roman" w:cs="Times New Roman"/>
          <w:b/>
          <w:bCs/>
          <w:sz w:val="24"/>
          <w:szCs w:val="24"/>
          <w:lang w:val="es-GT"/>
        </w:rPr>
        <w:t xml:space="preserve"> </w:t>
      </w:r>
      <w:r w:rsidR="00B562DD">
        <w:rPr>
          <w:rFonts w:ascii="Times New Roman" w:eastAsia="Times New Roman" w:hAnsi="Times New Roman" w:cs="Times New Roman"/>
          <w:b/>
          <w:bCs/>
          <w:sz w:val="24"/>
          <w:szCs w:val="24"/>
          <w:lang w:val="es-GT"/>
        </w:rPr>
        <w:t xml:space="preserve">de derechos humanos solicitado por el </w:t>
      </w:r>
      <w:r w:rsidR="00B562DD" w:rsidRPr="00B562DD">
        <w:rPr>
          <w:rFonts w:ascii="Times New Roman" w:eastAsia="Times New Roman" w:hAnsi="Times New Roman" w:cs="Times New Roman"/>
          <w:b/>
          <w:bCs/>
          <w:sz w:val="24"/>
          <w:szCs w:val="24"/>
          <w:lang w:val="es-GT"/>
        </w:rPr>
        <w:t>Comité Asesor del Consejo de Derechos Humanos</w:t>
      </w:r>
      <w:r w:rsidR="00B17B33">
        <w:rPr>
          <w:rFonts w:ascii="Times New Roman" w:eastAsia="Times New Roman" w:hAnsi="Times New Roman" w:cs="Times New Roman"/>
          <w:b/>
          <w:bCs/>
          <w:sz w:val="24"/>
          <w:szCs w:val="24"/>
          <w:lang w:val="es-GT"/>
        </w:rPr>
        <w:t xml:space="preserve"> de Naciones Unidas</w:t>
      </w:r>
      <w:r>
        <w:rPr>
          <w:rFonts w:ascii="Times New Roman" w:eastAsia="Times New Roman" w:hAnsi="Times New Roman" w:cs="Times New Roman"/>
          <w:b/>
          <w:bCs/>
          <w:sz w:val="24"/>
          <w:szCs w:val="24"/>
          <w:lang w:val="es-GT"/>
        </w:rPr>
        <w:t xml:space="preserve">. </w:t>
      </w:r>
      <w:r w:rsidR="00B17B33">
        <w:rPr>
          <w:rFonts w:ascii="Times New Roman" w:eastAsia="Times New Roman" w:hAnsi="Times New Roman" w:cs="Times New Roman"/>
          <w:b/>
          <w:bCs/>
          <w:sz w:val="24"/>
          <w:szCs w:val="24"/>
          <w:lang w:val="es-GT"/>
        </w:rPr>
        <w:t xml:space="preserve"> </w:t>
      </w:r>
    </w:p>
    <w:p w14:paraId="1483C81E" w14:textId="787BE633" w:rsidR="00DA56AE" w:rsidRPr="00B562DD" w:rsidRDefault="00DA56AE" w:rsidP="00DA56AE">
      <w:pPr>
        <w:tabs>
          <w:tab w:val="left" w:pos="3057"/>
        </w:tabs>
        <w:spacing w:before="184" w:after="0" w:line="300" w:lineRule="exact"/>
        <w:ind w:left="2707" w:right="2153"/>
        <w:jc w:val="center"/>
        <w:rPr>
          <w:rFonts w:ascii="Times New Roman" w:eastAsia="Times New Roman" w:hAnsi="Times New Roman" w:cs="Times New Roman"/>
          <w:b/>
          <w:bCs/>
          <w:sz w:val="24"/>
          <w:szCs w:val="24"/>
          <w:lang w:val="es-GT"/>
        </w:rPr>
      </w:pPr>
    </w:p>
    <w:p w14:paraId="270F5D11" w14:textId="562A0242" w:rsidR="00B562DD" w:rsidRPr="00B562DD" w:rsidRDefault="00B562DD" w:rsidP="00B17B33">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sidRPr="00B562DD">
        <w:rPr>
          <w:rFonts w:ascii="Times New Roman" w:eastAsia="Times New Roman" w:hAnsi="Times New Roman" w:cs="Times New Roman"/>
          <w:sz w:val="24"/>
          <w:szCs w:val="24"/>
          <w:lang w:val="es-GT"/>
        </w:rPr>
        <w:t>La Secretaría del Comité Asesor del Consejo de Derechos Humanos, en nombre del Comité</w:t>
      </w:r>
      <w:r w:rsidR="00B17B33">
        <w:rPr>
          <w:rFonts w:ascii="Times New Roman" w:eastAsia="Times New Roman" w:hAnsi="Times New Roman" w:cs="Times New Roman"/>
          <w:sz w:val="24"/>
          <w:szCs w:val="24"/>
          <w:lang w:val="es-GT"/>
        </w:rPr>
        <w:t xml:space="preserve"> </w:t>
      </w:r>
      <w:r w:rsidRPr="00B562DD">
        <w:rPr>
          <w:rFonts w:ascii="Times New Roman" w:eastAsia="Times New Roman" w:hAnsi="Times New Roman" w:cs="Times New Roman"/>
          <w:sz w:val="24"/>
          <w:szCs w:val="24"/>
          <w:lang w:val="es-GT"/>
        </w:rPr>
        <w:t xml:space="preserve">Asesor, </w:t>
      </w:r>
      <w:r w:rsidR="00B17B33">
        <w:rPr>
          <w:rFonts w:ascii="Times New Roman" w:eastAsia="Times New Roman" w:hAnsi="Times New Roman" w:cs="Times New Roman"/>
          <w:sz w:val="24"/>
          <w:szCs w:val="24"/>
          <w:lang w:val="es-GT"/>
        </w:rPr>
        <w:t xml:space="preserve">en el marco de la </w:t>
      </w:r>
      <w:r w:rsidRPr="00B562DD">
        <w:rPr>
          <w:rFonts w:ascii="Times New Roman" w:eastAsia="Times New Roman" w:hAnsi="Times New Roman" w:cs="Times New Roman"/>
          <w:sz w:val="24"/>
          <w:szCs w:val="24"/>
          <w:lang w:val="es-GT"/>
        </w:rPr>
        <w:t>resolución 41/6 del Consejo de Derechos Humanos,</w:t>
      </w:r>
      <w:r w:rsidR="00B17B33">
        <w:rPr>
          <w:rFonts w:ascii="Times New Roman" w:eastAsia="Times New Roman" w:hAnsi="Times New Roman" w:cs="Times New Roman"/>
          <w:sz w:val="24"/>
          <w:szCs w:val="24"/>
          <w:lang w:val="es-GT"/>
        </w:rPr>
        <w:t xml:space="preserve"> </w:t>
      </w:r>
      <w:r w:rsidRPr="00B562DD">
        <w:rPr>
          <w:rFonts w:ascii="Times New Roman" w:eastAsia="Times New Roman" w:hAnsi="Times New Roman" w:cs="Times New Roman"/>
          <w:sz w:val="24"/>
          <w:szCs w:val="24"/>
          <w:lang w:val="es-GT"/>
        </w:rPr>
        <w:t xml:space="preserve">de 11 de julio de 2019, titulada </w:t>
      </w:r>
      <w:r w:rsidR="00B17B33">
        <w:rPr>
          <w:rFonts w:ascii="Times New Roman" w:eastAsia="Times New Roman" w:hAnsi="Times New Roman" w:cs="Times New Roman"/>
          <w:sz w:val="24"/>
          <w:szCs w:val="24"/>
          <w:lang w:val="es-GT"/>
        </w:rPr>
        <w:t>“</w:t>
      </w:r>
      <w:r w:rsidRPr="00B562DD">
        <w:rPr>
          <w:rFonts w:ascii="Times New Roman" w:eastAsia="Times New Roman" w:hAnsi="Times New Roman" w:cs="Times New Roman"/>
          <w:sz w:val="24"/>
          <w:szCs w:val="24"/>
          <w:lang w:val="es-GT"/>
        </w:rPr>
        <w:t>Eliminación de todas las formas de discriminación contra</w:t>
      </w:r>
      <w:r w:rsidR="00B17B33">
        <w:rPr>
          <w:rFonts w:ascii="Times New Roman" w:eastAsia="Times New Roman" w:hAnsi="Times New Roman" w:cs="Times New Roman"/>
          <w:sz w:val="24"/>
          <w:szCs w:val="24"/>
          <w:lang w:val="es-GT"/>
        </w:rPr>
        <w:t xml:space="preserve"> </w:t>
      </w:r>
      <w:r w:rsidRPr="00B562DD">
        <w:rPr>
          <w:rFonts w:ascii="Times New Roman" w:eastAsia="Times New Roman" w:hAnsi="Times New Roman" w:cs="Times New Roman"/>
          <w:sz w:val="24"/>
          <w:szCs w:val="24"/>
          <w:lang w:val="es-GT"/>
        </w:rPr>
        <w:t>las mujeres y las niña</w:t>
      </w:r>
      <w:r w:rsidR="00B17B33">
        <w:rPr>
          <w:rFonts w:ascii="Times New Roman" w:eastAsia="Times New Roman" w:hAnsi="Times New Roman" w:cs="Times New Roman"/>
          <w:sz w:val="24"/>
          <w:szCs w:val="24"/>
          <w:lang w:val="es-GT"/>
        </w:rPr>
        <w:t xml:space="preserve">”, solicitó insumos a todos los Estado Partes, a través de su </w:t>
      </w:r>
      <w:r w:rsidRPr="00B562DD">
        <w:rPr>
          <w:rFonts w:ascii="Times New Roman" w:eastAsia="Times New Roman" w:hAnsi="Times New Roman" w:cs="Times New Roman"/>
          <w:sz w:val="24"/>
          <w:szCs w:val="24"/>
          <w:lang w:val="es-GT"/>
        </w:rPr>
        <w:t>Nota verbal de fecha 12 de septiembre de 2019</w:t>
      </w:r>
      <w:r w:rsidR="00B17B33">
        <w:rPr>
          <w:rFonts w:ascii="Times New Roman" w:eastAsia="Times New Roman" w:hAnsi="Times New Roman" w:cs="Times New Roman"/>
          <w:sz w:val="24"/>
          <w:szCs w:val="24"/>
          <w:lang w:val="es-GT"/>
        </w:rPr>
        <w:t xml:space="preserve">, la cual fue traslada a la Secretaría Presidencial de la Mujer por el Ministerio de Relaciones Exteriores, oficio </w:t>
      </w:r>
      <w:r w:rsidR="00B17B33" w:rsidRPr="00B17B33">
        <w:rPr>
          <w:rFonts w:ascii="Times New Roman" w:eastAsia="Times New Roman" w:hAnsi="Times New Roman" w:cs="Times New Roman"/>
          <w:sz w:val="24"/>
          <w:szCs w:val="24"/>
          <w:lang w:val="es-GT"/>
        </w:rPr>
        <w:t>DIGR1ME-DIRDEHU 1099-2019</w:t>
      </w:r>
      <w:r w:rsidR="00B17B33">
        <w:rPr>
          <w:rFonts w:ascii="Times New Roman" w:eastAsia="Times New Roman" w:hAnsi="Times New Roman" w:cs="Times New Roman"/>
          <w:sz w:val="24"/>
          <w:szCs w:val="24"/>
          <w:lang w:val="es-GT"/>
        </w:rPr>
        <w:t xml:space="preserve">, con fecha del </w:t>
      </w:r>
      <w:r w:rsidR="00B17B33" w:rsidRPr="00B17B33">
        <w:rPr>
          <w:rFonts w:ascii="Times New Roman" w:eastAsia="Times New Roman" w:hAnsi="Times New Roman" w:cs="Times New Roman"/>
          <w:sz w:val="24"/>
          <w:szCs w:val="24"/>
          <w:lang w:val="es-GT"/>
        </w:rPr>
        <w:t xml:space="preserve">16 de </w:t>
      </w:r>
      <w:r w:rsidR="00B17B33" w:rsidRPr="00B17B33">
        <w:rPr>
          <w:rFonts w:ascii="Times New Roman" w:eastAsia="Times New Roman" w:hAnsi="Times New Roman" w:cs="Times New Roman"/>
          <w:sz w:val="24"/>
          <w:szCs w:val="24"/>
          <w:lang w:val="es-GT"/>
        </w:rPr>
        <w:lastRenderedPageBreak/>
        <w:t>diciembre de 2019</w:t>
      </w:r>
      <w:r w:rsidR="00B17B33">
        <w:rPr>
          <w:rFonts w:ascii="Times New Roman" w:eastAsia="Times New Roman" w:hAnsi="Times New Roman" w:cs="Times New Roman"/>
          <w:sz w:val="24"/>
          <w:szCs w:val="24"/>
          <w:lang w:val="es-GT"/>
        </w:rPr>
        <w:t xml:space="preserve"> y posteriormente, trasladaron la nota de ampliación de plazo para la entrega del cuestionario. </w:t>
      </w:r>
    </w:p>
    <w:p w14:paraId="4CB5E436" w14:textId="24A58EE5" w:rsidR="00B17B33" w:rsidRDefault="00B17B33" w:rsidP="00B562DD">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p>
    <w:p w14:paraId="7E67B6C3" w14:textId="0127B870" w:rsidR="00B17B33" w:rsidRPr="00B17B33" w:rsidRDefault="00B17B33" w:rsidP="00B17B33">
      <w:pPr>
        <w:pStyle w:val="Heading1"/>
        <w:ind w:left="2560" w:firstLine="80"/>
        <w:rPr>
          <w:rFonts w:eastAsia="Times New Roman"/>
          <w:color w:val="auto"/>
          <w:lang w:val="es-GT"/>
        </w:rPr>
      </w:pPr>
      <w:r w:rsidRPr="00B17B33">
        <w:rPr>
          <w:rFonts w:eastAsia="Times New Roman"/>
          <w:color w:val="auto"/>
          <w:lang w:val="es-GT"/>
        </w:rPr>
        <w:t xml:space="preserve">Respuesta al cuestionario </w:t>
      </w:r>
    </w:p>
    <w:p w14:paraId="1B81CB13" w14:textId="56E1B609" w:rsidR="00DA56AE" w:rsidRPr="00156F97" w:rsidRDefault="00DA56AE" w:rsidP="00156F97">
      <w:pPr>
        <w:pStyle w:val="ListParagraph"/>
        <w:numPr>
          <w:ilvl w:val="0"/>
          <w:numId w:val="4"/>
        </w:numPr>
        <w:tabs>
          <w:tab w:val="left" w:pos="3057"/>
        </w:tabs>
        <w:spacing w:before="184" w:after="0" w:line="300" w:lineRule="exact"/>
        <w:ind w:right="2153"/>
        <w:jc w:val="both"/>
        <w:rPr>
          <w:rFonts w:ascii="Times New Roman" w:eastAsia="Times New Roman" w:hAnsi="Times New Roman" w:cs="Times New Roman"/>
          <w:b/>
          <w:bCs/>
          <w:sz w:val="24"/>
          <w:szCs w:val="24"/>
          <w:lang w:val="es-GT"/>
        </w:rPr>
      </w:pPr>
      <w:r w:rsidRPr="00156F97">
        <w:rPr>
          <w:rFonts w:ascii="Times New Roman" w:eastAsia="Times New Roman" w:hAnsi="Times New Roman" w:cs="Times New Roman"/>
          <w:b/>
          <w:bCs/>
          <w:sz w:val="24"/>
          <w:szCs w:val="24"/>
          <w:lang w:val="es-GT"/>
        </w:rPr>
        <w:t>¿Los procesos actuales en el Estado permiten o alientan una consideración de equilibrio de género al nominar, elegir y nombrar expertos para órganos de derechos humanos como el Comité Asesor y los órganos creados en virtud de tratados? Estos procesos aseguran la publicidad, la transparencia y la participación de la sociedad civil. organizaciones y / u otros actores?</w:t>
      </w:r>
    </w:p>
    <w:p w14:paraId="20F0F487" w14:textId="42251DA2" w:rsidR="00156F97" w:rsidRDefault="00156F97" w:rsidP="00156F97">
      <w:pPr>
        <w:pStyle w:val="ListParagraph"/>
        <w:tabs>
          <w:tab w:val="left" w:pos="3057"/>
        </w:tabs>
        <w:spacing w:before="184" w:after="0" w:line="300" w:lineRule="exact"/>
        <w:ind w:left="3082" w:right="2153"/>
        <w:jc w:val="both"/>
        <w:rPr>
          <w:rFonts w:ascii="Times New Roman" w:eastAsia="Times New Roman" w:hAnsi="Times New Roman" w:cs="Times New Roman"/>
          <w:b/>
          <w:bCs/>
          <w:sz w:val="24"/>
          <w:szCs w:val="24"/>
          <w:lang w:val="es-GT"/>
        </w:rPr>
      </w:pPr>
    </w:p>
    <w:p w14:paraId="24EEA965" w14:textId="77777777" w:rsidR="00156F97" w:rsidRPr="00156F97" w:rsidRDefault="00156F97" w:rsidP="00156F97">
      <w:pPr>
        <w:pStyle w:val="ListParagraph"/>
        <w:tabs>
          <w:tab w:val="left" w:pos="3057"/>
        </w:tabs>
        <w:spacing w:before="184" w:after="0" w:line="300" w:lineRule="exact"/>
        <w:ind w:left="3082" w:right="2153"/>
        <w:jc w:val="both"/>
        <w:rPr>
          <w:rFonts w:ascii="Times New Roman" w:eastAsia="Times New Roman" w:hAnsi="Times New Roman" w:cs="Times New Roman"/>
          <w:b/>
          <w:bCs/>
          <w:sz w:val="24"/>
          <w:szCs w:val="24"/>
          <w:lang w:val="es-GT"/>
        </w:rPr>
      </w:pPr>
    </w:p>
    <w:p w14:paraId="5C7DD0D6" w14:textId="77777777" w:rsidR="00921F5B" w:rsidRDefault="00073193" w:rsidP="00156F97">
      <w:pPr>
        <w:tabs>
          <w:tab w:val="left" w:pos="3057"/>
        </w:tabs>
        <w:spacing w:after="0" w:line="240" w:lineRule="auto"/>
        <w:ind w:left="2707"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El Ministerio de Relaciones Exteriores -</w:t>
      </w:r>
      <w:proofErr w:type="spellStart"/>
      <w:r w:rsidRPr="00B17B33">
        <w:rPr>
          <w:rFonts w:ascii="Times New Roman" w:eastAsia="Times New Roman" w:hAnsi="Times New Roman" w:cs="Times New Roman"/>
          <w:sz w:val="24"/>
          <w:szCs w:val="24"/>
          <w:lang w:val="es-GT"/>
        </w:rPr>
        <w:t>Minex</w:t>
      </w:r>
      <w:proofErr w:type="spellEnd"/>
      <w:r w:rsidRPr="00B17B33">
        <w:rPr>
          <w:rFonts w:ascii="Times New Roman" w:eastAsia="Times New Roman" w:hAnsi="Times New Roman" w:cs="Times New Roman"/>
          <w:sz w:val="24"/>
          <w:szCs w:val="24"/>
          <w:lang w:val="es-GT"/>
        </w:rPr>
        <w:t xml:space="preserve">-, </w:t>
      </w:r>
      <w:r w:rsidR="00921F5B">
        <w:rPr>
          <w:rFonts w:ascii="Times New Roman" w:eastAsia="Times New Roman" w:hAnsi="Times New Roman" w:cs="Times New Roman"/>
          <w:sz w:val="24"/>
          <w:szCs w:val="24"/>
          <w:lang w:val="es-GT"/>
        </w:rPr>
        <w:t xml:space="preserve">como institución encargada de </w:t>
      </w:r>
    </w:p>
    <w:p w14:paraId="55E59DDA" w14:textId="6789D08B" w:rsidR="00921F5B" w:rsidRPr="00921F5B" w:rsidRDefault="00921F5B" w:rsidP="00156F97">
      <w:pPr>
        <w:tabs>
          <w:tab w:val="left" w:pos="3057"/>
        </w:tabs>
        <w:spacing w:after="0" w:line="240" w:lineRule="auto"/>
        <w:ind w:left="2707" w:right="2153"/>
        <w:jc w:val="both"/>
        <w:rPr>
          <w:rFonts w:ascii="Times New Roman" w:eastAsia="Times New Roman" w:hAnsi="Times New Roman" w:cs="Times New Roman"/>
          <w:sz w:val="24"/>
          <w:szCs w:val="24"/>
          <w:lang w:val="es-GT"/>
        </w:rPr>
      </w:pPr>
      <w:r w:rsidRPr="00921F5B">
        <w:rPr>
          <w:rFonts w:ascii="Times New Roman" w:eastAsia="Times New Roman" w:hAnsi="Times New Roman" w:cs="Times New Roman"/>
          <w:sz w:val="24"/>
          <w:szCs w:val="24"/>
          <w:lang w:val="es-GT"/>
        </w:rPr>
        <w:t>la formulación de políticas y la aplicación del régimen jurídico relativo a las relaciones del Estado de Guatemala con otros Estados y personas o institu</w:t>
      </w:r>
      <w:r w:rsidRPr="00921F5B">
        <w:rPr>
          <w:rFonts w:ascii="Times New Roman" w:eastAsia="Times New Roman" w:hAnsi="Times New Roman" w:cs="Times New Roman"/>
          <w:sz w:val="24"/>
          <w:szCs w:val="24"/>
          <w:lang w:val="es-GT"/>
        </w:rPr>
        <w:lastRenderedPageBreak/>
        <w:t xml:space="preserve">ciones jurídicas de derecho internacional, </w:t>
      </w:r>
      <w:r>
        <w:rPr>
          <w:rFonts w:ascii="Times New Roman" w:eastAsia="Times New Roman" w:hAnsi="Times New Roman" w:cs="Times New Roman"/>
          <w:sz w:val="24"/>
          <w:szCs w:val="24"/>
          <w:lang w:val="es-GT"/>
        </w:rPr>
        <w:t>es el encargo de velar por los procesos</w:t>
      </w:r>
      <w:r w:rsidRPr="00921F5B">
        <w:rPr>
          <w:rFonts w:ascii="Times New Roman" w:eastAsia="Times New Roman" w:hAnsi="Times New Roman" w:cs="Times New Roman"/>
          <w:sz w:val="24"/>
          <w:szCs w:val="24"/>
          <w:lang w:val="es-GT"/>
        </w:rPr>
        <w:t xml:space="preserve"> de postulación y elección de representantes a nivel internacional. </w:t>
      </w:r>
    </w:p>
    <w:p w14:paraId="3178873C" w14:textId="4860087F" w:rsidR="00073193" w:rsidRPr="00B17B33" w:rsidRDefault="00921F5B" w:rsidP="00073193">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 xml:space="preserve">En ese sentido, </w:t>
      </w:r>
      <w:r w:rsidR="00073193" w:rsidRPr="00B17B33">
        <w:rPr>
          <w:rFonts w:ascii="Times New Roman" w:eastAsia="Times New Roman" w:hAnsi="Times New Roman" w:cs="Times New Roman"/>
          <w:sz w:val="24"/>
          <w:szCs w:val="24"/>
          <w:lang w:val="es-GT"/>
        </w:rPr>
        <w:t xml:space="preserve">ha </w:t>
      </w:r>
      <w:r>
        <w:rPr>
          <w:rFonts w:ascii="Times New Roman" w:eastAsia="Times New Roman" w:hAnsi="Times New Roman" w:cs="Times New Roman"/>
          <w:sz w:val="24"/>
          <w:szCs w:val="24"/>
          <w:lang w:val="es-GT"/>
        </w:rPr>
        <w:t xml:space="preserve">procurado </w:t>
      </w:r>
      <w:r w:rsidR="00362339">
        <w:rPr>
          <w:rFonts w:ascii="Times New Roman" w:eastAsia="Times New Roman" w:hAnsi="Times New Roman" w:cs="Times New Roman"/>
          <w:sz w:val="24"/>
          <w:szCs w:val="24"/>
          <w:lang w:val="es-GT"/>
        </w:rPr>
        <w:t xml:space="preserve">incluir </w:t>
      </w:r>
      <w:r w:rsidR="00073193" w:rsidRPr="00B17B33">
        <w:rPr>
          <w:rFonts w:ascii="Times New Roman" w:eastAsia="Times New Roman" w:hAnsi="Times New Roman" w:cs="Times New Roman"/>
          <w:sz w:val="24"/>
          <w:szCs w:val="24"/>
          <w:lang w:val="es-GT"/>
        </w:rPr>
        <w:t>el balance de género</w:t>
      </w:r>
      <w:r w:rsidR="00362339">
        <w:rPr>
          <w:rFonts w:ascii="Times New Roman" w:eastAsia="Times New Roman" w:hAnsi="Times New Roman" w:cs="Times New Roman"/>
          <w:sz w:val="24"/>
          <w:szCs w:val="24"/>
          <w:lang w:val="es-GT"/>
        </w:rPr>
        <w:t xml:space="preserve">, además de tomar </w:t>
      </w:r>
      <w:r>
        <w:rPr>
          <w:rFonts w:ascii="Times New Roman" w:eastAsia="Times New Roman" w:hAnsi="Times New Roman" w:cs="Times New Roman"/>
          <w:sz w:val="24"/>
          <w:szCs w:val="24"/>
          <w:lang w:val="es-GT"/>
        </w:rPr>
        <w:t xml:space="preserve">en cuenta </w:t>
      </w:r>
      <w:r w:rsidR="00073193" w:rsidRPr="00B17B33">
        <w:rPr>
          <w:rFonts w:ascii="Times New Roman" w:eastAsia="Times New Roman" w:hAnsi="Times New Roman" w:cs="Times New Roman"/>
          <w:sz w:val="24"/>
          <w:szCs w:val="24"/>
          <w:lang w:val="es-GT"/>
        </w:rPr>
        <w:t xml:space="preserve">una distribución geográfica regional </w:t>
      </w:r>
      <w:r>
        <w:rPr>
          <w:rFonts w:ascii="Times New Roman" w:eastAsia="Times New Roman" w:hAnsi="Times New Roman" w:cs="Times New Roman"/>
          <w:sz w:val="24"/>
          <w:szCs w:val="24"/>
          <w:lang w:val="es-GT"/>
        </w:rPr>
        <w:t>equitativa</w:t>
      </w:r>
      <w:r w:rsidR="00073193" w:rsidRPr="00B17B33">
        <w:rPr>
          <w:rFonts w:ascii="Times New Roman" w:eastAsia="Times New Roman" w:hAnsi="Times New Roman" w:cs="Times New Roman"/>
          <w:sz w:val="24"/>
          <w:szCs w:val="24"/>
          <w:lang w:val="es-GT"/>
        </w:rPr>
        <w:t xml:space="preserve"> en el patrón de votación al momento de apoyar a expertos independientes ante órganos de tratados.  De esa cuenta, se brindó el apoyo respectivo a la candidatura de la Doctora Rosa Idalia Aldana Salguero para ser miembro del Comité de los Derechos de las Personas con Discapacidad (período 2019-2022), en la elección realizada el 12 de junio de 2018, en donde la Doctora Aldana contó con 68 apoyos, faltando 2 para llegar a la segunda ronda de elección. Por esta razón, una vez más, Cancillería se encuentra apoyando la candidatura de la Dra. Aldana ahora para el período 2021-2024.  (Se anexa cuadro de candidaturas de mujeres).</w:t>
      </w:r>
    </w:p>
    <w:p w14:paraId="1190C91C" w14:textId="6DD707C2" w:rsidR="00DA56AE" w:rsidRPr="00B17B33" w:rsidRDefault="00F57696" w:rsidP="00073193">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Aunque se reconocen que el respaldo a candidatas mujeres, es una buena prác</w:t>
      </w:r>
      <w:r>
        <w:rPr>
          <w:rFonts w:ascii="Times New Roman" w:eastAsia="Times New Roman" w:hAnsi="Times New Roman" w:cs="Times New Roman"/>
          <w:sz w:val="24"/>
          <w:szCs w:val="24"/>
          <w:lang w:val="es-GT"/>
        </w:rPr>
        <w:lastRenderedPageBreak/>
        <w:t xml:space="preserve">tica, </w:t>
      </w:r>
      <w:r w:rsidR="00362339">
        <w:rPr>
          <w:rFonts w:ascii="Times New Roman" w:eastAsia="Times New Roman" w:hAnsi="Times New Roman" w:cs="Times New Roman"/>
          <w:sz w:val="24"/>
          <w:szCs w:val="24"/>
          <w:lang w:val="es-GT"/>
        </w:rPr>
        <w:t>el Estado debe fortalecer la paridad al momento de nominar, elegir y nombrar personas expertas</w:t>
      </w:r>
      <w:r>
        <w:rPr>
          <w:rFonts w:ascii="Times New Roman" w:eastAsia="Times New Roman" w:hAnsi="Times New Roman" w:cs="Times New Roman"/>
          <w:sz w:val="24"/>
          <w:szCs w:val="24"/>
          <w:lang w:val="es-GT"/>
        </w:rPr>
        <w:t>. Para ello,</w:t>
      </w:r>
      <w:r w:rsidR="00362339">
        <w:rPr>
          <w:rFonts w:ascii="Times New Roman" w:eastAsia="Times New Roman" w:hAnsi="Times New Roman" w:cs="Times New Roman"/>
          <w:sz w:val="24"/>
          <w:szCs w:val="24"/>
          <w:lang w:val="es-GT"/>
        </w:rPr>
        <w:t xml:space="preserve"> es necesario que se dialoguen sobre l</w:t>
      </w:r>
      <w:r>
        <w:rPr>
          <w:rFonts w:ascii="Times New Roman" w:eastAsia="Times New Roman" w:hAnsi="Times New Roman" w:cs="Times New Roman"/>
          <w:sz w:val="24"/>
          <w:szCs w:val="24"/>
          <w:lang w:val="es-GT"/>
        </w:rPr>
        <w:t>o</w:t>
      </w:r>
      <w:r w:rsidR="00362339">
        <w:rPr>
          <w:rFonts w:ascii="Times New Roman" w:eastAsia="Times New Roman" w:hAnsi="Times New Roman" w:cs="Times New Roman"/>
          <w:sz w:val="24"/>
          <w:szCs w:val="24"/>
          <w:lang w:val="es-GT"/>
        </w:rPr>
        <w:t xml:space="preserve">s </w:t>
      </w:r>
      <w:r>
        <w:rPr>
          <w:rFonts w:ascii="Times New Roman" w:eastAsia="Times New Roman" w:hAnsi="Times New Roman" w:cs="Times New Roman"/>
          <w:sz w:val="24"/>
          <w:szCs w:val="24"/>
          <w:lang w:val="es-GT"/>
        </w:rPr>
        <w:t xml:space="preserve">procesos internos y las </w:t>
      </w:r>
      <w:r w:rsidR="00362339">
        <w:rPr>
          <w:rFonts w:ascii="Times New Roman" w:eastAsia="Times New Roman" w:hAnsi="Times New Roman" w:cs="Times New Roman"/>
          <w:sz w:val="24"/>
          <w:szCs w:val="24"/>
          <w:lang w:val="es-GT"/>
        </w:rPr>
        <w:t>f</w:t>
      </w:r>
      <w:r>
        <w:rPr>
          <w:rFonts w:ascii="Times New Roman" w:eastAsia="Times New Roman" w:hAnsi="Times New Roman" w:cs="Times New Roman"/>
          <w:sz w:val="24"/>
          <w:szCs w:val="24"/>
          <w:lang w:val="es-GT"/>
        </w:rPr>
        <w:t>o</w:t>
      </w:r>
      <w:r w:rsidR="00362339">
        <w:rPr>
          <w:rFonts w:ascii="Times New Roman" w:eastAsia="Times New Roman" w:hAnsi="Times New Roman" w:cs="Times New Roman"/>
          <w:sz w:val="24"/>
          <w:szCs w:val="24"/>
          <w:lang w:val="es-GT"/>
        </w:rPr>
        <w:t xml:space="preserve">rmas </w:t>
      </w:r>
      <w:r>
        <w:rPr>
          <w:rFonts w:ascii="Times New Roman" w:eastAsia="Times New Roman" w:hAnsi="Times New Roman" w:cs="Times New Roman"/>
          <w:sz w:val="24"/>
          <w:szCs w:val="24"/>
          <w:lang w:val="es-GT"/>
        </w:rPr>
        <w:t xml:space="preserve">de elección, las cuales deben incluir </w:t>
      </w:r>
      <w:r w:rsidR="00362339">
        <w:rPr>
          <w:rFonts w:ascii="Times New Roman" w:eastAsia="Times New Roman" w:hAnsi="Times New Roman" w:cs="Times New Roman"/>
          <w:sz w:val="24"/>
          <w:szCs w:val="24"/>
          <w:lang w:val="es-GT"/>
        </w:rPr>
        <w:t>acciones afirmativas, que permitan aumentar la representación de las mujeres en espacios internacionales. E</w:t>
      </w:r>
      <w:r>
        <w:rPr>
          <w:rFonts w:ascii="Times New Roman" w:eastAsia="Times New Roman" w:hAnsi="Times New Roman" w:cs="Times New Roman"/>
          <w:sz w:val="24"/>
          <w:szCs w:val="24"/>
          <w:lang w:val="es-GT"/>
        </w:rPr>
        <w:t xml:space="preserve">n ese contexto, es </w:t>
      </w:r>
      <w:r w:rsidR="00362339">
        <w:rPr>
          <w:rFonts w:ascii="Times New Roman" w:eastAsia="Times New Roman" w:hAnsi="Times New Roman" w:cs="Times New Roman"/>
          <w:sz w:val="24"/>
          <w:szCs w:val="24"/>
          <w:lang w:val="es-GT"/>
        </w:rPr>
        <w:t xml:space="preserve">importante destacar que, Guatemala inició en el 2020 un diálogo </w:t>
      </w:r>
      <w:r>
        <w:rPr>
          <w:rFonts w:ascii="Times New Roman" w:eastAsia="Times New Roman" w:hAnsi="Times New Roman" w:cs="Times New Roman"/>
          <w:sz w:val="24"/>
          <w:szCs w:val="24"/>
          <w:lang w:val="es-GT"/>
        </w:rPr>
        <w:t>multisectorial, en el cual la Secretaría Presidencial de la Mujer fue parte, a</w:t>
      </w:r>
      <w:r w:rsidR="00362339">
        <w:rPr>
          <w:rFonts w:ascii="Times New Roman" w:eastAsia="Times New Roman" w:hAnsi="Times New Roman" w:cs="Times New Roman"/>
          <w:sz w:val="24"/>
          <w:szCs w:val="24"/>
          <w:lang w:val="es-GT"/>
        </w:rPr>
        <w:t xml:space="preserve"> través</w:t>
      </w:r>
      <w:r w:rsidR="00073193" w:rsidRPr="00B17B33">
        <w:rPr>
          <w:rFonts w:ascii="Times New Roman" w:eastAsia="Times New Roman" w:hAnsi="Times New Roman" w:cs="Times New Roman"/>
          <w:sz w:val="24"/>
          <w:szCs w:val="24"/>
          <w:lang w:val="es-GT"/>
        </w:rPr>
        <w:t xml:space="preserve"> de la Comisión de Actualización y Modernización Electoral -CAME-, </w:t>
      </w:r>
      <w:r w:rsidR="00362339">
        <w:rPr>
          <w:rFonts w:ascii="Times New Roman" w:eastAsia="Times New Roman" w:hAnsi="Times New Roman" w:cs="Times New Roman"/>
          <w:sz w:val="24"/>
          <w:szCs w:val="24"/>
          <w:lang w:val="es-GT"/>
        </w:rPr>
        <w:t xml:space="preserve">donde se expuso la impostergable necesidad de incluir la paridad de </w:t>
      </w:r>
      <w:r>
        <w:rPr>
          <w:rFonts w:ascii="Times New Roman" w:eastAsia="Times New Roman" w:hAnsi="Times New Roman" w:cs="Times New Roman"/>
          <w:sz w:val="24"/>
          <w:szCs w:val="24"/>
          <w:lang w:val="es-GT"/>
        </w:rPr>
        <w:t xml:space="preserve">género, alternancia y representatividad étnica </w:t>
      </w:r>
      <w:r w:rsidR="00362339">
        <w:rPr>
          <w:rFonts w:ascii="Times New Roman" w:eastAsia="Times New Roman" w:hAnsi="Times New Roman" w:cs="Times New Roman"/>
          <w:sz w:val="24"/>
          <w:szCs w:val="24"/>
          <w:lang w:val="es-GT"/>
        </w:rPr>
        <w:t xml:space="preserve">en todos los niveles de elección y nombramiento por parte </w:t>
      </w:r>
      <w:r>
        <w:rPr>
          <w:rFonts w:ascii="Times New Roman" w:eastAsia="Times New Roman" w:hAnsi="Times New Roman" w:cs="Times New Roman"/>
          <w:sz w:val="24"/>
          <w:szCs w:val="24"/>
          <w:lang w:val="es-GT"/>
        </w:rPr>
        <w:t xml:space="preserve">de los 3 poderes </w:t>
      </w:r>
      <w:r w:rsidR="00362339">
        <w:rPr>
          <w:rFonts w:ascii="Times New Roman" w:eastAsia="Times New Roman" w:hAnsi="Times New Roman" w:cs="Times New Roman"/>
          <w:sz w:val="24"/>
          <w:szCs w:val="24"/>
          <w:lang w:val="es-GT"/>
        </w:rPr>
        <w:t>del Estado de Guatemala</w:t>
      </w:r>
      <w:r>
        <w:rPr>
          <w:rFonts w:ascii="Times New Roman" w:eastAsia="Times New Roman" w:hAnsi="Times New Roman" w:cs="Times New Roman"/>
          <w:sz w:val="24"/>
          <w:szCs w:val="24"/>
          <w:lang w:val="es-GT"/>
        </w:rPr>
        <w:t>, incluyendo la representación internacional</w:t>
      </w:r>
      <w:r w:rsidR="00362339">
        <w:rPr>
          <w:rFonts w:ascii="Times New Roman" w:eastAsia="Times New Roman" w:hAnsi="Times New Roman" w:cs="Times New Roman"/>
          <w:sz w:val="24"/>
          <w:szCs w:val="24"/>
          <w:lang w:val="es-GT"/>
        </w:rPr>
        <w:t>.</w:t>
      </w:r>
      <w:r>
        <w:rPr>
          <w:rFonts w:ascii="Times New Roman" w:eastAsia="Times New Roman" w:hAnsi="Times New Roman" w:cs="Times New Roman"/>
          <w:sz w:val="24"/>
          <w:szCs w:val="24"/>
          <w:lang w:val="es-GT"/>
        </w:rPr>
        <w:t xml:space="preserve"> Como resultado, se incluyó en el documento final, </w:t>
      </w:r>
      <w:r w:rsidR="00073193" w:rsidRPr="00B17B33">
        <w:rPr>
          <w:rFonts w:ascii="Times New Roman" w:eastAsia="Times New Roman" w:hAnsi="Times New Roman" w:cs="Times New Roman"/>
          <w:sz w:val="24"/>
          <w:szCs w:val="24"/>
          <w:lang w:val="es-GT"/>
        </w:rPr>
        <w:t>la</w:t>
      </w:r>
      <w:r>
        <w:rPr>
          <w:rFonts w:ascii="Times New Roman" w:eastAsia="Times New Roman" w:hAnsi="Times New Roman" w:cs="Times New Roman"/>
          <w:sz w:val="24"/>
          <w:szCs w:val="24"/>
          <w:lang w:val="es-GT"/>
        </w:rPr>
        <w:t xml:space="preserve"> siguiente p</w:t>
      </w:r>
      <w:r w:rsidR="00073193" w:rsidRPr="00B17B33">
        <w:rPr>
          <w:rFonts w:ascii="Times New Roman" w:eastAsia="Times New Roman" w:hAnsi="Times New Roman" w:cs="Times New Roman"/>
          <w:sz w:val="24"/>
          <w:szCs w:val="24"/>
          <w:lang w:val="es-GT"/>
        </w:rPr>
        <w:t xml:space="preserve">ropuesta </w:t>
      </w:r>
      <w:r w:rsidRPr="00F57696">
        <w:rPr>
          <w:rFonts w:ascii="Times New Roman" w:eastAsia="Times New Roman" w:hAnsi="Times New Roman" w:cs="Times New Roman"/>
          <w:i/>
          <w:iCs/>
          <w:sz w:val="24"/>
          <w:szCs w:val="24"/>
          <w:lang w:val="es-GT"/>
        </w:rPr>
        <w:t>“</w:t>
      </w:r>
      <w:r w:rsidR="00073193" w:rsidRPr="00F57696">
        <w:rPr>
          <w:rFonts w:ascii="Times New Roman" w:eastAsia="Times New Roman" w:hAnsi="Times New Roman" w:cs="Times New Roman"/>
          <w:i/>
          <w:iCs/>
          <w:sz w:val="24"/>
          <w:szCs w:val="24"/>
          <w:lang w:val="es-GT"/>
        </w:rPr>
        <w:t xml:space="preserve">Estado de Guatemala debe revisar </w:t>
      </w:r>
      <w:r w:rsidR="00B0099D" w:rsidRPr="00F57696">
        <w:rPr>
          <w:rFonts w:ascii="Times New Roman" w:eastAsia="Times New Roman" w:hAnsi="Times New Roman" w:cs="Times New Roman"/>
          <w:i/>
          <w:iCs/>
          <w:sz w:val="24"/>
          <w:szCs w:val="24"/>
          <w:lang w:val="es-GT"/>
        </w:rPr>
        <w:t>la</w:t>
      </w:r>
      <w:r w:rsidR="00B0099D" w:rsidRPr="00B17B33">
        <w:rPr>
          <w:rFonts w:ascii="Times New Roman" w:eastAsia="Times New Roman" w:hAnsi="Times New Roman" w:cs="Times New Roman"/>
          <w:sz w:val="24"/>
          <w:szCs w:val="24"/>
          <w:lang w:val="es-GT"/>
        </w:rPr>
        <w:t xml:space="preserve"> </w:t>
      </w:r>
      <w:r w:rsidR="00B0099D" w:rsidRPr="00F57696">
        <w:rPr>
          <w:rFonts w:ascii="Times New Roman" w:eastAsia="Times New Roman" w:hAnsi="Times New Roman" w:cs="Times New Roman"/>
          <w:i/>
          <w:iCs/>
          <w:sz w:val="24"/>
          <w:szCs w:val="24"/>
          <w:lang w:val="es-GT"/>
        </w:rPr>
        <w:t xml:space="preserve">normativa que regula los procesos </w:t>
      </w:r>
      <w:r w:rsidR="009C2047" w:rsidRPr="00F57696">
        <w:rPr>
          <w:rFonts w:ascii="Times New Roman" w:eastAsia="Times New Roman" w:hAnsi="Times New Roman" w:cs="Times New Roman"/>
          <w:i/>
          <w:iCs/>
          <w:sz w:val="24"/>
          <w:szCs w:val="24"/>
          <w:lang w:val="es-GT"/>
        </w:rPr>
        <w:t>actuales para</w:t>
      </w:r>
      <w:r w:rsidR="00B0099D" w:rsidRPr="00F57696">
        <w:rPr>
          <w:rFonts w:ascii="Times New Roman" w:eastAsia="Times New Roman" w:hAnsi="Times New Roman" w:cs="Times New Roman"/>
          <w:i/>
          <w:iCs/>
          <w:sz w:val="24"/>
          <w:szCs w:val="24"/>
          <w:lang w:val="es-GT"/>
        </w:rPr>
        <w:t xml:space="preserve"> elección y nombramiento de expertos para </w:t>
      </w:r>
      <w:r w:rsidR="009C2047" w:rsidRPr="00F57696">
        <w:rPr>
          <w:rFonts w:ascii="Times New Roman" w:eastAsia="Times New Roman" w:hAnsi="Times New Roman" w:cs="Times New Roman"/>
          <w:i/>
          <w:iCs/>
          <w:sz w:val="24"/>
          <w:szCs w:val="24"/>
          <w:lang w:val="es-GT"/>
        </w:rPr>
        <w:t>órganos</w:t>
      </w:r>
      <w:r w:rsidR="00B0099D" w:rsidRPr="00F57696">
        <w:rPr>
          <w:rFonts w:ascii="Times New Roman" w:eastAsia="Times New Roman" w:hAnsi="Times New Roman" w:cs="Times New Roman"/>
          <w:i/>
          <w:iCs/>
          <w:sz w:val="24"/>
          <w:szCs w:val="24"/>
          <w:lang w:val="es-GT"/>
        </w:rPr>
        <w:t xml:space="preserve"> de derechos humanos internacionales, para que </w:t>
      </w:r>
      <w:r w:rsidR="00B0099D" w:rsidRPr="00F57696">
        <w:rPr>
          <w:rFonts w:ascii="Times New Roman" w:eastAsia="Times New Roman" w:hAnsi="Times New Roman" w:cs="Times New Roman"/>
          <w:i/>
          <w:iCs/>
          <w:sz w:val="24"/>
          <w:szCs w:val="24"/>
          <w:lang w:val="es-GT"/>
        </w:rPr>
        <w:lastRenderedPageBreak/>
        <w:t xml:space="preserve">pueda hacerse un correcto equilibrio entre hombres y mujeres </w:t>
      </w:r>
      <w:r w:rsidR="009C2047" w:rsidRPr="00F57696">
        <w:rPr>
          <w:rFonts w:ascii="Times New Roman" w:eastAsia="Times New Roman" w:hAnsi="Times New Roman" w:cs="Times New Roman"/>
          <w:i/>
          <w:iCs/>
          <w:sz w:val="24"/>
          <w:szCs w:val="24"/>
          <w:lang w:val="es-GT"/>
        </w:rPr>
        <w:t xml:space="preserve">para que la representación </w:t>
      </w:r>
      <w:r w:rsidR="00B0099D" w:rsidRPr="00F57696">
        <w:rPr>
          <w:rFonts w:ascii="Times New Roman" w:eastAsia="Times New Roman" w:hAnsi="Times New Roman" w:cs="Times New Roman"/>
          <w:i/>
          <w:iCs/>
          <w:sz w:val="24"/>
          <w:szCs w:val="24"/>
          <w:lang w:val="es-GT"/>
        </w:rPr>
        <w:t>de Guatemala ante órganos internacionales</w:t>
      </w:r>
      <w:r w:rsidR="009C2047" w:rsidRPr="00F57696">
        <w:rPr>
          <w:rFonts w:ascii="Times New Roman" w:eastAsia="Times New Roman" w:hAnsi="Times New Roman" w:cs="Times New Roman"/>
          <w:i/>
          <w:iCs/>
          <w:sz w:val="24"/>
          <w:szCs w:val="24"/>
          <w:lang w:val="es-GT"/>
        </w:rPr>
        <w:t xml:space="preserve"> sea paritaria</w:t>
      </w:r>
      <w:r w:rsidR="00B0099D" w:rsidRPr="00B17B33">
        <w:rPr>
          <w:rFonts w:ascii="Times New Roman" w:eastAsia="Times New Roman" w:hAnsi="Times New Roman" w:cs="Times New Roman"/>
          <w:sz w:val="24"/>
          <w:szCs w:val="24"/>
          <w:lang w:val="es-GT"/>
        </w:rPr>
        <w:t>.</w:t>
      </w:r>
      <w:r w:rsidR="009C2047" w:rsidRPr="00B17B33">
        <w:rPr>
          <w:rFonts w:ascii="Times New Roman" w:eastAsia="Times New Roman" w:hAnsi="Times New Roman" w:cs="Times New Roman"/>
          <w:sz w:val="24"/>
          <w:szCs w:val="24"/>
          <w:lang w:val="es-GT"/>
        </w:rPr>
        <w:t xml:space="preserve"> (CAME 2020, Pág. 28)</w:t>
      </w:r>
      <w:r>
        <w:rPr>
          <w:rFonts w:ascii="Times New Roman" w:eastAsia="Times New Roman" w:hAnsi="Times New Roman" w:cs="Times New Roman"/>
          <w:sz w:val="24"/>
          <w:szCs w:val="24"/>
          <w:lang w:val="es-GT"/>
        </w:rPr>
        <w:t xml:space="preserve">. Por lo que, los mecanismos para el adelanto de las </w:t>
      </w:r>
      <w:r w:rsidR="0084449E">
        <w:rPr>
          <w:rFonts w:ascii="Times New Roman" w:eastAsia="Times New Roman" w:hAnsi="Times New Roman" w:cs="Times New Roman"/>
          <w:sz w:val="24"/>
          <w:szCs w:val="24"/>
          <w:lang w:val="es-GT"/>
        </w:rPr>
        <w:t>mujeres</w:t>
      </w:r>
      <w:r>
        <w:rPr>
          <w:rFonts w:ascii="Times New Roman" w:eastAsia="Times New Roman" w:hAnsi="Times New Roman" w:cs="Times New Roman"/>
          <w:sz w:val="24"/>
          <w:szCs w:val="24"/>
          <w:lang w:val="es-GT"/>
        </w:rPr>
        <w:t xml:space="preserve"> seguirán orientando e incidiendo para que se logre en los procesos de elección mínimamente la paridad. </w:t>
      </w:r>
    </w:p>
    <w:p w14:paraId="41DF0B80" w14:textId="77777777" w:rsidR="00B0099D" w:rsidRPr="00B562DD" w:rsidRDefault="00B0099D" w:rsidP="00DA56AE">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p>
    <w:p w14:paraId="5D586813" w14:textId="25912943" w:rsidR="00DA56AE" w:rsidRPr="00B17B33" w:rsidRDefault="00DA56AE"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r w:rsidRPr="00B562DD">
        <w:rPr>
          <w:rFonts w:ascii="Times New Roman" w:eastAsia="Times New Roman" w:hAnsi="Times New Roman" w:cs="Times New Roman"/>
          <w:sz w:val="24"/>
          <w:szCs w:val="24"/>
          <w:lang w:val="es-GT"/>
        </w:rPr>
        <w:t xml:space="preserve">2. </w:t>
      </w:r>
      <w:r w:rsidRPr="00B17B33">
        <w:rPr>
          <w:rFonts w:ascii="Times New Roman" w:eastAsia="Times New Roman" w:hAnsi="Times New Roman" w:cs="Times New Roman"/>
          <w:b/>
          <w:bCs/>
          <w:sz w:val="24"/>
          <w:szCs w:val="24"/>
          <w:lang w:val="es-GT"/>
        </w:rPr>
        <w:t>¿El Estado tiene en cuenta la integración de género de los órganos creados en virtud de tratados o El Comité Asesor al momento de la nominación o elección?</w:t>
      </w:r>
    </w:p>
    <w:p w14:paraId="39CD3599" w14:textId="408C7C86" w:rsidR="00073193" w:rsidRPr="00B17B33" w:rsidRDefault="00073193" w:rsidP="00DA56AE">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El Estado de Guatemala, a través del </w:t>
      </w:r>
      <w:proofErr w:type="spellStart"/>
      <w:r w:rsidRPr="00B17B33">
        <w:rPr>
          <w:rFonts w:ascii="Times New Roman" w:eastAsia="Times New Roman" w:hAnsi="Times New Roman" w:cs="Times New Roman"/>
          <w:sz w:val="24"/>
          <w:szCs w:val="24"/>
          <w:lang w:val="es-GT"/>
        </w:rPr>
        <w:t>Minex</w:t>
      </w:r>
      <w:proofErr w:type="spellEnd"/>
      <w:r w:rsidRPr="00B17B33">
        <w:rPr>
          <w:rFonts w:ascii="Times New Roman" w:eastAsia="Times New Roman" w:hAnsi="Times New Roman" w:cs="Times New Roman"/>
          <w:sz w:val="24"/>
          <w:szCs w:val="24"/>
          <w:lang w:val="es-GT"/>
        </w:rPr>
        <w:t>, lleva un cuidadoso registro con el total de candidatos tomando en consideración el balance tanto de género como de la distribución geográfica regional equitativa en virtud de que los órganos de tratados no tienen una estricta distribución de escaños disponibles al momento de celebrar elecciones.</w:t>
      </w:r>
    </w:p>
    <w:p w14:paraId="4CE8BB8B" w14:textId="7E8E42DA" w:rsidR="009C2047" w:rsidRPr="00B17B33" w:rsidRDefault="00156F97" w:rsidP="00DA56AE">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lastRenderedPageBreak/>
        <w:t>Sin embargo, como parte de las recomendaciones que se expresaron en la CAME, e</w:t>
      </w:r>
      <w:r w:rsidR="009C2047" w:rsidRPr="00B17B33">
        <w:rPr>
          <w:rFonts w:ascii="Times New Roman" w:eastAsia="Times New Roman" w:hAnsi="Times New Roman" w:cs="Times New Roman"/>
          <w:sz w:val="24"/>
          <w:szCs w:val="24"/>
          <w:lang w:val="es-GT"/>
        </w:rPr>
        <w:t xml:space="preserve">s esencial que el Estado </w:t>
      </w:r>
      <w:r>
        <w:rPr>
          <w:rFonts w:ascii="Times New Roman" w:eastAsia="Times New Roman" w:hAnsi="Times New Roman" w:cs="Times New Roman"/>
          <w:sz w:val="24"/>
          <w:szCs w:val="24"/>
          <w:lang w:val="es-GT"/>
        </w:rPr>
        <w:t>modifique la normativa para incluir una regulación específica que favorezca a las mujeres en los procesos de elección. L</w:t>
      </w:r>
      <w:r w:rsidR="009C2047" w:rsidRPr="00B17B33">
        <w:rPr>
          <w:rFonts w:ascii="Times New Roman" w:eastAsia="Times New Roman" w:hAnsi="Times New Roman" w:cs="Times New Roman"/>
          <w:sz w:val="24"/>
          <w:szCs w:val="24"/>
          <w:lang w:val="es-GT"/>
        </w:rPr>
        <w:t xml:space="preserve">a normativa que regula la nominación o elección de personas que integren órganos internacionales, </w:t>
      </w:r>
      <w:r>
        <w:rPr>
          <w:rFonts w:ascii="Times New Roman" w:eastAsia="Times New Roman" w:hAnsi="Times New Roman" w:cs="Times New Roman"/>
          <w:sz w:val="24"/>
          <w:szCs w:val="24"/>
          <w:lang w:val="es-GT"/>
        </w:rPr>
        <w:t xml:space="preserve">debe observar los </w:t>
      </w:r>
      <w:r w:rsidR="009C2047" w:rsidRPr="00B17B33">
        <w:rPr>
          <w:rFonts w:ascii="Times New Roman" w:eastAsia="Times New Roman" w:hAnsi="Times New Roman" w:cs="Times New Roman"/>
          <w:sz w:val="24"/>
          <w:szCs w:val="24"/>
          <w:lang w:val="es-GT"/>
        </w:rPr>
        <w:t xml:space="preserve">principios de </w:t>
      </w:r>
      <w:r>
        <w:rPr>
          <w:rFonts w:ascii="Times New Roman" w:eastAsia="Times New Roman" w:hAnsi="Times New Roman" w:cs="Times New Roman"/>
          <w:sz w:val="24"/>
          <w:szCs w:val="24"/>
          <w:lang w:val="es-GT"/>
        </w:rPr>
        <w:t xml:space="preserve">equidad, </w:t>
      </w:r>
      <w:r w:rsidR="00A04555">
        <w:rPr>
          <w:rFonts w:ascii="Times New Roman" w:eastAsia="Times New Roman" w:hAnsi="Times New Roman" w:cs="Times New Roman"/>
          <w:sz w:val="24"/>
          <w:szCs w:val="24"/>
          <w:lang w:val="es-GT"/>
        </w:rPr>
        <w:t>igualdad</w:t>
      </w:r>
      <w:r w:rsidR="009C2047" w:rsidRPr="00B17B33">
        <w:rPr>
          <w:rFonts w:ascii="Times New Roman" w:eastAsia="Times New Roman" w:hAnsi="Times New Roman" w:cs="Times New Roman"/>
          <w:sz w:val="24"/>
          <w:szCs w:val="24"/>
          <w:lang w:val="es-GT"/>
        </w:rPr>
        <w:t xml:space="preserve"> </w:t>
      </w:r>
      <w:r>
        <w:rPr>
          <w:rFonts w:ascii="Times New Roman" w:eastAsia="Times New Roman" w:hAnsi="Times New Roman" w:cs="Times New Roman"/>
          <w:sz w:val="24"/>
          <w:szCs w:val="24"/>
          <w:lang w:val="es-GT"/>
        </w:rPr>
        <w:t xml:space="preserve">y la </w:t>
      </w:r>
      <w:r w:rsidR="009C2047" w:rsidRPr="00B17B33">
        <w:rPr>
          <w:rFonts w:ascii="Times New Roman" w:eastAsia="Times New Roman" w:hAnsi="Times New Roman" w:cs="Times New Roman"/>
          <w:sz w:val="24"/>
          <w:szCs w:val="24"/>
          <w:lang w:val="es-GT"/>
        </w:rPr>
        <w:t>variable étnico-cultural o de otro tipo, ya que actualmente las nominaciones o elecciones no contemplan este aspecto. (CAME 2020, Pág. 16)</w:t>
      </w:r>
    </w:p>
    <w:p w14:paraId="562537DF" w14:textId="77777777" w:rsidR="00DF418C" w:rsidRPr="00B17B33" w:rsidRDefault="00DF418C" w:rsidP="00DA56AE">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p>
    <w:p w14:paraId="4E24A49F" w14:textId="77777777" w:rsidR="000452EC" w:rsidRPr="00B17B33" w:rsidRDefault="00DA56AE" w:rsidP="000452EC">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r w:rsidRPr="00B17B33">
        <w:rPr>
          <w:rFonts w:ascii="Times New Roman" w:eastAsia="Times New Roman" w:hAnsi="Times New Roman" w:cs="Times New Roman"/>
          <w:b/>
          <w:bCs/>
          <w:sz w:val="24"/>
          <w:szCs w:val="24"/>
          <w:lang w:val="es-GT"/>
        </w:rPr>
        <w:t>3. ¿Tiene el Estado buenas prácticas nacionales relacionadas con la nominación, la elección y procesos de designación de órganos de derechos humanos como el Asesor Comité y órganos creados en virtud de tratados? ¿Estos procesos tienen en cuenta el género cuando nominando, eligiendo o nombrando?</w:t>
      </w:r>
    </w:p>
    <w:p w14:paraId="462D2A42" w14:textId="77777777" w:rsidR="00156F97" w:rsidRDefault="00156F97"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p>
    <w:p w14:paraId="17DA6535" w14:textId="45D556EA" w:rsidR="00156F97" w:rsidRDefault="00156F97"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lastRenderedPageBreak/>
        <w:t xml:space="preserve">Una de las buenas prácticas que el Estado ha sostenido a lo largo de los años, es la </w:t>
      </w:r>
      <w:r w:rsidR="00460C59">
        <w:rPr>
          <w:rFonts w:ascii="Times New Roman" w:eastAsia="Times New Roman" w:hAnsi="Times New Roman" w:cs="Times New Roman"/>
          <w:sz w:val="24"/>
          <w:szCs w:val="24"/>
          <w:lang w:val="es-GT"/>
        </w:rPr>
        <w:t>s</w:t>
      </w:r>
      <w:r>
        <w:rPr>
          <w:rFonts w:ascii="Times New Roman" w:eastAsia="Times New Roman" w:hAnsi="Times New Roman" w:cs="Times New Roman"/>
          <w:sz w:val="24"/>
          <w:szCs w:val="24"/>
          <w:lang w:val="es-GT"/>
        </w:rPr>
        <w:t xml:space="preserve">elección de </w:t>
      </w:r>
      <w:r w:rsidR="00460C59">
        <w:rPr>
          <w:rFonts w:ascii="Times New Roman" w:eastAsia="Times New Roman" w:hAnsi="Times New Roman" w:cs="Times New Roman"/>
          <w:sz w:val="24"/>
          <w:szCs w:val="24"/>
          <w:lang w:val="es-GT"/>
        </w:rPr>
        <w:t>E</w:t>
      </w:r>
      <w:r>
        <w:rPr>
          <w:rFonts w:ascii="Times New Roman" w:eastAsia="Times New Roman" w:hAnsi="Times New Roman" w:cs="Times New Roman"/>
          <w:sz w:val="24"/>
          <w:szCs w:val="24"/>
          <w:lang w:val="es-GT"/>
        </w:rPr>
        <w:t xml:space="preserve">xpertas </w:t>
      </w:r>
      <w:r w:rsidR="00460C59">
        <w:rPr>
          <w:rFonts w:ascii="Times New Roman" w:eastAsia="Times New Roman" w:hAnsi="Times New Roman" w:cs="Times New Roman"/>
          <w:sz w:val="24"/>
          <w:szCs w:val="24"/>
          <w:lang w:val="es-GT"/>
        </w:rPr>
        <w:t>del Mecanismo de Seguimiento a la Convención de Belém do Pará (</w:t>
      </w:r>
      <w:proofErr w:type="spellStart"/>
      <w:r w:rsidR="00460C59">
        <w:rPr>
          <w:rFonts w:ascii="Times New Roman" w:eastAsia="Times New Roman" w:hAnsi="Times New Roman" w:cs="Times New Roman"/>
          <w:sz w:val="24"/>
          <w:szCs w:val="24"/>
          <w:lang w:val="es-GT"/>
        </w:rPr>
        <w:t>Mesecvi</w:t>
      </w:r>
      <w:proofErr w:type="spellEnd"/>
      <w:r w:rsidR="00460C59">
        <w:rPr>
          <w:rFonts w:ascii="Times New Roman" w:eastAsia="Times New Roman" w:hAnsi="Times New Roman" w:cs="Times New Roman"/>
          <w:sz w:val="24"/>
          <w:szCs w:val="24"/>
          <w:lang w:val="es-GT"/>
        </w:rPr>
        <w:t xml:space="preserve">), la cual es coordinada por </w:t>
      </w:r>
      <w:proofErr w:type="spellStart"/>
      <w:r w:rsidR="00460C59">
        <w:rPr>
          <w:rFonts w:ascii="Times New Roman" w:eastAsia="Times New Roman" w:hAnsi="Times New Roman" w:cs="Times New Roman"/>
          <w:sz w:val="24"/>
          <w:szCs w:val="24"/>
          <w:lang w:val="es-GT"/>
        </w:rPr>
        <w:t>Seprem</w:t>
      </w:r>
      <w:proofErr w:type="spellEnd"/>
      <w:r w:rsidR="00460C59">
        <w:rPr>
          <w:rFonts w:ascii="Times New Roman" w:eastAsia="Times New Roman" w:hAnsi="Times New Roman" w:cs="Times New Roman"/>
          <w:sz w:val="24"/>
          <w:szCs w:val="24"/>
          <w:lang w:val="es-GT"/>
        </w:rPr>
        <w:t xml:space="preserve"> y la representación se realiza a través de un proceso de postulación por parte de las organizaciones de mujeres de sociedad civil. La elección de una Experta desde sociedad civil es respaldada por </w:t>
      </w:r>
      <w:proofErr w:type="spellStart"/>
      <w:r w:rsidR="00460C59">
        <w:rPr>
          <w:rFonts w:ascii="Times New Roman" w:eastAsia="Times New Roman" w:hAnsi="Times New Roman" w:cs="Times New Roman"/>
          <w:sz w:val="24"/>
          <w:szCs w:val="24"/>
          <w:lang w:val="es-GT"/>
        </w:rPr>
        <w:t>Seprem</w:t>
      </w:r>
      <w:proofErr w:type="spellEnd"/>
      <w:r w:rsidR="00460C59">
        <w:rPr>
          <w:rFonts w:ascii="Times New Roman" w:eastAsia="Times New Roman" w:hAnsi="Times New Roman" w:cs="Times New Roman"/>
          <w:sz w:val="24"/>
          <w:szCs w:val="24"/>
          <w:lang w:val="es-GT"/>
        </w:rPr>
        <w:t xml:space="preserve"> y la representación oficial siempre la tiene la Secretaria Presidencial de la Mujer. La última Experta electa fue Hilda Morales, quien se encuentra en funciones actualmente. </w:t>
      </w:r>
    </w:p>
    <w:p w14:paraId="3F00C2D3" w14:textId="5BDA4442" w:rsidR="000452EC" w:rsidRPr="00B17B33" w:rsidRDefault="00460C59"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Asimismo, se puede mencionar otro ejemplo de buena práctica de inclusión y coordinación interinstitucional y multisectorial con la</w:t>
      </w:r>
      <w:r w:rsidR="000452EC" w:rsidRPr="00B17B33">
        <w:rPr>
          <w:rFonts w:ascii="Times New Roman" w:eastAsia="Times New Roman" w:hAnsi="Times New Roman" w:cs="Times New Roman"/>
          <w:sz w:val="24"/>
          <w:szCs w:val="24"/>
          <w:lang w:val="es-GT"/>
        </w:rPr>
        <w:t xml:space="preserve"> candidatura de la Dra. Rosa Idalia Aldana</w:t>
      </w:r>
      <w:r>
        <w:rPr>
          <w:rFonts w:ascii="Times New Roman" w:eastAsia="Times New Roman" w:hAnsi="Times New Roman" w:cs="Times New Roman"/>
          <w:sz w:val="24"/>
          <w:szCs w:val="24"/>
          <w:lang w:val="es-GT"/>
        </w:rPr>
        <w:t xml:space="preserve">. </w:t>
      </w:r>
      <w:r w:rsidR="000452EC" w:rsidRPr="00B17B33">
        <w:rPr>
          <w:rFonts w:ascii="Times New Roman" w:eastAsia="Times New Roman" w:hAnsi="Times New Roman" w:cs="Times New Roman"/>
          <w:sz w:val="24"/>
          <w:szCs w:val="24"/>
          <w:lang w:val="es-GT"/>
        </w:rPr>
        <w:t xml:space="preserve"> </w:t>
      </w:r>
      <w:r>
        <w:rPr>
          <w:rFonts w:ascii="Times New Roman" w:eastAsia="Times New Roman" w:hAnsi="Times New Roman" w:cs="Times New Roman"/>
          <w:sz w:val="24"/>
          <w:szCs w:val="24"/>
          <w:lang w:val="es-GT"/>
        </w:rPr>
        <w:t>F</w:t>
      </w:r>
      <w:r w:rsidR="000452EC" w:rsidRPr="00B17B33">
        <w:rPr>
          <w:rFonts w:ascii="Times New Roman" w:eastAsia="Times New Roman" w:hAnsi="Times New Roman" w:cs="Times New Roman"/>
          <w:sz w:val="24"/>
          <w:szCs w:val="24"/>
          <w:lang w:val="es-GT"/>
        </w:rPr>
        <w:t xml:space="preserve">ue presentada al </w:t>
      </w:r>
      <w:proofErr w:type="spellStart"/>
      <w:r w:rsidR="000452EC" w:rsidRPr="00B17B33">
        <w:rPr>
          <w:rFonts w:ascii="Times New Roman" w:eastAsia="Times New Roman" w:hAnsi="Times New Roman" w:cs="Times New Roman"/>
          <w:sz w:val="24"/>
          <w:szCs w:val="24"/>
          <w:lang w:val="es-GT"/>
        </w:rPr>
        <w:t>Minex</w:t>
      </w:r>
      <w:proofErr w:type="spellEnd"/>
      <w:r w:rsidR="000452EC" w:rsidRPr="00B17B33">
        <w:rPr>
          <w:rFonts w:ascii="Times New Roman" w:eastAsia="Times New Roman" w:hAnsi="Times New Roman" w:cs="Times New Roman"/>
          <w:sz w:val="24"/>
          <w:szCs w:val="24"/>
          <w:lang w:val="es-GT"/>
        </w:rPr>
        <w:t xml:space="preserve"> por parte del Consejo Nacional para la Atención de las Personas con Discapacidad -</w:t>
      </w:r>
      <w:proofErr w:type="spellStart"/>
      <w:r w:rsidR="000452EC" w:rsidRPr="00B17B33">
        <w:rPr>
          <w:rFonts w:ascii="Times New Roman" w:eastAsia="Times New Roman" w:hAnsi="Times New Roman" w:cs="Times New Roman"/>
          <w:sz w:val="24"/>
          <w:szCs w:val="24"/>
          <w:lang w:val="es-GT"/>
        </w:rPr>
        <w:t>Conadi</w:t>
      </w:r>
      <w:proofErr w:type="spellEnd"/>
      <w:r w:rsidR="000452EC" w:rsidRPr="00B17B33">
        <w:rPr>
          <w:rFonts w:ascii="Times New Roman" w:eastAsia="Times New Roman" w:hAnsi="Times New Roman" w:cs="Times New Roman"/>
          <w:sz w:val="24"/>
          <w:szCs w:val="24"/>
          <w:lang w:val="es-GT"/>
        </w:rPr>
        <w:t xml:space="preserve">-, ente coordinador, asesor e impulsor de la aplicación de políticas generales y de Estado para asegurar el cumplimiento de los derechos humanos y libertades </w:t>
      </w:r>
      <w:r w:rsidR="000452EC" w:rsidRPr="00B17B33">
        <w:rPr>
          <w:rFonts w:ascii="Times New Roman" w:eastAsia="Times New Roman" w:hAnsi="Times New Roman" w:cs="Times New Roman"/>
          <w:sz w:val="24"/>
          <w:szCs w:val="24"/>
          <w:lang w:val="es-GT"/>
        </w:rPr>
        <w:lastRenderedPageBreak/>
        <w:t xml:space="preserve">fundamentales de las personas con discapacidad.  Para legitimar dicha participación, el </w:t>
      </w:r>
      <w:proofErr w:type="spellStart"/>
      <w:r w:rsidR="000452EC" w:rsidRPr="00B17B33">
        <w:rPr>
          <w:rFonts w:ascii="Times New Roman" w:eastAsia="Times New Roman" w:hAnsi="Times New Roman" w:cs="Times New Roman"/>
          <w:sz w:val="24"/>
          <w:szCs w:val="24"/>
          <w:lang w:val="es-GT"/>
        </w:rPr>
        <w:t>Conadi</w:t>
      </w:r>
      <w:proofErr w:type="spellEnd"/>
      <w:r w:rsidR="000452EC" w:rsidRPr="00B17B33">
        <w:rPr>
          <w:rFonts w:ascii="Times New Roman" w:eastAsia="Times New Roman" w:hAnsi="Times New Roman" w:cs="Times New Roman"/>
          <w:sz w:val="24"/>
          <w:szCs w:val="24"/>
          <w:lang w:val="es-GT"/>
        </w:rPr>
        <w:t xml:space="preserve"> promovió un concurso, donde se contó con la intervención de 8 activistas de sociedad civil y defensores de derechos humanos de personas con discapacidad.  Se organizó un jurado externo integrado por tres personas: una consultora internacional y dos personas pertenecientes a pueblos indígenas expertas en derechos humanos.  </w:t>
      </w:r>
    </w:p>
    <w:p w14:paraId="23C0BE7C" w14:textId="3A128FD2" w:rsidR="00255915" w:rsidRPr="00B17B33" w:rsidRDefault="000452EC"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Para tomar una decisión, el jurado evaluó los expedientes de cada candidato además de realizarles un examen para conocer sus capacidades y finalmente procedieron a entrevistar a cada uno.  La Dra. Aldana fue quien obtuvo la calificación más alta en las evaluaciones realizadas. El </w:t>
      </w:r>
      <w:proofErr w:type="spellStart"/>
      <w:r w:rsidRPr="00B17B33">
        <w:rPr>
          <w:rFonts w:ascii="Times New Roman" w:eastAsia="Times New Roman" w:hAnsi="Times New Roman" w:cs="Times New Roman"/>
          <w:sz w:val="24"/>
          <w:szCs w:val="24"/>
          <w:lang w:val="es-GT"/>
        </w:rPr>
        <w:t>Conadi</w:t>
      </w:r>
      <w:proofErr w:type="spellEnd"/>
      <w:r w:rsidRPr="00B17B33">
        <w:rPr>
          <w:rFonts w:ascii="Times New Roman" w:eastAsia="Times New Roman" w:hAnsi="Times New Roman" w:cs="Times New Roman"/>
          <w:sz w:val="24"/>
          <w:szCs w:val="24"/>
          <w:lang w:val="es-GT"/>
        </w:rPr>
        <w:t xml:space="preserve"> procedió a notificar la propuesta de esta candidatura a las organizaciones de sociedad civil que desarrollan su acción en materia de derechos de personas con discapacidad, y habiendo otorgado su apoyo a la Doctora Aldana, el </w:t>
      </w:r>
      <w:proofErr w:type="spellStart"/>
      <w:r w:rsidRPr="00B17B33">
        <w:rPr>
          <w:rFonts w:ascii="Times New Roman" w:eastAsia="Times New Roman" w:hAnsi="Times New Roman" w:cs="Times New Roman"/>
          <w:sz w:val="24"/>
          <w:szCs w:val="24"/>
          <w:lang w:val="es-GT"/>
        </w:rPr>
        <w:t>Conadi</w:t>
      </w:r>
      <w:proofErr w:type="spellEnd"/>
      <w:r w:rsidRPr="00B17B33">
        <w:rPr>
          <w:rFonts w:ascii="Times New Roman" w:eastAsia="Times New Roman" w:hAnsi="Times New Roman" w:cs="Times New Roman"/>
          <w:sz w:val="24"/>
          <w:szCs w:val="24"/>
          <w:lang w:val="es-GT"/>
        </w:rPr>
        <w:t xml:space="preserve"> procedió </w:t>
      </w:r>
      <w:r w:rsidRPr="00B17B33">
        <w:rPr>
          <w:rFonts w:ascii="Times New Roman" w:eastAsia="Times New Roman" w:hAnsi="Times New Roman" w:cs="Times New Roman"/>
          <w:sz w:val="24"/>
          <w:szCs w:val="24"/>
          <w:lang w:val="es-GT"/>
        </w:rPr>
        <w:lastRenderedPageBreak/>
        <w:t>a oficializar a la Cancillería la solicitud de presentación de esta candidatura.</w:t>
      </w:r>
    </w:p>
    <w:p w14:paraId="35385A98" w14:textId="77777777" w:rsidR="000452EC" w:rsidRPr="00B17B33" w:rsidRDefault="000452EC"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p>
    <w:p w14:paraId="4D63F2D8" w14:textId="658C97CB" w:rsidR="00DA56AE" w:rsidRPr="00B17B33" w:rsidRDefault="00DA56AE"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r w:rsidRPr="00B17B33">
        <w:rPr>
          <w:rFonts w:ascii="Times New Roman" w:eastAsia="Times New Roman" w:hAnsi="Times New Roman" w:cs="Times New Roman"/>
          <w:b/>
          <w:bCs/>
          <w:sz w:val="24"/>
          <w:szCs w:val="24"/>
          <w:lang w:val="es-GT"/>
        </w:rPr>
        <w:t>4. ¿Cómo toma en cuenta el Estado sus obligaciones con respecto a discriminación y derecho de las mujeres a la igualdad de acceso a la participación, así como sus obligaciones en virtud del Artículo 8 de la CEDAW para garantizar la participación igualitaria de las mujeres en el trabajo de los órganos de derechos humanos al nominar o nombrar candidatos para esos órganos y mecanismos?</w:t>
      </w:r>
    </w:p>
    <w:p w14:paraId="562361A4" w14:textId="0BAF0288" w:rsidR="00A728CD" w:rsidRPr="00A728CD" w:rsidRDefault="00A728CD"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El Estado de Guatemala cuenta con normativa vigente que promueve la participación política de las mujeres, como parte de los compromisos internacionales en materia de derechos humanos de las mujeres</w:t>
      </w:r>
      <w:r w:rsidR="00BD4D12">
        <w:rPr>
          <w:rFonts w:ascii="Times New Roman" w:eastAsia="Times New Roman" w:hAnsi="Times New Roman" w:cs="Times New Roman"/>
          <w:sz w:val="24"/>
          <w:szCs w:val="24"/>
          <w:lang w:val="es-GT"/>
        </w:rPr>
        <w:t xml:space="preserve">, siendo uno de los principales la </w:t>
      </w:r>
      <w:proofErr w:type="spellStart"/>
      <w:r w:rsidR="00BD4D12">
        <w:rPr>
          <w:rFonts w:ascii="Times New Roman" w:eastAsia="Times New Roman" w:hAnsi="Times New Roman" w:cs="Times New Roman"/>
          <w:sz w:val="24"/>
          <w:szCs w:val="24"/>
          <w:lang w:val="es-GT"/>
        </w:rPr>
        <w:t>Cedaw</w:t>
      </w:r>
      <w:proofErr w:type="spellEnd"/>
      <w:r w:rsidR="00BD4D12">
        <w:rPr>
          <w:rFonts w:ascii="Times New Roman" w:eastAsia="Times New Roman" w:hAnsi="Times New Roman" w:cs="Times New Roman"/>
          <w:sz w:val="24"/>
          <w:szCs w:val="24"/>
          <w:lang w:val="es-GT"/>
        </w:rPr>
        <w:t xml:space="preserve"> y sus recomendaciones</w:t>
      </w:r>
      <w:r>
        <w:rPr>
          <w:rFonts w:ascii="Times New Roman" w:eastAsia="Times New Roman" w:hAnsi="Times New Roman" w:cs="Times New Roman"/>
          <w:sz w:val="24"/>
          <w:szCs w:val="24"/>
          <w:lang w:val="es-GT"/>
        </w:rPr>
        <w:t xml:space="preserve">. Una de ellas es la Ley de Dignificación y Promoción Integral de la Mujer (Decreto No. 7-99), la cual promueve medidas específicas para la </w:t>
      </w:r>
      <w:r>
        <w:rPr>
          <w:rFonts w:ascii="Times New Roman" w:eastAsia="Times New Roman" w:hAnsi="Times New Roman" w:cs="Times New Roman"/>
          <w:sz w:val="24"/>
          <w:szCs w:val="24"/>
          <w:lang w:val="es-GT"/>
        </w:rPr>
        <w:lastRenderedPageBreak/>
        <w:t>participación políticas de las mujeres. También se cuenta con la Política Nacional de Promoción y Desarrollo Integral de la mujer, con un eje específico sobre Par</w:t>
      </w:r>
      <w:r w:rsidR="00BD4D12">
        <w:rPr>
          <w:rFonts w:ascii="Times New Roman" w:eastAsia="Times New Roman" w:hAnsi="Times New Roman" w:cs="Times New Roman"/>
          <w:sz w:val="24"/>
          <w:szCs w:val="24"/>
          <w:lang w:val="es-GT"/>
        </w:rPr>
        <w:t xml:space="preserve">ticipación Sociopolítica de la mujer. Por su parte, </w:t>
      </w:r>
      <w:proofErr w:type="spellStart"/>
      <w:r w:rsidR="00BD4D12">
        <w:rPr>
          <w:rFonts w:ascii="Times New Roman" w:eastAsia="Times New Roman" w:hAnsi="Times New Roman" w:cs="Times New Roman"/>
          <w:sz w:val="24"/>
          <w:szCs w:val="24"/>
          <w:lang w:val="es-GT"/>
        </w:rPr>
        <w:t>Seprem</w:t>
      </w:r>
      <w:proofErr w:type="spellEnd"/>
      <w:r w:rsidR="00BD4D12">
        <w:rPr>
          <w:rFonts w:ascii="Times New Roman" w:eastAsia="Times New Roman" w:hAnsi="Times New Roman" w:cs="Times New Roman"/>
          <w:sz w:val="24"/>
          <w:szCs w:val="24"/>
          <w:lang w:val="es-GT"/>
        </w:rPr>
        <w:t xml:space="preserve"> realizó en el 2018 una Estrategia de seguimiento a la </w:t>
      </w:r>
      <w:proofErr w:type="spellStart"/>
      <w:r w:rsidR="00BD4D12">
        <w:rPr>
          <w:rFonts w:ascii="Times New Roman" w:eastAsia="Times New Roman" w:hAnsi="Times New Roman" w:cs="Times New Roman"/>
          <w:sz w:val="24"/>
          <w:szCs w:val="24"/>
          <w:lang w:val="es-GT"/>
        </w:rPr>
        <w:t>Cedaw</w:t>
      </w:r>
      <w:proofErr w:type="spellEnd"/>
      <w:r w:rsidR="00BD4D12">
        <w:rPr>
          <w:rFonts w:ascii="Times New Roman" w:eastAsia="Times New Roman" w:hAnsi="Times New Roman" w:cs="Times New Roman"/>
          <w:sz w:val="24"/>
          <w:szCs w:val="24"/>
          <w:lang w:val="es-GT"/>
        </w:rPr>
        <w:t xml:space="preserve">, que incluye la asesoría técnica a las instituciones del Estado, para garantizar que las medidas para el avance de las mujeres estén en el marco del control de convencionalidad. En ese sentido, la institucionalidad pública debe incluir en sus acciones el instrumental nacional e internacional para promover la autonomía política de las mujeres. </w:t>
      </w:r>
    </w:p>
    <w:p w14:paraId="6EEBDC2C" w14:textId="208DB7F1" w:rsidR="000452EC" w:rsidRPr="00B17B33" w:rsidRDefault="00BD4D12"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En ese sentido, e</w:t>
      </w:r>
      <w:r w:rsidR="000452EC" w:rsidRPr="00B17B33">
        <w:rPr>
          <w:rFonts w:ascii="Times New Roman" w:eastAsia="Times New Roman" w:hAnsi="Times New Roman" w:cs="Times New Roman"/>
          <w:sz w:val="24"/>
          <w:szCs w:val="24"/>
          <w:lang w:val="es-GT"/>
        </w:rPr>
        <w:t xml:space="preserve">l Estado de Guatemala </w:t>
      </w:r>
      <w:r>
        <w:rPr>
          <w:rFonts w:ascii="Times New Roman" w:eastAsia="Times New Roman" w:hAnsi="Times New Roman" w:cs="Times New Roman"/>
          <w:sz w:val="24"/>
          <w:szCs w:val="24"/>
          <w:lang w:val="es-GT"/>
        </w:rPr>
        <w:t xml:space="preserve">promueve la inclusión del enfoque de género en los procesos de </w:t>
      </w:r>
      <w:r w:rsidR="000452EC" w:rsidRPr="00B17B33">
        <w:rPr>
          <w:rFonts w:ascii="Times New Roman" w:eastAsia="Times New Roman" w:hAnsi="Times New Roman" w:cs="Times New Roman"/>
          <w:sz w:val="24"/>
          <w:szCs w:val="24"/>
          <w:lang w:val="es-GT"/>
        </w:rPr>
        <w:t xml:space="preserve">presentación de candidaturas y </w:t>
      </w:r>
      <w:r>
        <w:rPr>
          <w:rFonts w:ascii="Times New Roman" w:eastAsia="Times New Roman" w:hAnsi="Times New Roman" w:cs="Times New Roman"/>
          <w:sz w:val="24"/>
          <w:szCs w:val="24"/>
          <w:lang w:val="es-GT"/>
        </w:rPr>
        <w:t xml:space="preserve">elección, </w:t>
      </w:r>
      <w:r w:rsidR="000452EC" w:rsidRPr="00B17B33">
        <w:rPr>
          <w:rFonts w:ascii="Times New Roman" w:eastAsia="Times New Roman" w:hAnsi="Times New Roman" w:cs="Times New Roman"/>
          <w:sz w:val="24"/>
          <w:szCs w:val="24"/>
          <w:lang w:val="es-GT"/>
        </w:rPr>
        <w:t xml:space="preserve">a través </w:t>
      </w:r>
      <w:r>
        <w:rPr>
          <w:rFonts w:ascii="Times New Roman" w:eastAsia="Times New Roman" w:hAnsi="Times New Roman" w:cs="Times New Roman"/>
          <w:sz w:val="24"/>
          <w:szCs w:val="24"/>
          <w:lang w:val="es-GT"/>
        </w:rPr>
        <w:t>de</w:t>
      </w:r>
      <w:r w:rsidR="000452EC" w:rsidRPr="00B17B33">
        <w:rPr>
          <w:rFonts w:ascii="Times New Roman" w:eastAsia="Times New Roman" w:hAnsi="Times New Roman" w:cs="Times New Roman"/>
          <w:sz w:val="24"/>
          <w:szCs w:val="24"/>
          <w:lang w:val="es-GT"/>
        </w:rPr>
        <w:t xml:space="preserve"> recomendaciones</w:t>
      </w:r>
      <w:r>
        <w:rPr>
          <w:rFonts w:ascii="Times New Roman" w:eastAsia="Times New Roman" w:hAnsi="Times New Roman" w:cs="Times New Roman"/>
          <w:sz w:val="24"/>
          <w:szCs w:val="24"/>
          <w:lang w:val="es-GT"/>
        </w:rPr>
        <w:t xml:space="preserve"> a la luz de los tratados y convenios internacionales, para fa</w:t>
      </w:r>
      <w:r w:rsidR="005D1DF7">
        <w:rPr>
          <w:rFonts w:ascii="Times New Roman" w:eastAsia="Times New Roman" w:hAnsi="Times New Roman" w:cs="Times New Roman"/>
          <w:sz w:val="24"/>
          <w:szCs w:val="24"/>
          <w:lang w:val="es-GT"/>
        </w:rPr>
        <w:t xml:space="preserve">vorecer </w:t>
      </w:r>
      <w:r w:rsidR="000452EC" w:rsidRPr="00B17B33">
        <w:rPr>
          <w:rFonts w:ascii="Times New Roman" w:eastAsia="Times New Roman" w:hAnsi="Times New Roman" w:cs="Times New Roman"/>
          <w:sz w:val="24"/>
          <w:szCs w:val="24"/>
          <w:lang w:val="es-GT"/>
        </w:rPr>
        <w:t>las candidaturas de mujeres</w:t>
      </w:r>
      <w:r>
        <w:rPr>
          <w:rFonts w:ascii="Times New Roman" w:eastAsia="Times New Roman" w:hAnsi="Times New Roman" w:cs="Times New Roman"/>
          <w:sz w:val="24"/>
          <w:szCs w:val="24"/>
          <w:lang w:val="es-GT"/>
        </w:rPr>
        <w:t xml:space="preserve">, que ha realizado el </w:t>
      </w:r>
      <w:proofErr w:type="spellStart"/>
      <w:r>
        <w:rPr>
          <w:rFonts w:ascii="Times New Roman" w:eastAsia="Times New Roman" w:hAnsi="Times New Roman" w:cs="Times New Roman"/>
          <w:sz w:val="24"/>
          <w:szCs w:val="24"/>
          <w:lang w:val="es-GT"/>
        </w:rPr>
        <w:t>Minex</w:t>
      </w:r>
      <w:proofErr w:type="spellEnd"/>
      <w:r>
        <w:rPr>
          <w:rFonts w:ascii="Times New Roman" w:eastAsia="Times New Roman" w:hAnsi="Times New Roman" w:cs="Times New Roman"/>
          <w:sz w:val="24"/>
          <w:szCs w:val="24"/>
          <w:lang w:val="es-GT"/>
        </w:rPr>
        <w:t xml:space="preserve"> y</w:t>
      </w:r>
      <w:r w:rsidR="005D1DF7">
        <w:rPr>
          <w:rFonts w:ascii="Times New Roman" w:eastAsia="Times New Roman" w:hAnsi="Times New Roman" w:cs="Times New Roman"/>
          <w:sz w:val="24"/>
          <w:szCs w:val="24"/>
          <w:lang w:val="es-GT"/>
        </w:rPr>
        <w:t xml:space="preserve"> </w:t>
      </w:r>
      <w:r>
        <w:rPr>
          <w:rFonts w:ascii="Times New Roman" w:eastAsia="Times New Roman" w:hAnsi="Times New Roman" w:cs="Times New Roman"/>
          <w:sz w:val="24"/>
          <w:szCs w:val="24"/>
          <w:lang w:val="es-GT"/>
        </w:rPr>
        <w:t>otros mecanismos de la mujer (</w:t>
      </w:r>
      <w:proofErr w:type="spellStart"/>
      <w:r>
        <w:rPr>
          <w:rFonts w:ascii="Times New Roman" w:eastAsia="Times New Roman" w:hAnsi="Times New Roman" w:cs="Times New Roman"/>
          <w:sz w:val="24"/>
          <w:szCs w:val="24"/>
          <w:lang w:val="es-GT"/>
        </w:rPr>
        <w:t>Seprem</w:t>
      </w:r>
      <w:proofErr w:type="spellEnd"/>
      <w:r>
        <w:rPr>
          <w:rFonts w:ascii="Times New Roman" w:eastAsia="Times New Roman" w:hAnsi="Times New Roman" w:cs="Times New Roman"/>
          <w:sz w:val="24"/>
          <w:szCs w:val="24"/>
          <w:lang w:val="es-GT"/>
        </w:rPr>
        <w:t xml:space="preserve"> y Defensoría de la Mujer Indígena</w:t>
      </w:r>
      <w:r w:rsidR="005D1DF7">
        <w:rPr>
          <w:rFonts w:ascii="Times New Roman" w:eastAsia="Times New Roman" w:hAnsi="Times New Roman" w:cs="Times New Roman"/>
          <w:sz w:val="24"/>
          <w:szCs w:val="24"/>
          <w:lang w:val="es-GT"/>
        </w:rPr>
        <w:t>-Demi-</w:t>
      </w:r>
      <w:r>
        <w:rPr>
          <w:rFonts w:ascii="Times New Roman" w:eastAsia="Times New Roman" w:hAnsi="Times New Roman" w:cs="Times New Roman"/>
          <w:sz w:val="24"/>
          <w:szCs w:val="24"/>
          <w:lang w:val="es-GT"/>
        </w:rPr>
        <w:t>)</w:t>
      </w:r>
      <w:r w:rsidR="000452EC" w:rsidRPr="00B17B33">
        <w:rPr>
          <w:rFonts w:ascii="Times New Roman" w:eastAsia="Times New Roman" w:hAnsi="Times New Roman" w:cs="Times New Roman"/>
          <w:sz w:val="24"/>
          <w:szCs w:val="24"/>
          <w:lang w:val="es-GT"/>
        </w:rPr>
        <w:t>.</w:t>
      </w:r>
    </w:p>
    <w:p w14:paraId="695EEEC5" w14:textId="736C57F5" w:rsidR="00DA56AE" w:rsidRPr="00B17B33" w:rsidRDefault="00BD4D12" w:rsidP="006046E1">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lastRenderedPageBreak/>
        <w:t xml:space="preserve">Dentro del diálogo multisectorial, se reconoció </w:t>
      </w:r>
      <w:r w:rsidR="005D1DF7">
        <w:rPr>
          <w:rFonts w:ascii="Times New Roman" w:eastAsia="Times New Roman" w:hAnsi="Times New Roman" w:cs="Times New Roman"/>
          <w:sz w:val="24"/>
          <w:szCs w:val="24"/>
          <w:lang w:val="es-GT"/>
        </w:rPr>
        <w:t>que,</w:t>
      </w:r>
      <w:r>
        <w:rPr>
          <w:rFonts w:ascii="Times New Roman" w:eastAsia="Times New Roman" w:hAnsi="Times New Roman" w:cs="Times New Roman"/>
          <w:sz w:val="24"/>
          <w:szCs w:val="24"/>
          <w:lang w:val="es-GT"/>
        </w:rPr>
        <w:t xml:space="preserve"> para realizar cambios significativos en la representatividad paritaria, e</w:t>
      </w:r>
      <w:r w:rsidR="006046E1" w:rsidRPr="00B17B33">
        <w:rPr>
          <w:rFonts w:ascii="Times New Roman" w:eastAsia="Times New Roman" w:hAnsi="Times New Roman" w:cs="Times New Roman"/>
          <w:sz w:val="24"/>
          <w:szCs w:val="24"/>
          <w:lang w:val="es-GT"/>
        </w:rPr>
        <w:t>s importante que el Estado de Guatemala establezca dentro de la normativa penal faltas, delitos y sancionen que permitan erradicar los hechos de violencia política y electoral contra las mujeres; de igual forma hechos de racismo y discriminación contra pueblos indígenas y poblaciones en situación de vulnerabilidad.</w:t>
      </w:r>
      <w:r w:rsidR="006046E1" w:rsidRPr="00B17B33">
        <w:rPr>
          <w:rFonts w:ascii="Times New Roman" w:hAnsi="Times New Roman" w:cs="Times New Roman"/>
          <w:sz w:val="24"/>
          <w:szCs w:val="24"/>
          <w:lang w:val="es-GT"/>
        </w:rPr>
        <w:t xml:space="preserve"> </w:t>
      </w:r>
      <w:r w:rsidR="006046E1" w:rsidRPr="00B17B33">
        <w:rPr>
          <w:rFonts w:ascii="Times New Roman" w:eastAsia="Times New Roman" w:hAnsi="Times New Roman" w:cs="Times New Roman"/>
          <w:sz w:val="24"/>
          <w:szCs w:val="24"/>
          <w:lang w:val="es-GT"/>
        </w:rPr>
        <w:t>(CAME 2020, Pág. 63)</w:t>
      </w:r>
      <w:r w:rsidR="005D1DF7">
        <w:rPr>
          <w:rFonts w:ascii="Times New Roman" w:eastAsia="Times New Roman" w:hAnsi="Times New Roman" w:cs="Times New Roman"/>
          <w:sz w:val="24"/>
          <w:szCs w:val="24"/>
          <w:lang w:val="es-GT"/>
        </w:rPr>
        <w:t xml:space="preserve">, ya que esto permitiría fomentar la participación de las mujeres y garantizar que cualquier acción en contra, será sancionada tanto en el ámbito penal como administrativo. </w:t>
      </w:r>
    </w:p>
    <w:p w14:paraId="600C9055" w14:textId="77777777" w:rsidR="00DE435F" w:rsidRPr="00B17B33" w:rsidRDefault="00DE435F" w:rsidP="006046E1">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p>
    <w:p w14:paraId="0E6819EB" w14:textId="047C4254" w:rsidR="00DA56AE" w:rsidRPr="00B17B33" w:rsidRDefault="00DA56AE"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r w:rsidRPr="00B17B33">
        <w:rPr>
          <w:rFonts w:ascii="Times New Roman" w:eastAsia="Times New Roman" w:hAnsi="Times New Roman" w:cs="Times New Roman"/>
          <w:b/>
          <w:bCs/>
          <w:sz w:val="24"/>
          <w:szCs w:val="24"/>
          <w:lang w:val="es-GT"/>
        </w:rPr>
        <w:t>5. ¿Cuántas mujeres ha designado el Estado para los órganos de derechos humanos y mecanismos en los últimos cinco años (como el Comité Asesor u otro tratado)?</w:t>
      </w:r>
    </w:p>
    <w:p w14:paraId="176B6090" w14:textId="6B43B339" w:rsidR="000452EC" w:rsidRPr="00B17B33" w:rsidRDefault="000452EC"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El Estado de Guatemala ha contado con la representación de las siguientes candidaturas: </w:t>
      </w:r>
    </w:p>
    <w:p w14:paraId="0D6421DF" w14:textId="77777777" w:rsidR="000452EC" w:rsidRPr="00B17B33" w:rsidRDefault="000452EC"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p>
    <w:p w14:paraId="55742C45" w14:textId="261773C5" w:rsidR="000452EC" w:rsidRPr="00B17B33" w:rsidRDefault="000452EC" w:rsidP="000452EC">
      <w:pPr>
        <w:pStyle w:val="ListParagraph"/>
        <w:numPr>
          <w:ilvl w:val="0"/>
          <w:numId w:val="1"/>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Dra. Rosa Idalia Aldana para ser miembro del Comité de los Derechos de las Personas con Discapacidad (CRPD por sus siglas en inglés), en la primera ocasión se presentó su candidatura para el período 2019-2022. No habiendo sido electa, se presentó su candidatura nuevamente para el período 2021-2024; </w:t>
      </w:r>
    </w:p>
    <w:p w14:paraId="64D33F1C" w14:textId="46AF2F30" w:rsidR="000452EC" w:rsidRPr="00B17B33" w:rsidRDefault="000452EC" w:rsidP="000452EC">
      <w:pPr>
        <w:pStyle w:val="ListParagraph"/>
        <w:numPr>
          <w:ilvl w:val="0"/>
          <w:numId w:val="1"/>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Licenciada Lorena González Pinto, quien fue miembro del Subcomité para la Prevención contra la Tortura (SPT), período 2015-2018; </w:t>
      </w:r>
    </w:p>
    <w:p w14:paraId="17291288" w14:textId="535CC327" w:rsidR="000452EC" w:rsidRPr="00B17B33" w:rsidRDefault="000452EC" w:rsidP="000452EC">
      <w:pPr>
        <w:pStyle w:val="ListParagraph"/>
        <w:numPr>
          <w:ilvl w:val="0"/>
          <w:numId w:val="1"/>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Sra. </w:t>
      </w:r>
      <w:proofErr w:type="spellStart"/>
      <w:r w:rsidRPr="00B17B33">
        <w:rPr>
          <w:rFonts w:ascii="Times New Roman" w:eastAsia="Times New Roman" w:hAnsi="Times New Roman" w:cs="Times New Roman"/>
          <w:sz w:val="24"/>
          <w:szCs w:val="24"/>
          <w:lang w:val="es-GT"/>
        </w:rPr>
        <w:t>Anantonia</w:t>
      </w:r>
      <w:proofErr w:type="spellEnd"/>
      <w:r w:rsidRPr="00B17B33">
        <w:rPr>
          <w:rFonts w:ascii="Times New Roman" w:eastAsia="Times New Roman" w:hAnsi="Times New Roman" w:cs="Times New Roman"/>
          <w:sz w:val="24"/>
          <w:szCs w:val="24"/>
          <w:lang w:val="es-GT"/>
        </w:rPr>
        <w:t xml:space="preserve"> Reyes Prado, quien resulto electa como miembro del Comité Asesor del Consejo de Derechos Humanos (CAC por sus siglas en inglés), período 2012-2017;</w:t>
      </w:r>
    </w:p>
    <w:p w14:paraId="1DB89A77" w14:textId="22DF311C" w:rsidR="000452EC" w:rsidRPr="00B17B33" w:rsidRDefault="000452EC" w:rsidP="000452EC">
      <w:pPr>
        <w:pStyle w:val="ListParagraph"/>
        <w:numPr>
          <w:ilvl w:val="0"/>
          <w:numId w:val="1"/>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Sra. Silvia </w:t>
      </w:r>
      <w:proofErr w:type="spellStart"/>
      <w:r w:rsidRPr="00B17B33">
        <w:rPr>
          <w:rFonts w:ascii="Times New Roman" w:eastAsia="Times New Roman" w:hAnsi="Times New Roman" w:cs="Times New Roman"/>
          <w:sz w:val="24"/>
          <w:szCs w:val="24"/>
          <w:lang w:val="es-GT"/>
        </w:rPr>
        <w:t>Quan</w:t>
      </w:r>
      <w:proofErr w:type="spellEnd"/>
      <w:r w:rsidRPr="00B17B33">
        <w:rPr>
          <w:rFonts w:ascii="Times New Roman" w:eastAsia="Times New Roman" w:hAnsi="Times New Roman" w:cs="Times New Roman"/>
          <w:sz w:val="24"/>
          <w:szCs w:val="24"/>
          <w:lang w:val="es-GT"/>
        </w:rPr>
        <w:t xml:space="preserve"> Chang, quien fue electa como experta independiente del Comité sobre los derechos de las personas con discapacidad (CRPD por sus </w:t>
      </w:r>
      <w:r w:rsidRPr="00B17B33">
        <w:rPr>
          <w:rFonts w:ascii="Times New Roman" w:eastAsia="Times New Roman" w:hAnsi="Times New Roman" w:cs="Times New Roman"/>
          <w:sz w:val="24"/>
          <w:szCs w:val="24"/>
          <w:lang w:val="es-GT"/>
        </w:rPr>
        <w:lastRenderedPageBreak/>
        <w:t>siglas en inglés), durante el período 2011-2016;</w:t>
      </w:r>
    </w:p>
    <w:p w14:paraId="4E0A7D67" w14:textId="2BD94326" w:rsidR="000452EC" w:rsidRPr="00B17B33" w:rsidRDefault="000452EC" w:rsidP="000452EC">
      <w:pPr>
        <w:pStyle w:val="ListParagraph"/>
        <w:numPr>
          <w:ilvl w:val="0"/>
          <w:numId w:val="1"/>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Sra. Marta Beatriz </w:t>
      </w:r>
      <w:proofErr w:type="spellStart"/>
      <w:r w:rsidRPr="00B17B33">
        <w:rPr>
          <w:rFonts w:ascii="Times New Roman" w:eastAsia="Times New Roman" w:hAnsi="Times New Roman" w:cs="Times New Roman"/>
          <w:sz w:val="24"/>
          <w:szCs w:val="24"/>
          <w:lang w:val="es-GT"/>
        </w:rPr>
        <w:t>Altolaguirre</w:t>
      </w:r>
      <w:proofErr w:type="spellEnd"/>
      <w:r w:rsidRPr="00B17B33">
        <w:rPr>
          <w:rFonts w:ascii="Times New Roman" w:eastAsia="Times New Roman" w:hAnsi="Times New Roman" w:cs="Times New Roman"/>
          <w:sz w:val="24"/>
          <w:szCs w:val="24"/>
          <w:lang w:val="es-GT"/>
        </w:rPr>
        <w:t xml:space="preserve"> </w:t>
      </w:r>
      <w:proofErr w:type="spellStart"/>
      <w:r w:rsidRPr="00B17B33">
        <w:rPr>
          <w:rFonts w:ascii="Times New Roman" w:eastAsia="Times New Roman" w:hAnsi="Times New Roman" w:cs="Times New Roman"/>
          <w:sz w:val="24"/>
          <w:szCs w:val="24"/>
          <w:lang w:val="es-GT"/>
        </w:rPr>
        <w:t>Larraondo</w:t>
      </w:r>
      <w:proofErr w:type="spellEnd"/>
      <w:r w:rsidRPr="00B17B33">
        <w:rPr>
          <w:rFonts w:ascii="Times New Roman" w:eastAsia="Times New Roman" w:hAnsi="Times New Roman" w:cs="Times New Roman"/>
          <w:sz w:val="24"/>
          <w:szCs w:val="24"/>
          <w:lang w:val="es-GT"/>
        </w:rPr>
        <w:t xml:space="preserve"> para ser miembro del Comité contra la Tortura (CAT por sus siglas en inglés), período 2008-2010;</w:t>
      </w:r>
    </w:p>
    <w:p w14:paraId="0379BEC6" w14:textId="7EE78FC5" w:rsidR="000452EC" w:rsidRPr="00B17B33" w:rsidRDefault="000452EC" w:rsidP="000452EC">
      <w:pPr>
        <w:pStyle w:val="ListParagraph"/>
        <w:numPr>
          <w:ilvl w:val="0"/>
          <w:numId w:val="1"/>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Licenciada Mirna Yolanda Lorenzana de González ante el Comité de los Derechos del Niño (CRC por sus siglas en inglés), período 2007-2010; </w:t>
      </w:r>
    </w:p>
    <w:p w14:paraId="4AB710DB" w14:textId="6A1F130C" w:rsidR="00DA56AE" w:rsidRPr="00B17B33" w:rsidRDefault="000452EC" w:rsidP="000452EC">
      <w:pPr>
        <w:pStyle w:val="ListParagraph"/>
        <w:numPr>
          <w:ilvl w:val="0"/>
          <w:numId w:val="1"/>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Sra. Otilia Lux de Cotí quien sirvió como experta independiente en el Foro Permanente sobre las Cuestiones Indígenas (PFII por sus siglas en inglés), período 2002-2007.</w:t>
      </w:r>
    </w:p>
    <w:p w14:paraId="452A9EE2" w14:textId="0F1E10AE" w:rsidR="000452EC" w:rsidRPr="00B562DD" w:rsidRDefault="000452EC" w:rsidP="000452EC">
      <w:pPr>
        <w:pStyle w:val="ListParagraph"/>
        <w:tabs>
          <w:tab w:val="left" w:pos="3057"/>
        </w:tabs>
        <w:spacing w:before="184" w:after="0" w:line="300" w:lineRule="exact"/>
        <w:ind w:left="3427" w:right="2153"/>
        <w:jc w:val="both"/>
        <w:rPr>
          <w:rFonts w:ascii="Times New Roman" w:eastAsia="Times New Roman" w:hAnsi="Times New Roman" w:cs="Times New Roman"/>
          <w:b/>
          <w:bCs/>
          <w:sz w:val="24"/>
          <w:szCs w:val="24"/>
          <w:lang w:val="es-GT"/>
        </w:rPr>
      </w:pPr>
    </w:p>
    <w:p w14:paraId="0F72AF1E" w14:textId="77777777" w:rsidR="000452EC" w:rsidRPr="00B562DD" w:rsidRDefault="000452EC" w:rsidP="000452EC">
      <w:pPr>
        <w:pStyle w:val="ListParagraph"/>
        <w:tabs>
          <w:tab w:val="left" w:pos="3057"/>
        </w:tabs>
        <w:spacing w:before="184" w:after="0" w:line="300" w:lineRule="exact"/>
        <w:ind w:left="3427" w:right="2153"/>
        <w:jc w:val="both"/>
        <w:rPr>
          <w:rFonts w:ascii="Times New Roman" w:eastAsia="Times New Roman" w:hAnsi="Times New Roman" w:cs="Times New Roman"/>
          <w:sz w:val="24"/>
          <w:szCs w:val="24"/>
          <w:lang w:val="es-GT"/>
        </w:rPr>
      </w:pPr>
    </w:p>
    <w:p w14:paraId="6C0E7C25" w14:textId="79FAD7F3" w:rsidR="00DA56AE" w:rsidRPr="00B17B33" w:rsidRDefault="00DA56AE"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r w:rsidRPr="00B17B33">
        <w:rPr>
          <w:rFonts w:ascii="Times New Roman" w:eastAsia="Times New Roman" w:hAnsi="Times New Roman" w:cs="Times New Roman"/>
          <w:b/>
          <w:bCs/>
          <w:sz w:val="24"/>
          <w:szCs w:val="24"/>
          <w:lang w:val="es-GT"/>
        </w:rPr>
        <w:t>6. ¿El Estado toma alguna medida para publicitar y alentar a las mujeres a participar en procedimientos especiales para aplicar a vacantes?</w:t>
      </w:r>
    </w:p>
    <w:p w14:paraId="1EF3E972" w14:textId="6D58A23D" w:rsidR="000452EC" w:rsidRPr="00B17B33" w:rsidRDefault="000452EC" w:rsidP="000452EC">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Al momento, aún no se tiene un sistema institucionalizado para diseminar información sobre nombramientos de </w:t>
      </w:r>
      <w:r w:rsidRPr="00B17B33">
        <w:rPr>
          <w:rFonts w:ascii="Times New Roman" w:eastAsia="Times New Roman" w:hAnsi="Times New Roman" w:cs="Times New Roman"/>
          <w:sz w:val="24"/>
          <w:szCs w:val="24"/>
          <w:lang w:val="es-GT"/>
        </w:rPr>
        <w:lastRenderedPageBreak/>
        <w:t>titulares de mandato o bien presentación de candidaturas para formar parte de los órganos de tratados en materia de         derechos humanos.</w:t>
      </w:r>
    </w:p>
    <w:p w14:paraId="77B1327C" w14:textId="2CCFF43B" w:rsidR="00DE435F" w:rsidRPr="00B17B33" w:rsidRDefault="005D1DF7" w:rsidP="00DA56AE">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Es por ello, que una de las recomendaciones que se manifestaron en la CAME y puede ser el punto de partida para promover medidas efectivas por parte del Estado de Guatemala, es la promoción, socialización y publicidad mediada sobre las vacantes para ocupar cargos o puestos internacionales, mediante la utilización de</w:t>
      </w:r>
      <w:r w:rsidR="00A04555">
        <w:rPr>
          <w:rFonts w:ascii="Times New Roman" w:eastAsia="Times New Roman" w:hAnsi="Times New Roman" w:cs="Times New Roman"/>
          <w:sz w:val="24"/>
          <w:szCs w:val="24"/>
          <w:lang w:val="es-GT"/>
        </w:rPr>
        <w:t xml:space="preserve"> </w:t>
      </w:r>
      <w:r>
        <w:rPr>
          <w:rFonts w:ascii="Times New Roman" w:eastAsia="Times New Roman" w:hAnsi="Times New Roman" w:cs="Times New Roman"/>
          <w:sz w:val="24"/>
          <w:szCs w:val="24"/>
          <w:lang w:val="es-GT"/>
        </w:rPr>
        <w:t xml:space="preserve">la tecnología. Se recomendó que el Estado </w:t>
      </w:r>
      <w:r w:rsidR="0082611D" w:rsidRPr="00B17B33">
        <w:rPr>
          <w:rFonts w:ascii="Times New Roman" w:eastAsia="Times New Roman" w:hAnsi="Times New Roman" w:cs="Times New Roman"/>
          <w:sz w:val="24"/>
          <w:szCs w:val="24"/>
          <w:lang w:val="es-GT"/>
        </w:rPr>
        <w:t xml:space="preserve">debe </w:t>
      </w:r>
      <w:r w:rsidRPr="00A04555">
        <w:rPr>
          <w:rFonts w:ascii="Times New Roman" w:eastAsia="Times New Roman" w:hAnsi="Times New Roman" w:cs="Times New Roman"/>
          <w:i/>
          <w:iCs/>
          <w:sz w:val="24"/>
          <w:szCs w:val="24"/>
          <w:lang w:val="es-GT"/>
        </w:rPr>
        <w:t>promover</w:t>
      </w:r>
      <w:r w:rsidR="0082611D" w:rsidRPr="00A04555">
        <w:rPr>
          <w:rFonts w:ascii="Times New Roman" w:eastAsia="Times New Roman" w:hAnsi="Times New Roman" w:cs="Times New Roman"/>
          <w:i/>
          <w:iCs/>
          <w:sz w:val="24"/>
          <w:szCs w:val="24"/>
          <w:lang w:val="es-GT"/>
        </w:rPr>
        <w:t xml:space="preserve"> la utilización de tecnología adecuada para la segura y efectiva </w:t>
      </w:r>
      <w:r w:rsidR="00DE435F" w:rsidRPr="00A04555">
        <w:rPr>
          <w:rFonts w:ascii="Times New Roman" w:eastAsia="Times New Roman" w:hAnsi="Times New Roman" w:cs="Times New Roman"/>
          <w:i/>
          <w:iCs/>
          <w:sz w:val="24"/>
          <w:szCs w:val="24"/>
          <w:lang w:val="es-GT"/>
        </w:rPr>
        <w:t xml:space="preserve">publicidad de vacantes, de igual forma evaluar la redacción de las convocatorias para lograr </w:t>
      </w:r>
      <w:r w:rsidR="0082611D" w:rsidRPr="00A04555">
        <w:rPr>
          <w:rFonts w:ascii="Times New Roman" w:eastAsia="Times New Roman" w:hAnsi="Times New Roman" w:cs="Times New Roman"/>
          <w:i/>
          <w:iCs/>
          <w:sz w:val="24"/>
          <w:szCs w:val="24"/>
          <w:lang w:val="es-GT"/>
        </w:rPr>
        <w:t xml:space="preserve">alentar a las mujeres </w:t>
      </w:r>
      <w:r w:rsidR="00830554" w:rsidRPr="00A04555">
        <w:rPr>
          <w:rFonts w:ascii="Times New Roman" w:eastAsia="Times New Roman" w:hAnsi="Times New Roman" w:cs="Times New Roman"/>
          <w:i/>
          <w:iCs/>
          <w:sz w:val="24"/>
          <w:szCs w:val="24"/>
          <w:lang w:val="es-GT"/>
        </w:rPr>
        <w:t>para que apliquen a</w:t>
      </w:r>
      <w:r w:rsidR="0082611D" w:rsidRPr="00A04555">
        <w:rPr>
          <w:rFonts w:ascii="Times New Roman" w:eastAsia="Times New Roman" w:hAnsi="Times New Roman" w:cs="Times New Roman"/>
          <w:i/>
          <w:iCs/>
          <w:sz w:val="24"/>
          <w:szCs w:val="24"/>
          <w:lang w:val="es-GT"/>
        </w:rPr>
        <w:t xml:space="preserve"> vacantes</w:t>
      </w:r>
      <w:r w:rsidR="00DE435F" w:rsidRPr="00B17B33">
        <w:rPr>
          <w:rFonts w:ascii="Times New Roman" w:eastAsia="Times New Roman" w:hAnsi="Times New Roman" w:cs="Times New Roman"/>
          <w:sz w:val="24"/>
          <w:szCs w:val="24"/>
          <w:lang w:val="es-GT"/>
        </w:rPr>
        <w:t>.</w:t>
      </w:r>
      <w:r w:rsidR="00DE435F" w:rsidRPr="00B17B33">
        <w:rPr>
          <w:rFonts w:ascii="Times New Roman" w:hAnsi="Times New Roman" w:cs="Times New Roman"/>
          <w:sz w:val="24"/>
          <w:szCs w:val="24"/>
          <w:lang w:val="es-GT"/>
        </w:rPr>
        <w:t xml:space="preserve"> </w:t>
      </w:r>
      <w:r w:rsidR="00DE435F" w:rsidRPr="00B17B33">
        <w:rPr>
          <w:rFonts w:ascii="Times New Roman" w:eastAsia="Times New Roman" w:hAnsi="Times New Roman" w:cs="Times New Roman"/>
          <w:sz w:val="24"/>
          <w:szCs w:val="24"/>
          <w:lang w:val="es-GT"/>
        </w:rPr>
        <w:t>(CAME 2020, Pág. 40)</w:t>
      </w:r>
      <w:r>
        <w:rPr>
          <w:rFonts w:ascii="Times New Roman" w:eastAsia="Times New Roman" w:hAnsi="Times New Roman" w:cs="Times New Roman"/>
          <w:sz w:val="24"/>
          <w:szCs w:val="24"/>
          <w:lang w:val="es-GT"/>
        </w:rPr>
        <w:t>.</w:t>
      </w:r>
    </w:p>
    <w:p w14:paraId="3EB7F795" w14:textId="77777777" w:rsidR="00DE435F" w:rsidRPr="00B17B33" w:rsidRDefault="00DE435F"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17C1719A" w14:textId="4712C395" w:rsidR="00650210" w:rsidRPr="00B17B33" w:rsidRDefault="00DA56AE" w:rsidP="00650210">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b/>
          <w:bCs/>
          <w:sz w:val="24"/>
          <w:szCs w:val="24"/>
          <w:lang w:val="es-GT"/>
        </w:rPr>
        <w:t>7. ¿Cuáles son los principales desafíos dentro de su país para abordar el tema de equidad de género al nominar y elegir candidatos para órga</w:t>
      </w:r>
      <w:r w:rsidRPr="00B17B33">
        <w:rPr>
          <w:rFonts w:ascii="Times New Roman" w:eastAsia="Times New Roman" w:hAnsi="Times New Roman" w:cs="Times New Roman"/>
          <w:b/>
          <w:bCs/>
          <w:sz w:val="24"/>
          <w:szCs w:val="24"/>
          <w:lang w:val="es-GT"/>
        </w:rPr>
        <w:lastRenderedPageBreak/>
        <w:t>nos de derechos humanos y mecanismos como el Comité Asesor, los órganos creados en virtud de tratados y los especiales procedimientos?</w:t>
      </w:r>
    </w:p>
    <w:p w14:paraId="22619827" w14:textId="25DB5500" w:rsidR="00C7013E" w:rsidRPr="00B17B33" w:rsidRDefault="00650210" w:rsidP="00650210">
      <w:pPr>
        <w:pStyle w:val="ListParagraph"/>
        <w:numPr>
          <w:ilvl w:val="0"/>
          <w:numId w:val="2"/>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Contar con </w:t>
      </w:r>
      <w:r w:rsidR="00C7013E" w:rsidRPr="00B17B33">
        <w:rPr>
          <w:rFonts w:ascii="Times New Roman" w:eastAsia="Times New Roman" w:hAnsi="Times New Roman" w:cs="Times New Roman"/>
          <w:sz w:val="24"/>
          <w:szCs w:val="24"/>
          <w:lang w:val="es-GT"/>
        </w:rPr>
        <w:t xml:space="preserve">expertos que sean completamente bilingües, </w:t>
      </w:r>
      <w:r w:rsidR="007F02EB" w:rsidRPr="00B17B33">
        <w:rPr>
          <w:rFonts w:ascii="Times New Roman" w:eastAsia="Times New Roman" w:hAnsi="Times New Roman" w:cs="Times New Roman"/>
          <w:sz w:val="24"/>
          <w:szCs w:val="24"/>
          <w:lang w:val="es-GT"/>
        </w:rPr>
        <w:t>ya que,</w:t>
      </w:r>
      <w:r w:rsidR="00C7013E" w:rsidRPr="00B17B33">
        <w:rPr>
          <w:rFonts w:ascii="Times New Roman" w:eastAsia="Times New Roman" w:hAnsi="Times New Roman" w:cs="Times New Roman"/>
          <w:sz w:val="24"/>
          <w:szCs w:val="24"/>
          <w:lang w:val="es-GT"/>
        </w:rPr>
        <w:t xml:space="preserve"> si bien es cierto que el idioma español es uno de los 6 idiomas oficiales de las Naciones Unidas, resulta que los idiomas de trabajo de la Secretaría de las Naciones Unidas son el inglés y el francés; aunado a ello, el idioma que se utiliza durante las negociaciones y consultas oficiosas es el inglés. </w:t>
      </w:r>
    </w:p>
    <w:p w14:paraId="25E1800C" w14:textId="56FA0B60" w:rsidR="007F02EB" w:rsidRPr="00B17B33" w:rsidRDefault="007F02EB" w:rsidP="00FB095E">
      <w:pPr>
        <w:pStyle w:val="ListParagraph"/>
        <w:numPr>
          <w:ilvl w:val="0"/>
          <w:numId w:val="2"/>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Contar con recursos financieros para voluntarios, ya que de esta forma se garantiza que las personas que apliquen a vacantes ya cuenten con los conocimientos necesarios sobre el funcionamiento del Sistema Universal de Protección de Derechos Humanos, así como de los procedimientos especiales y los mecanismos del Consejo </w:t>
      </w:r>
      <w:r w:rsidRPr="00B17B33">
        <w:rPr>
          <w:rFonts w:ascii="Times New Roman" w:eastAsia="Times New Roman" w:hAnsi="Times New Roman" w:cs="Times New Roman"/>
          <w:sz w:val="24"/>
          <w:szCs w:val="24"/>
          <w:lang w:val="es-GT"/>
        </w:rPr>
        <w:lastRenderedPageBreak/>
        <w:t>de Derechos Humanos, para que puedan desempeñar de forma adecuada los cargos.</w:t>
      </w:r>
    </w:p>
    <w:p w14:paraId="0CBC22D1" w14:textId="00C87948" w:rsidR="007D7A90" w:rsidRPr="00B17B33" w:rsidRDefault="007D7A90" w:rsidP="00FB095E">
      <w:pPr>
        <w:pStyle w:val="ListParagraph"/>
        <w:numPr>
          <w:ilvl w:val="0"/>
          <w:numId w:val="2"/>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Reformar la normativa vigente sobre los procedimientos de elección, nombramiento y representación de expertos ante los órganos internacionales de derechos humanos, para que estos procesos adopten paridad y alternancia de género (o al menos cuota progresiva) e inclusión indígena.</w:t>
      </w:r>
      <w:r w:rsidR="00B36804" w:rsidRPr="00B17B33">
        <w:rPr>
          <w:rFonts w:ascii="Times New Roman" w:hAnsi="Times New Roman" w:cs="Times New Roman"/>
          <w:sz w:val="24"/>
          <w:szCs w:val="24"/>
          <w:lang w:val="es-GT"/>
        </w:rPr>
        <w:t xml:space="preserve"> </w:t>
      </w:r>
      <w:r w:rsidR="00B36804" w:rsidRPr="00B17B33">
        <w:rPr>
          <w:rFonts w:ascii="Times New Roman" w:eastAsia="Times New Roman" w:hAnsi="Times New Roman" w:cs="Times New Roman"/>
          <w:sz w:val="24"/>
          <w:szCs w:val="24"/>
          <w:lang w:val="es-GT"/>
        </w:rPr>
        <w:t>(CAME 2020, Pág. 17)</w:t>
      </w:r>
    </w:p>
    <w:p w14:paraId="26282FCC" w14:textId="4F781557" w:rsidR="00DA56AE" w:rsidRPr="00B562DD" w:rsidRDefault="00DA56AE" w:rsidP="00DA56AE">
      <w:pPr>
        <w:tabs>
          <w:tab w:val="left" w:pos="3057"/>
        </w:tabs>
        <w:spacing w:before="184" w:after="0" w:line="300" w:lineRule="exact"/>
        <w:ind w:right="2153"/>
        <w:jc w:val="both"/>
        <w:rPr>
          <w:rFonts w:ascii="Times New Roman" w:eastAsia="Times New Roman" w:hAnsi="Times New Roman" w:cs="Times New Roman"/>
          <w:sz w:val="24"/>
          <w:szCs w:val="24"/>
          <w:lang w:val="es-GT"/>
        </w:rPr>
      </w:pPr>
    </w:p>
    <w:p w14:paraId="6EBE732F" w14:textId="76F5A086" w:rsidR="00DA56AE" w:rsidRPr="00B17B33" w:rsidRDefault="00DA56AE"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r w:rsidRPr="00B17B33">
        <w:rPr>
          <w:rFonts w:ascii="Times New Roman" w:eastAsia="Times New Roman" w:hAnsi="Times New Roman" w:cs="Times New Roman"/>
          <w:b/>
          <w:bCs/>
          <w:sz w:val="24"/>
          <w:szCs w:val="24"/>
          <w:lang w:val="es-GT"/>
        </w:rPr>
        <w:t>8. ¿Existen buenas prácticas por parte del Estado u otras partes interesadas que garanticen la paridad de género? En caso afirmativo, ¿podría compartir estas prácticas?</w:t>
      </w:r>
    </w:p>
    <w:p w14:paraId="3778FC4C" w14:textId="2C81F24D" w:rsidR="007D7A90" w:rsidRPr="00B17B33" w:rsidRDefault="00650210" w:rsidP="00DA56AE">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 xml:space="preserve">El proceso utilizado por </w:t>
      </w:r>
      <w:proofErr w:type="spellStart"/>
      <w:r w:rsidRPr="00B17B33">
        <w:rPr>
          <w:rFonts w:ascii="Times New Roman" w:eastAsia="Times New Roman" w:hAnsi="Times New Roman" w:cs="Times New Roman"/>
          <w:sz w:val="24"/>
          <w:szCs w:val="24"/>
          <w:lang w:val="es-GT"/>
        </w:rPr>
        <w:t>Conadi</w:t>
      </w:r>
      <w:proofErr w:type="spellEnd"/>
      <w:r w:rsidRPr="00B17B33">
        <w:rPr>
          <w:rFonts w:ascii="Times New Roman" w:eastAsia="Times New Roman" w:hAnsi="Times New Roman" w:cs="Times New Roman"/>
          <w:sz w:val="24"/>
          <w:szCs w:val="24"/>
          <w:lang w:val="es-GT"/>
        </w:rPr>
        <w:t xml:space="preserve"> para la confirmación de la candidatura de la Dra. Aldana, es un modelo de referencia que podría utilizarse de base para la creación de un proceso institucionalizado para la identificación de candidatos adecuados para los órganos de </w:t>
      </w:r>
      <w:r w:rsidRPr="00B17B33">
        <w:rPr>
          <w:rFonts w:ascii="Times New Roman" w:eastAsia="Times New Roman" w:hAnsi="Times New Roman" w:cs="Times New Roman"/>
          <w:sz w:val="24"/>
          <w:szCs w:val="24"/>
          <w:lang w:val="es-GT"/>
        </w:rPr>
        <w:lastRenderedPageBreak/>
        <w:t>tratados.</w:t>
      </w:r>
      <w:r w:rsidR="00A04555">
        <w:rPr>
          <w:rFonts w:ascii="Times New Roman" w:eastAsia="Times New Roman" w:hAnsi="Times New Roman" w:cs="Times New Roman"/>
          <w:sz w:val="24"/>
          <w:szCs w:val="24"/>
          <w:lang w:val="es-GT"/>
        </w:rPr>
        <w:t xml:space="preserve"> Otra de las buenas prácticas, es la elección de Expertas ante </w:t>
      </w:r>
      <w:proofErr w:type="spellStart"/>
      <w:r w:rsidR="00A04555">
        <w:rPr>
          <w:rFonts w:ascii="Times New Roman" w:eastAsia="Times New Roman" w:hAnsi="Times New Roman" w:cs="Times New Roman"/>
          <w:sz w:val="24"/>
          <w:szCs w:val="24"/>
          <w:lang w:val="es-GT"/>
        </w:rPr>
        <w:t>le</w:t>
      </w:r>
      <w:proofErr w:type="spellEnd"/>
      <w:r w:rsidR="00A04555">
        <w:rPr>
          <w:rFonts w:ascii="Times New Roman" w:eastAsia="Times New Roman" w:hAnsi="Times New Roman" w:cs="Times New Roman"/>
          <w:sz w:val="24"/>
          <w:szCs w:val="24"/>
          <w:lang w:val="es-GT"/>
        </w:rPr>
        <w:t xml:space="preserve"> Mecanismo de Seguimiento a la Convención Belém do Pará (</w:t>
      </w:r>
      <w:proofErr w:type="spellStart"/>
      <w:r w:rsidR="00A04555">
        <w:rPr>
          <w:rFonts w:ascii="Times New Roman" w:eastAsia="Times New Roman" w:hAnsi="Times New Roman" w:cs="Times New Roman"/>
          <w:sz w:val="24"/>
          <w:szCs w:val="24"/>
          <w:lang w:val="es-GT"/>
        </w:rPr>
        <w:t>Mesecvi</w:t>
      </w:r>
      <w:proofErr w:type="spellEnd"/>
      <w:r w:rsidR="00A04555">
        <w:rPr>
          <w:rFonts w:ascii="Times New Roman" w:eastAsia="Times New Roman" w:hAnsi="Times New Roman" w:cs="Times New Roman"/>
          <w:sz w:val="24"/>
          <w:szCs w:val="24"/>
          <w:lang w:val="es-GT"/>
        </w:rPr>
        <w:t xml:space="preserve">). Para ambas, ver numeral 2. </w:t>
      </w:r>
    </w:p>
    <w:p w14:paraId="468CE3DA" w14:textId="77777777" w:rsidR="00650210" w:rsidRPr="00B17B33" w:rsidRDefault="00650210"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585183CA" w14:textId="218E055E" w:rsidR="007F02EB" w:rsidRPr="00B17B33" w:rsidRDefault="00DA56AE" w:rsidP="007F02EB">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b/>
          <w:bCs/>
          <w:sz w:val="24"/>
          <w:szCs w:val="24"/>
          <w:lang w:val="es-GT"/>
        </w:rPr>
        <w:t>9. ¿Existen recomendaciones dirigidas a los Estados, organismos internacionales u otras entidades que desea hacer para fortalecer este informe?</w:t>
      </w:r>
    </w:p>
    <w:p w14:paraId="05F3EA0A" w14:textId="2176B489" w:rsidR="007F02EB" w:rsidRPr="00B17B33" w:rsidRDefault="007F02EB" w:rsidP="007F02EB">
      <w:pPr>
        <w:pStyle w:val="ListParagraph"/>
        <w:numPr>
          <w:ilvl w:val="0"/>
          <w:numId w:val="3"/>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Se exhorta mayor apoyo por parte de los Estados Miembros para la adecuada financiación de los fondos voluntarios y con ello, propiciar una mayor participación por parte de mujeres, jóvenes y pueblos indígenas de manera activa en las reuniones sustantivas de la ONU. De esta manera, no solo se garantizará una participación inclusiva, y a la vez, los beneficiarios podrán familiarizarse mejor con los procesos del sistema universal y consecuentemente, poder as</w:t>
      </w:r>
      <w:r w:rsidRPr="00B17B33">
        <w:rPr>
          <w:rFonts w:ascii="Times New Roman" w:eastAsia="Times New Roman" w:hAnsi="Times New Roman" w:cs="Times New Roman"/>
          <w:sz w:val="24"/>
          <w:szCs w:val="24"/>
          <w:lang w:val="es-GT"/>
        </w:rPr>
        <w:lastRenderedPageBreak/>
        <w:t>pirar a participar en las elecciones para ser miembros en estos mecanismos.</w:t>
      </w:r>
    </w:p>
    <w:p w14:paraId="51290363" w14:textId="63552C27" w:rsidR="007F02EB" w:rsidRPr="00B17B33" w:rsidRDefault="007F02EB" w:rsidP="007F02EB">
      <w:pPr>
        <w:pStyle w:val="ListParagraph"/>
        <w:numPr>
          <w:ilvl w:val="0"/>
          <w:numId w:val="3"/>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Compartir lecciones aprendidas y buenas prácticas de otros Estados que ya tengan institucionalizado un proceso de convocatoria abierta para postulación a titulares de mandatos de procedimientos especiales y a órganos de tratados, a fin de que otros Estados puedan replicar un mecanismo de esa naturaleza a nivel nacional.</w:t>
      </w:r>
    </w:p>
    <w:p w14:paraId="0D595E18" w14:textId="7ACE2331" w:rsidR="007D7A90" w:rsidRPr="00B17B33" w:rsidRDefault="007D7A90" w:rsidP="007F02EB">
      <w:pPr>
        <w:pStyle w:val="ListParagraph"/>
        <w:numPr>
          <w:ilvl w:val="0"/>
          <w:numId w:val="3"/>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B17B33">
        <w:rPr>
          <w:rFonts w:ascii="Times New Roman" w:eastAsia="Times New Roman" w:hAnsi="Times New Roman" w:cs="Times New Roman"/>
          <w:sz w:val="24"/>
          <w:szCs w:val="24"/>
          <w:lang w:val="es-GT"/>
        </w:rPr>
        <w:t>Los Estados deben realizar un efectivo control de convencionalidad tanto con instrumentos del Sistema de Protección Universal de Derechos Humanos de las Naciones Unidas como del Sistema Interamericano o Regional de Protección de Derechos Humanos de la Organización de Estados Americanos, para garantizar la participación política y democrática de las mujeres y la erradicación de la discriminación en este ámbito.</w:t>
      </w:r>
    </w:p>
    <w:p w14:paraId="7211AD23" w14:textId="2B2C05F0" w:rsidR="00B36804" w:rsidRPr="00B17B33" w:rsidRDefault="00B36804" w:rsidP="00DA56AE">
      <w:pPr>
        <w:tabs>
          <w:tab w:val="left" w:pos="3057"/>
        </w:tabs>
        <w:spacing w:before="184" w:after="0" w:line="300" w:lineRule="exact"/>
        <w:ind w:left="2707" w:right="2153"/>
        <w:jc w:val="both"/>
        <w:rPr>
          <w:rFonts w:ascii="Times New Roman" w:eastAsia="Times New Roman" w:hAnsi="Times New Roman" w:cs="Times New Roman"/>
          <w:sz w:val="24"/>
          <w:szCs w:val="24"/>
          <w:lang w:val="es-GT"/>
        </w:rPr>
      </w:pPr>
    </w:p>
    <w:p w14:paraId="52EC8328" w14:textId="56706D7F" w:rsidR="00B36804" w:rsidRPr="00B562DD" w:rsidRDefault="00B36804"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3225846B" w14:textId="6455CA32" w:rsidR="00B36804" w:rsidRPr="00B562DD" w:rsidRDefault="00B36804"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4A3ACB63" w14:textId="4C996C08" w:rsidR="00B36804" w:rsidRPr="00B562DD" w:rsidRDefault="00B36804"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34D24B4B" w14:textId="33F5139F" w:rsidR="00B36804" w:rsidRDefault="00B36804"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5BFE9520" w14:textId="50ABC8B6" w:rsidR="00B17B33" w:rsidRDefault="00B17B33"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693FD105" w14:textId="5042A407" w:rsidR="00B17B33" w:rsidRDefault="00B17B33"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279B7A02" w14:textId="12A473EC" w:rsidR="00B17B33" w:rsidRDefault="00B17B33" w:rsidP="00DA56AE">
      <w:pPr>
        <w:tabs>
          <w:tab w:val="left" w:pos="3057"/>
        </w:tabs>
        <w:spacing w:before="184" w:after="0" w:line="300" w:lineRule="exact"/>
        <w:ind w:left="2707" w:right="2153"/>
        <w:jc w:val="both"/>
        <w:rPr>
          <w:rFonts w:ascii="Times New Roman" w:eastAsia="Times New Roman" w:hAnsi="Times New Roman" w:cs="Times New Roman"/>
          <w:b/>
          <w:bCs/>
          <w:sz w:val="24"/>
          <w:szCs w:val="24"/>
          <w:lang w:val="es-GT"/>
        </w:rPr>
      </w:pPr>
    </w:p>
    <w:p w14:paraId="45E4E016" w14:textId="1BC7E621" w:rsidR="00B36804" w:rsidRDefault="00921F5B" w:rsidP="00921F5B">
      <w:pPr>
        <w:tabs>
          <w:tab w:val="left" w:pos="3057"/>
        </w:tabs>
        <w:spacing w:before="184" w:after="0" w:line="300" w:lineRule="exact"/>
        <w:ind w:left="2707" w:right="2153"/>
        <w:jc w:val="center"/>
        <w:rPr>
          <w:rFonts w:ascii="Times New Roman" w:eastAsia="Times New Roman" w:hAnsi="Times New Roman" w:cs="Times New Roman"/>
          <w:b/>
          <w:bCs/>
          <w:sz w:val="24"/>
          <w:szCs w:val="24"/>
          <w:lang w:val="es-GT"/>
        </w:rPr>
      </w:pPr>
      <w:r>
        <w:rPr>
          <w:rFonts w:ascii="Times New Roman" w:eastAsia="Times New Roman" w:hAnsi="Times New Roman" w:cs="Times New Roman"/>
          <w:b/>
          <w:bCs/>
          <w:sz w:val="24"/>
          <w:szCs w:val="24"/>
          <w:lang w:val="es-GT"/>
        </w:rPr>
        <w:t>ANEXO 1</w:t>
      </w:r>
    </w:p>
    <w:p w14:paraId="065DCE7F" w14:textId="209C0065" w:rsidR="00921F5B" w:rsidRDefault="00921F5B" w:rsidP="00921F5B">
      <w:pPr>
        <w:tabs>
          <w:tab w:val="left" w:pos="3057"/>
        </w:tabs>
        <w:spacing w:before="184" w:after="0" w:line="300" w:lineRule="exact"/>
        <w:ind w:left="2707" w:right="2153"/>
        <w:jc w:val="center"/>
        <w:rPr>
          <w:rFonts w:ascii="Times New Roman" w:eastAsia="Times New Roman" w:hAnsi="Times New Roman" w:cs="Times New Roman"/>
          <w:b/>
          <w:bCs/>
          <w:sz w:val="24"/>
          <w:szCs w:val="24"/>
          <w:lang w:val="es-GT"/>
        </w:rPr>
      </w:pPr>
      <w:r>
        <w:rPr>
          <w:rFonts w:ascii="Times New Roman" w:eastAsia="Times New Roman" w:hAnsi="Times New Roman" w:cs="Times New Roman"/>
          <w:b/>
          <w:bCs/>
          <w:sz w:val="24"/>
          <w:szCs w:val="24"/>
          <w:lang w:val="es-GT"/>
        </w:rPr>
        <w:t>Cuadro resumen de candidatas para representar a Guatemala en órganos o mecanismos internacionales de derechos humanos 2002-2024</w:t>
      </w:r>
    </w:p>
    <w:tbl>
      <w:tblPr>
        <w:tblStyle w:val="TableGrid"/>
        <w:tblpPr w:leftFromText="141" w:rightFromText="141" w:vertAnchor="page" w:horzAnchor="page" w:tblpX="1231" w:tblpY="3781"/>
        <w:tblW w:w="0" w:type="auto"/>
        <w:tblLook w:val="04A0" w:firstRow="1" w:lastRow="0" w:firstColumn="1" w:lastColumn="0" w:noHBand="0" w:noVBand="1"/>
      </w:tblPr>
      <w:tblGrid>
        <w:gridCol w:w="3110"/>
        <w:gridCol w:w="3835"/>
        <w:gridCol w:w="2127"/>
        <w:gridCol w:w="1559"/>
      </w:tblGrid>
      <w:tr w:rsidR="00921F5B" w14:paraId="1866D5D4" w14:textId="77777777" w:rsidTr="00921F5B">
        <w:tc>
          <w:tcPr>
            <w:tcW w:w="3110" w:type="dxa"/>
          </w:tcPr>
          <w:p w14:paraId="5040283E" w14:textId="08F3C5A5" w:rsidR="00921F5B" w:rsidRPr="005B2FFB" w:rsidRDefault="00921F5B" w:rsidP="00921F5B">
            <w:pPr>
              <w:jc w:val="center"/>
              <w:rPr>
                <w:b/>
                <w:bCs/>
              </w:rPr>
            </w:pPr>
            <w:r>
              <w:rPr>
                <w:b/>
                <w:bCs/>
              </w:rPr>
              <w:lastRenderedPageBreak/>
              <w:t>Nombre c</w:t>
            </w:r>
            <w:r w:rsidRPr="005B2FFB">
              <w:rPr>
                <w:b/>
                <w:bCs/>
              </w:rPr>
              <w:t>andidata</w:t>
            </w:r>
            <w:r>
              <w:rPr>
                <w:b/>
                <w:bCs/>
              </w:rPr>
              <w:t xml:space="preserve"> </w:t>
            </w:r>
          </w:p>
        </w:tc>
        <w:tc>
          <w:tcPr>
            <w:tcW w:w="3835" w:type="dxa"/>
          </w:tcPr>
          <w:p w14:paraId="4854ADF0" w14:textId="77777777" w:rsidR="00921F5B" w:rsidRPr="005B2FFB" w:rsidRDefault="00921F5B" w:rsidP="00921F5B">
            <w:pPr>
              <w:jc w:val="center"/>
              <w:rPr>
                <w:b/>
                <w:bCs/>
              </w:rPr>
            </w:pPr>
            <w:r w:rsidRPr="005B2FFB">
              <w:rPr>
                <w:b/>
                <w:bCs/>
              </w:rPr>
              <w:t>Órgano</w:t>
            </w:r>
          </w:p>
        </w:tc>
        <w:tc>
          <w:tcPr>
            <w:tcW w:w="2127" w:type="dxa"/>
          </w:tcPr>
          <w:p w14:paraId="73A19ABD" w14:textId="77777777" w:rsidR="00921F5B" w:rsidRPr="005B2FFB" w:rsidRDefault="00921F5B" w:rsidP="00921F5B">
            <w:pPr>
              <w:jc w:val="center"/>
              <w:rPr>
                <w:b/>
                <w:bCs/>
              </w:rPr>
            </w:pPr>
            <w:r w:rsidRPr="005B2FFB">
              <w:rPr>
                <w:b/>
                <w:bCs/>
              </w:rPr>
              <w:t>Período</w:t>
            </w:r>
          </w:p>
        </w:tc>
        <w:tc>
          <w:tcPr>
            <w:tcW w:w="1559" w:type="dxa"/>
          </w:tcPr>
          <w:p w14:paraId="19BA3A9A" w14:textId="77777777" w:rsidR="00921F5B" w:rsidRPr="005B2FFB" w:rsidRDefault="00921F5B" w:rsidP="00921F5B">
            <w:pPr>
              <w:jc w:val="center"/>
              <w:rPr>
                <w:b/>
                <w:bCs/>
              </w:rPr>
            </w:pPr>
            <w:r w:rsidRPr="005B2FFB">
              <w:rPr>
                <w:b/>
                <w:bCs/>
              </w:rPr>
              <w:t xml:space="preserve">Observaciones </w:t>
            </w:r>
          </w:p>
        </w:tc>
      </w:tr>
      <w:tr w:rsidR="00921F5B" w14:paraId="1C7A027B" w14:textId="77777777" w:rsidTr="00921F5B">
        <w:tc>
          <w:tcPr>
            <w:tcW w:w="3110" w:type="dxa"/>
            <w:shd w:val="clear" w:color="auto" w:fill="DDD9C3" w:themeFill="background2" w:themeFillShade="E6"/>
          </w:tcPr>
          <w:p w14:paraId="3C25DC1D" w14:textId="77777777" w:rsidR="00921F5B" w:rsidRDefault="00921F5B" w:rsidP="00921F5B">
            <w:pPr>
              <w:jc w:val="center"/>
            </w:pPr>
          </w:p>
        </w:tc>
        <w:tc>
          <w:tcPr>
            <w:tcW w:w="3835" w:type="dxa"/>
            <w:shd w:val="clear" w:color="auto" w:fill="DDD9C3" w:themeFill="background2" w:themeFillShade="E6"/>
          </w:tcPr>
          <w:p w14:paraId="137A23EC" w14:textId="77777777" w:rsidR="00921F5B" w:rsidRDefault="00921F5B" w:rsidP="00921F5B">
            <w:pPr>
              <w:jc w:val="center"/>
            </w:pPr>
          </w:p>
        </w:tc>
        <w:tc>
          <w:tcPr>
            <w:tcW w:w="2127" w:type="dxa"/>
            <w:shd w:val="clear" w:color="auto" w:fill="DDD9C3" w:themeFill="background2" w:themeFillShade="E6"/>
          </w:tcPr>
          <w:p w14:paraId="4FC0D0FA" w14:textId="77777777" w:rsidR="00921F5B" w:rsidRDefault="00921F5B" w:rsidP="00921F5B">
            <w:pPr>
              <w:jc w:val="center"/>
            </w:pPr>
          </w:p>
        </w:tc>
        <w:tc>
          <w:tcPr>
            <w:tcW w:w="1559" w:type="dxa"/>
            <w:shd w:val="clear" w:color="auto" w:fill="DDD9C3" w:themeFill="background2" w:themeFillShade="E6"/>
          </w:tcPr>
          <w:p w14:paraId="331DE229" w14:textId="77777777" w:rsidR="00921F5B" w:rsidRDefault="00921F5B" w:rsidP="00921F5B">
            <w:pPr>
              <w:jc w:val="center"/>
            </w:pPr>
          </w:p>
        </w:tc>
      </w:tr>
      <w:tr w:rsidR="00921F5B" w14:paraId="71B34BD6" w14:textId="77777777" w:rsidTr="00921F5B">
        <w:tc>
          <w:tcPr>
            <w:tcW w:w="3110" w:type="dxa"/>
          </w:tcPr>
          <w:p w14:paraId="0FBDFC62" w14:textId="77777777" w:rsidR="00921F5B" w:rsidRDefault="00921F5B" w:rsidP="00921F5B">
            <w:pPr>
              <w:jc w:val="center"/>
            </w:pPr>
            <w:r>
              <w:t>Otilia Lux de Cotí</w:t>
            </w:r>
          </w:p>
        </w:tc>
        <w:tc>
          <w:tcPr>
            <w:tcW w:w="3835" w:type="dxa"/>
          </w:tcPr>
          <w:p w14:paraId="0687EAF6" w14:textId="77777777" w:rsidR="00921F5B" w:rsidRDefault="00921F5B" w:rsidP="00921F5B">
            <w:pPr>
              <w:jc w:val="center"/>
            </w:pPr>
            <w:r>
              <w:t xml:space="preserve"> Foro Permanente sobre Cuestiones Indígenas</w:t>
            </w:r>
          </w:p>
        </w:tc>
        <w:tc>
          <w:tcPr>
            <w:tcW w:w="2127" w:type="dxa"/>
          </w:tcPr>
          <w:p w14:paraId="274D8B0D" w14:textId="77777777" w:rsidR="00921F5B" w:rsidRDefault="00921F5B" w:rsidP="00921F5B">
            <w:pPr>
              <w:jc w:val="center"/>
            </w:pPr>
            <w:r>
              <w:t>2002-2007</w:t>
            </w:r>
          </w:p>
        </w:tc>
        <w:tc>
          <w:tcPr>
            <w:tcW w:w="1559" w:type="dxa"/>
          </w:tcPr>
          <w:p w14:paraId="64DC4797" w14:textId="77777777" w:rsidR="00921F5B" w:rsidRDefault="00921F5B" w:rsidP="00921F5B">
            <w:pPr>
              <w:jc w:val="center"/>
            </w:pPr>
          </w:p>
        </w:tc>
      </w:tr>
      <w:tr w:rsidR="00921F5B" w14:paraId="093FA133" w14:textId="77777777" w:rsidTr="00921F5B">
        <w:tc>
          <w:tcPr>
            <w:tcW w:w="3110" w:type="dxa"/>
            <w:shd w:val="clear" w:color="auto" w:fill="DDD9C3" w:themeFill="background2" w:themeFillShade="E6"/>
          </w:tcPr>
          <w:p w14:paraId="067144BC" w14:textId="77777777" w:rsidR="00921F5B" w:rsidRDefault="00921F5B" w:rsidP="00921F5B">
            <w:pPr>
              <w:jc w:val="center"/>
            </w:pPr>
          </w:p>
        </w:tc>
        <w:tc>
          <w:tcPr>
            <w:tcW w:w="3835" w:type="dxa"/>
            <w:shd w:val="clear" w:color="auto" w:fill="DDD9C3" w:themeFill="background2" w:themeFillShade="E6"/>
          </w:tcPr>
          <w:p w14:paraId="42669AAB" w14:textId="77777777" w:rsidR="00921F5B" w:rsidRDefault="00921F5B" w:rsidP="00921F5B">
            <w:pPr>
              <w:jc w:val="center"/>
            </w:pPr>
          </w:p>
        </w:tc>
        <w:tc>
          <w:tcPr>
            <w:tcW w:w="2127" w:type="dxa"/>
            <w:shd w:val="clear" w:color="auto" w:fill="DDD9C3" w:themeFill="background2" w:themeFillShade="E6"/>
          </w:tcPr>
          <w:p w14:paraId="754858B3" w14:textId="77777777" w:rsidR="00921F5B" w:rsidRDefault="00921F5B" w:rsidP="00921F5B">
            <w:pPr>
              <w:jc w:val="center"/>
            </w:pPr>
          </w:p>
        </w:tc>
        <w:tc>
          <w:tcPr>
            <w:tcW w:w="1559" w:type="dxa"/>
            <w:shd w:val="clear" w:color="auto" w:fill="DDD9C3" w:themeFill="background2" w:themeFillShade="E6"/>
          </w:tcPr>
          <w:p w14:paraId="737FCF46" w14:textId="77777777" w:rsidR="00921F5B" w:rsidRDefault="00921F5B" w:rsidP="00921F5B">
            <w:pPr>
              <w:jc w:val="center"/>
            </w:pPr>
          </w:p>
        </w:tc>
      </w:tr>
      <w:tr w:rsidR="00921F5B" w14:paraId="277C73A0" w14:textId="77777777" w:rsidTr="00921F5B">
        <w:tc>
          <w:tcPr>
            <w:tcW w:w="3110" w:type="dxa"/>
          </w:tcPr>
          <w:p w14:paraId="6917E33D" w14:textId="77777777" w:rsidR="00921F5B" w:rsidRDefault="00921F5B" w:rsidP="00921F5B">
            <w:pPr>
              <w:jc w:val="center"/>
            </w:pPr>
            <w:r>
              <w:t>Marta Altolaguirre</w:t>
            </w:r>
          </w:p>
        </w:tc>
        <w:tc>
          <w:tcPr>
            <w:tcW w:w="3835" w:type="dxa"/>
          </w:tcPr>
          <w:p w14:paraId="54758076" w14:textId="77777777" w:rsidR="00921F5B" w:rsidRDefault="00921F5B" w:rsidP="00921F5B">
            <w:pPr>
              <w:jc w:val="center"/>
            </w:pPr>
            <w:r>
              <w:t>Comité contra la Tortura</w:t>
            </w:r>
          </w:p>
        </w:tc>
        <w:tc>
          <w:tcPr>
            <w:tcW w:w="2127" w:type="dxa"/>
          </w:tcPr>
          <w:p w14:paraId="3ACE1EE3" w14:textId="77777777" w:rsidR="00921F5B" w:rsidRDefault="00921F5B" w:rsidP="00921F5B">
            <w:pPr>
              <w:jc w:val="center"/>
            </w:pPr>
            <w:r>
              <w:t>2008-2010</w:t>
            </w:r>
          </w:p>
        </w:tc>
        <w:tc>
          <w:tcPr>
            <w:tcW w:w="1559" w:type="dxa"/>
          </w:tcPr>
          <w:p w14:paraId="1083B326" w14:textId="77777777" w:rsidR="00921F5B" w:rsidRDefault="00921F5B" w:rsidP="00921F5B">
            <w:pPr>
              <w:jc w:val="center"/>
            </w:pPr>
            <w:r>
              <w:t>No electa</w:t>
            </w:r>
          </w:p>
        </w:tc>
      </w:tr>
      <w:tr w:rsidR="00921F5B" w14:paraId="516D1A62" w14:textId="77777777" w:rsidTr="00921F5B">
        <w:tc>
          <w:tcPr>
            <w:tcW w:w="3110" w:type="dxa"/>
            <w:shd w:val="clear" w:color="auto" w:fill="DDD9C3" w:themeFill="background2" w:themeFillShade="E6"/>
          </w:tcPr>
          <w:p w14:paraId="6C6C8B27" w14:textId="77777777" w:rsidR="00921F5B" w:rsidRDefault="00921F5B" w:rsidP="00921F5B">
            <w:pPr>
              <w:jc w:val="center"/>
            </w:pPr>
          </w:p>
        </w:tc>
        <w:tc>
          <w:tcPr>
            <w:tcW w:w="3835" w:type="dxa"/>
            <w:shd w:val="clear" w:color="auto" w:fill="DDD9C3" w:themeFill="background2" w:themeFillShade="E6"/>
          </w:tcPr>
          <w:p w14:paraId="1B2342B1" w14:textId="77777777" w:rsidR="00921F5B" w:rsidRDefault="00921F5B" w:rsidP="00921F5B">
            <w:pPr>
              <w:jc w:val="center"/>
            </w:pPr>
          </w:p>
        </w:tc>
        <w:tc>
          <w:tcPr>
            <w:tcW w:w="2127" w:type="dxa"/>
            <w:shd w:val="clear" w:color="auto" w:fill="DDD9C3" w:themeFill="background2" w:themeFillShade="E6"/>
          </w:tcPr>
          <w:p w14:paraId="32C24CF4" w14:textId="77777777" w:rsidR="00921F5B" w:rsidRDefault="00921F5B" w:rsidP="00921F5B">
            <w:pPr>
              <w:jc w:val="center"/>
            </w:pPr>
          </w:p>
        </w:tc>
        <w:tc>
          <w:tcPr>
            <w:tcW w:w="1559" w:type="dxa"/>
            <w:shd w:val="clear" w:color="auto" w:fill="DDD9C3" w:themeFill="background2" w:themeFillShade="E6"/>
          </w:tcPr>
          <w:p w14:paraId="630EFF82" w14:textId="77777777" w:rsidR="00921F5B" w:rsidRDefault="00921F5B" w:rsidP="00921F5B">
            <w:pPr>
              <w:jc w:val="center"/>
            </w:pPr>
          </w:p>
        </w:tc>
      </w:tr>
      <w:tr w:rsidR="00921F5B" w14:paraId="2586AC95" w14:textId="77777777" w:rsidTr="00921F5B">
        <w:tc>
          <w:tcPr>
            <w:tcW w:w="3110" w:type="dxa"/>
          </w:tcPr>
          <w:p w14:paraId="6199FA9D" w14:textId="77777777" w:rsidR="00921F5B" w:rsidRDefault="00921F5B" w:rsidP="00921F5B">
            <w:pPr>
              <w:jc w:val="center"/>
            </w:pPr>
            <w:r>
              <w:t xml:space="preserve">Silvia </w:t>
            </w:r>
            <w:proofErr w:type="spellStart"/>
            <w:r>
              <w:t>Quan</w:t>
            </w:r>
            <w:proofErr w:type="spellEnd"/>
          </w:p>
        </w:tc>
        <w:tc>
          <w:tcPr>
            <w:tcW w:w="3835" w:type="dxa"/>
          </w:tcPr>
          <w:p w14:paraId="6B305125" w14:textId="77777777" w:rsidR="00921F5B" w:rsidRDefault="00921F5B" w:rsidP="00921F5B">
            <w:pPr>
              <w:jc w:val="center"/>
            </w:pPr>
            <w:r>
              <w:t>Comité de los Derechos de las Personas con Discapacidad</w:t>
            </w:r>
          </w:p>
        </w:tc>
        <w:tc>
          <w:tcPr>
            <w:tcW w:w="2127" w:type="dxa"/>
          </w:tcPr>
          <w:p w14:paraId="37A5D8CD" w14:textId="77777777" w:rsidR="00921F5B" w:rsidRDefault="00921F5B" w:rsidP="00921F5B">
            <w:pPr>
              <w:jc w:val="center"/>
            </w:pPr>
            <w:r>
              <w:t>2011-2016</w:t>
            </w:r>
          </w:p>
          <w:p w14:paraId="707AFAB9" w14:textId="77777777" w:rsidR="00921F5B" w:rsidRDefault="00921F5B" w:rsidP="00921F5B">
            <w:pPr>
              <w:jc w:val="center"/>
            </w:pPr>
          </w:p>
        </w:tc>
        <w:tc>
          <w:tcPr>
            <w:tcW w:w="1559" w:type="dxa"/>
          </w:tcPr>
          <w:p w14:paraId="38F18BA3" w14:textId="77777777" w:rsidR="00921F5B" w:rsidRDefault="00921F5B" w:rsidP="00921F5B">
            <w:pPr>
              <w:jc w:val="center"/>
            </w:pPr>
          </w:p>
        </w:tc>
      </w:tr>
      <w:tr w:rsidR="00921F5B" w14:paraId="1846BBC7" w14:textId="77777777" w:rsidTr="00921F5B">
        <w:tc>
          <w:tcPr>
            <w:tcW w:w="3110" w:type="dxa"/>
            <w:shd w:val="clear" w:color="auto" w:fill="DDD9C3" w:themeFill="background2" w:themeFillShade="E6"/>
          </w:tcPr>
          <w:p w14:paraId="3A9784BB" w14:textId="77777777" w:rsidR="00921F5B" w:rsidRDefault="00921F5B" w:rsidP="00921F5B">
            <w:pPr>
              <w:jc w:val="center"/>
            </w:pPr>
          </w:p>
        </w:tc>
        <w:tc>
          <w:tcPr>
            <w:tcW w:w="3835" w:type="dxa"/>
            <w:shd w:val="clear" w:color="auto" w:fill="DDD9C3" w:themeFill="background2" w:themeFillShade="E6"/>
          </w:tcPr>
          <w:p w14:paraId="61CBC10A" w14:textId="77777777" w:rsidR="00921F5B" w:rsidRDefault="00921F5B" w:rsidP="00921F5B">
            <w:pPr>
              <w:jc w:val="center"/>
            </w:pPr>
          </w:p>
        </w:tc>
        <w:tc>
          <w:tcPr>
            <w:tcW w:w="2127" w:type="dxa"/>
            <w:shd w:val="clear" w:color="auto" w:fill="DDD9C3" w:themeFill="background2" w:themeFillShade="E6"/>
          </w:tcPr>
          <w:p w14:paraId="60B984EE" w14:textId="77777777" w:rsidR="00921F5B" w:rsidRDefault="00921F5B" w:rsidP="00921F5B">
            <w:pPr>
              <w:jc w:val="center"/>
            </w:pPr>
          </w:p>
        </w:tc>
        <w:tc>
          <w:tcPr>
            <w:tcW w:w="1559" w:type="dxa"/>
            <w:shd w:val="clear" w:color="auto" w:fill="DDD9C3" w:themeFill="background2" w:themeFillShade="E6"/>
          </w:tcPr>
          <w:p w14:paraId="482D98AB" w14:textId="77777777" w:rsidR="00921F5B" w:rsidRDefault="00921F5B" w:rsidP="00921F5B">
            <w:pPr>
              <w:jc w:val="center"/>
            </w:pPr>
          </w:p>
        </w:tc>
      </w:tr>
      <w:tr w:rsidR="00921F5B" w14:paraId="39079AA4" w14:textId="77777777" w:rsidTr="00921F5B">
        <w:tc>
          <w:tcPr>
            <w:tcW w:w="3110" w:type="dxa"/>
          </w:tcPr>
          <w:p w14:paraId="6C9E8B18" w14:textId="77777777" w:rsidR="00921F5B" w:rsidRDefault="00921F5B" w:rsidP="00921F5B">
            <w:pPr>
              <w:jc w:val="center"/>
            </w:pPr>
            <w:proofErr w:type="spellStart"/>
            <w:r>
              <w:t>Anantonia</w:t>
            </w:r>
            <w:proofErr w:type="spellEnd"/>
            <w:r>
              <w:t xml:space="preserve"> Reyes Prado</w:t>
            </w:r>
          </w:p>
        </w:tc>
        <w:tc>
          <w:tcPr>
            <w:tcW w:w="3835" w:type="dxa"/>
          </w:tcPr>
          <w:p w14:paraId="194B14B4" w14:textId="77777777" w:rsidR="00921F5B" w:rsidRDefault="00921F5B" w:rsidP="00921F5B">
            <w:pPr>
              <w:jc w:val="center"/>
            </w:pPr>
            <w:r>
              <w:t>Comité Asesor del Consejo de Derechos Humanos</w:t>
            </w:r>
          </w:p>
        </w:tc>
        <w:tc>
          <w:tcPr>
            <w:tcW w:w="2127" w:type="dxa"/>
          </w:tcPr>
          <w:p w14:paraId="7065EFF7" w14:textId="77777777" w:rsidR="00921F5B" w:rsidRDefault="00921F5B" w:rsidP="00921F5B">
            <w:pPr>
              <w:jc w:val="center"/>
            </w:pPr>
            <w:r>
              <w:t>2012-2017</w:t>
            </w:r>
          </w:p>
        </w:tc>
        <w:tc>
          <w:tcPr>
            <w:tcW w:w="1559" w:type="dxa"/>
          </w:tcPr>
          <w:p w14:paraId="11B3C7E0" w14:textId="77777777" w:rsidR="00921F5B" w:rsidRDefault="00921F5B" w:rsidP="00921F5B">
            <w:pPr>
              <w:jc w:val="center"/>
            </w:pPr>
          </w:p>
        </w:tc>
      </w:tr>
      <w:tr w:rsidR="00921F5B" w14:paraId="7EF8463D" w14:textId="77777777" w:rsidTr="00921F5B">
        <w:tc>
          <w:tcPr>
            <w:tcW w:w="3110" w:type="dxa"/>
            <w:shd w:val="clear" w:color="auto" w:fill="DDD9C3" w:themeFill="background2" w:themeFillShade="E6"/>
          </w:tcPr>
          <w:p w14:paraId="73C45D3E" w14:textId="77777777" w:rsidR="00921F5B" w:rsidRDefault="00921F5B" w:rsidP="00921F5B">
            <w:pPr>
              <w:jc w:val="center"/>
            </w:pPr>
          </w:p>
        </w:tc>
        <w:tc>
          <w:tcPr>
            <w:tcW w:w="3835" w:type="dxa"/>
            <w:shd w:val="clear" w:color="auto" w:fill="DDD9C3" w:themeFill="background2" w:themeFillShade="E6"/>
          </w:tcPr>
          <w:p w14:paraId="4F3A014B" w14:textId="77777777" w:rsidR="00921F5B" w:rsidRDefault="00921F5B" w:rsidP="00921F5B">
            <w:pPr>
              <w:jc w:val="center"/>
            </w:pPr>
          </w:p>
        </w:tc>
        <w:tc>
          <w:tcPr>
            <w:tcW w:w="2127" w:type="dxa"/>
            <w:shd w:val="clear" w:color="auto" w:fill="DDD9C3" w:themeFill="background2" w:themeFillShade="E6"/>
          </w:tcPr>
          <w:p w14:paraId="7F507821" w14:textId="77777777" w:rsidR="00921F5B" w:rsidRDefault="00921F5B" w:rsidP="00921F5B">
            <w:pPr>
              <w:jc w:val="center"/>
            </w:pPr>
          </w:p>
        </w:tc>
        <w:tc>
          <w:tcPr>
            <w:tcW w:w="1559" w:type="dxa"/>
            <w:shd w:val="clear" w:color="auto" w:fill="DDD9C3" w:themeFill="background2" w:themeFillShade="E6"/>
          </w:tcPr>
          <w:p w14:paraId="4D1D7AAE" w14:textId="77777777" w:rsidR="00921F5B" w:rsidRDefault="00921F5B" w:rsidP="00921F5B">
            <w:pPr>
              <w:jc w:val="center"/>
            </w:pPr>
          </w:p>
        </w:tc>
      </w:tr>
      <w:tr w:rsidR="00921F5B" w14:paraId="0C495735" w14:textId="77777777" w:rsidTr="00921F5B">
        <w:tc>
          <w:tcPr>
            <w:tcW w:w="3110" w:type="dxa"/>
          </w:tcPr>
          <w:p w14:paraId="15AB9AFB" w14:textId="77777777" w:rsidR="00921F5B" w:rsidRDefault="00921F5B" w:rsidP="00921F5B">
            <w:pPr>
              <w:jc w:val="center"/>
            </w:pPr>
            <w:r>
              <w:t>Lorena González Pinto</w:t>
            </w:r>
          </w:p>
        </w:tc>
        <w:tc>
          <w:tcPr>
            <w:tcW w:w="3835" w:type="dxa"/>
          </w:tcPr>
          <w:p w14:paraId="73655CBB" w14:textId="77777777" w:rsidR="00921F5B" w:rsidRDefault="00921F5B" w:rsidP="00921F5B">
            <w:pPr>
              <w:jc w:val="center"/>
            </w:pPr>
            <w:r>
              <w:t>Subcomité para la Prevención contra la Tortura</w:t>
            </w:r>
          </w:p>
        </w:tc>
        <w:tc>
          <w:tcPr>
            <w:tcW w:w="2127" w:type="dxa"/>
          </w:tcPr>
          <w:p w14:paraId="12A37210" w14:textId="77777777" w:rsidR="00921F5B" w:rsidRDefault="00921F5B" w:rsidP="00921F5B">
            <w:pPr>
              <w:jc w:val="center"/>
            </w:pPr>
            <w:r>
              <w:t xml:space="preserve"> 2015- 2018</w:t>
            </w:r>
          </w:p>
        </w:tc>
        <w:tc>
          <w:tcPr>
            <w:tcW w:w="1559" w:type="dxa"/>
          </w:tcPr>
          <w:p w14:paraId="235B9AAB" w14:textId="77777777" w:rsidR="00921F5B" w:rsidRDefault="00921F5B" w:rsidP="00921F5B">
            <w:pPr>
              <w:jc w:val="center"/>
            </w:pPr>
          </w:p>
        </w:tc>
      </w:tr>
      <w:tr w:rsidR="00921F5B" w14:paraId="292B2AAA" w14:textId="77777777" w:rsidTr="00921F5B">
        <w:tc>
          <w:tcPr>
            <w:tcW w:w="3110" w:type="dxa"/>
            <w:shd w:val="clear" w:color="auto" w:fill="DDD9C3" w:themeFill="background2" w:themeFillShade="E6"/>
          </w:tcPr>
          <w:p w14:paraId="74A351DC" w14:textId="77777777" w:rsidR="00921F5B" w:rsidRDefault="00921F5B" w:rsidP="00921F5B">
            <w:pPr>
              <w:jc w:val="center"/>
            </w:pPr>
          </w:p>
        </w:tc>
        <w:tc>
          <w:tcPr>
            <w:tcW w:w="3835" w:type="dxa"/>
            <w:shd w:val="clear" w:color="auto" w:fill="DDD9C3" w:themeFill="background2" w:themeFillShade="E6"/>
          </w:tcPr>
          <w:p w14:paraId="38885B4F" w14:textId="77777777" w:rsidR="00921F5B" w:rsidRDefault="00921F5B" w:rsidP="00921F5B">
            <w:pPr>
              <w:jc w:val="center"/>
            </w:pPr>
          </w:p>
        </w:tc>
        <w:tc>
          <w:tcPr>
            <w:tcW w:w="2127" w:type="dxa"/>
            <w:shd w:val="clear" w:color="auto" w:fill="DDD9C3" w:themeFill="background2" w:themeFillShade="E6"/>
          </w:tcPr>
          <w:p w14:paraId="6223BF3D" w14:textId="77777777" w:rsidR="00921F5B" w:rsidRDefault="00921F5B" w:rsidP="00921F5B">
            <w:pPr>
              <w:jc w:val="center"/>
            </w:pPr>
          </w:p>
        </w:tc>
        <w:tc>
          <w:tcPr>
            <w:tcW w:w="1559" w:type="dxa"/>
            <w:shd w:val="clear" w:color="auto" w:fill="DDD9C3" w:themeFill="background2" w:themeFillShade="E6"/>
          </w:tcPr>
          <w:p w14:paraId="106C6353" w14:textId="77777777" w:rsidR="00921F5B" w:rsidRDefault="00921F5B" w:rsidP="00921F5B">
            <w:pPr>
              <w:jc w:val="center"/>
            </w:pPr>
          </w:p>
        </w:tc>
      </w:tr>
      <w:tr w:rsidR="00921F5B" w14:paraId="10022FED" w14:textId="77777777" w:rsidTr="00921F5B">
        <w:tc>
          <w:tcPr>
            <w:tcW w:w="3110" w:type="dxa"/>
          </w:tcPr>
          <w:p w14:paraId="7810887B" w14:textId="77777777" w:rsidR="00921F5B" w:rsidRDefault="00921F5B" w:rsidP="00921F5B">
            <w:pPr>
              <w:jc w:val="center"/>
            </w:pPr>
            <w:r>
              <w:t>Mirna Yolanda Lorenzana de González</w:t>
            </w:r>
          </w:p>
        </w:tc>
        <w:tc>
          <w:tcPr>
            <w:tcW w:w="3835" w:type="dxa"/>
          </w:tcPr>
          <w:p w14:paraId="2D50D6E3" w14:textId="77777777" w:rsidR="00921F5B" w:rsidRDefault="00921F5B" w:rsidP="00921F5B">
            <w:pPr>
              <w:jc w:val="center"/>
            </w:pPr>
            <w:r>
              <w:t xml:space="preserve">Comité de los Derechos del Niño </w:t>
            </w:r>
          </w:p>
        </w:tc>
        <w:tc>
          <w:tcPr>
            <w:tcW w:w="2127" w:type="dxa"/>
          </w:tcPr>
          <w:p w14:paraId="11509437" w14:textId="77777777" w:rsidR="00921F5B" w:rsidRDefault="00921F5B" w:rsidP="00921F5B">
            <w:pPr>
              <w:jc w:val="center"/>
            </w:pPr>
            <w:r>
              <w:t>2007-2010</w:t>
            </w:r>
          </w:p>
        </w:tc>
        <w:tc>
          <w:tcPr>
            <w:tcW w:w="1559" w:type="dxa"/>
          </w:tcPr>
          <w:p w14:paraId="5B52BBF9" w14:textId="77777777" w:rsidR="00921F5B" w:rsidRDefault="00921F5B" w:rsidP="00921F5B">
            <w:pPr>
              <w:jc w:val="center"/>
            </w:pPr>
            <w:r>
              <w:t>No electa</w:t>
            </w:r>
          </w:p>
        </w:tc>
      </w:tr>
      <w:tr w:rsidR="00921F5B" w14:paraId="202C1E1D" w14:textId="77777777" w:rsidTr="00921F5B">
        <w:tc>
          <w:tcPr>
            <w:tcW w:w="3110" w:type="dxa"/>
            <w:shd w:val="clear" w:color="auto" w:fill="DDD9C3" w:themeFill="background2" w:themeFillShade="E6"/>
          </w:tcPr>
          <w:p w14:paraId="3EF5633A" w14:textId="77777777" w:rsidR="00921F5B" w:rsidRDefault="00921F5B" w:rsidP="00921F5B">
            <w:pPr>
              <w:jc w:val="center"/>
            </w:pPr>
          </w:p>
        </w:tc>
        <w:tc>
          <w:tcPr>
            <w:tcW w:w="3835" w:type="dxa"/>
            <w:shd w:val="clear" w:color="auto" w:fill="DDD9C3" w:themeFill="background2" w:themeFillShade="E6"/>
          </w:tcPr>
          <w:p w14:paraId="66EC7086" w14:textId="77777777" w:rsidR="00921F5B" w:rsidRDefault="00921F5B" w:rsidP="00921F5B">
            <w:pPr>
              <w:jc w:val="center"/>
            </w:pPr>
          </w:p>
        </w:tc>
        <w:tc>
          <w:tcPr>
            <w:tcW w:w="2127" w:type="dxa"/>
            <w:shd w:val="clear" w:color="auto" w:fill="DDD9C3" w:themeFill="background2" w:themeFillShade="E6"/>
          </w:tcPr>
          <w:p w14:paraId="17A5B753" w14:textId="77777777" w:rsidR="00921F5B" w:rsidRDefault="00921F5B" w:rsidP="00921F5B">
            <w:pPr>
              <w:jc w:val="center"/>
            </w:pPr>
          </w:p>
        </w:tc>
        <w:tc>
          <w:tcPr>
            <w:tcW w:w="1559" w:type="dxa"/>
            <w:shd w:val="clear" w:color="auto" w:fill="DDD9C3" w:themeFill="background2" w:themeFillShade="E6"/>
          </w:tcPr>
          <w:p w14:paraId="4B769B2E" w14:textId="77777777" w:rsidR="00921F5B" w:rsidRDefault="00921F5B" w:rsidP="00921F5B">
            <w:pPr>
              <w:jc w:val="center"/>
            </w:pPr>
          </w:p>
        </w:tc>
      </w:tr>
      <w:tr w:rsidR="00921F5B" w14:paraId="0335CEDF" w14:textId="77777777" w:rsidTr="00921F5B">
        <w:tc>
          <w:tcPr>
            <w:tcW w:w="3110" w:type="dxa"/>
          </w:tcPr>
          <w:p w14:paraId="578BEF50" w14:textId="77777777" w:rsidR="00921F5B" w:rsidRDefault="00921F5B" w:rsidP="00921F5B">
            <w:pPr>
              <w:jc w:val="center"/>
            </w:pPr>
            <w:r>
              <w:t>Rosa Idalia Aldana</w:t>
            </w:r>
          </w:p>
        </w:tc>
        <w:tc>
          <w:tcPr>
            <w:tcW w:w="3835" w:type="dxa"/>
          </w:tcPr>
          <w:p w14:paraId="2E68B36B" w14:textId="77777777" w:rsidR="00921F5B" w:rsidRDefault="00921F5B" w:rsidP="00921F5B">
            <w:pPr>
              <w:jc w:val="center"/>
            </w:pPr>
            <w:r>
              <w:t>Comité de los Derechos de las Personas con Discapacidad</w:t>
            </w:r>
          </w:p>
        </w:tc>
        <w:tc>
          <w:tcPr>
            <w:tcW w:w="2127" w:type="dxa"/>
          </w:tcPr>
          <w:p w14:paraId="01B7E42B" w14:textId="77777777" w:rsidR="00921F5B" w:rsidRDefault="00921F5B" w:rsidP="00921F5B">
            <w:pPr>
              <w:jc w:val="center"/>
            </w:pPr>
            <w:r>
              <w:t>2019-2022</w:t>
            </w:r>
          </w:p>
        </w:tc>
        <w:tc>
          <w:tcPr>
            <w:tcW w:w="1559" w:type="dxa"/>
          </w:tcPr>
          <w:p w14:paraId="06B9065D" w14:textId="77777777" w:rsidR="00921F5B" w:rsidRDefault="00921F5B" w:rsidP="00921F5B">
            <w:pPr>
              <w:jc w:val="center"/>
            </w:pPr>
            <w:r>
              <w:t xml:space="preserve">No electa </w:t>
            </w:r>
          </w:p>
        </w:tc>
      </w:tr>
      <w:tr w:rsidR="00921F5B" w14:paraId="6BE57C0E" w14:textId="77777777" w:rsidTr="00921F5B">
        <w:tc>
          <w:tcPr>
            <w:tcW w:w="3110" w:type="dxa"/>
            <w:shd w:val="clear" w:color="auto" w:fill="DDD9C3" w:themeFill="background2" w:themeFillShade="E6"/>
          </w:tcPr>
          <w:p w14:paraId="424DE425" w14:textId="77777777" w:rsidR="00921F5B" w:rsidRDefault="00921F5B" w:rsidP="00921F5B">
            <w:pPr>
              <w:jc w:val="center"/>
            </w:pPr>
          </w:p>
        </w:tc>
        <w:tc>
          <w:tcPr>
            <w:tcW w:w="3835" w:type="dxa"/>
            <w:shd w:val="clear" w:color="auto" w:fill="DDD9C3" w:themeFill="background2" w:themeFillShade="E6"/>
          </w:tcPr>
          <w:p w14:paraId="4136314B" w14:textId="77777777" w:rsidR="00921F5B" w:rsidRDefault="00921F5B" w:rsidP="00921F5B">
            <w:pPr>
              <w:jc w:val="center"/>
            </w:pPr>
          </w:p>
        </w:tc>
        <w:tc>
          <w:tcPr>
            <w:tcW w:w="2127" w:type="dxa"/>
            <w:shd w:val="clear" w:color="auto" w:fill="DDD9C3" w:themeFill="background2" w:themeFillShade="E6"/>
          </w:tcPr>
          <w:p w14:paraId="570DE9A1" w14:textId="77777777" w:rsidR="00921F5B" w:rsidRDefault="00921F5B" w:rsidP="00921F5B">
            <w:pPr>
              <w:jc w:val="center"/>
            </w:pPr>
          </w:p>
        </w:tc>
        <w:tc>
          <w:tcPr>
            <w:tcW w:w="1559" w:type="dxa"/>
            <w:shd w:val="clear" w:color="auto" w:fill="DDD9C3" w:themeFill="background2" w:themeFillShade="E6"/>
          </w:tcPr>
          <w:p w14:paraId="4BC8A818" w14:textId="77777777" w:rsidR="00921F5B" w:rsidRDefault="00921F5B" w:rsidP="00921F5B">
            <w:pPr>
              <w:jc w:val="center"/>
            </w:pPr>
          </w:p>
        </w:tc>
      </w:tr>
      <w:tr w:rsidR="00921F5B" w14:paraId="119749EE" w14:textId="77777777" w:rsidTr="00921F5B">
        <w:tc>
          <w:tcPr>
            <w:tcW w:w="3110" w:type="dxa"/>
          </w:tcPr>
          <w:p w14:paraId="5DD50F08" w14:textId="77777777" w:rsidR="00921F5B" w:rsidRDefault="00921F5B" w:rsidP="00921F5B">
            <w:pPr>
              <w:jc w:val="center"/>
            </w:pPr>
          </w:p>
        </w:tc>
        <w:tc>
          <w:tcPr>
            <w:tcW w:w="3835" w:type="dxa"/>
          </w:tcPr>
          <w:p w14:paraId="51AEA01D" w14:textId="77777777" w:rsidR="00921F5B" w:rsidRDefault="00921F5B" w:rsidP="00921F5B">
            <w:pPr>
              <w:jc w:val="center"/>
            </w:pPr>
            <w:r>
              <w:t>Comité de los Derechos de las Personas con Discapacidad</w:t>
            </w:r>
          </w:p>
        </w:tc>
        <w:tc>
          <w:tcPr>
            <w:tcW w:w="2127" w:type="dxa"/>
          </w:tcPr>
          <w:p w14:paraId="33415C31" w14:textId="77777777" w:rsidR="00921F5B" w:rsidRDefault="00921F5B" w:rsidP="00921F5B">
            <w:pPr>
              <w:jc w:val="center"/>
            </w:pPr>
            <w:r>
              <w:t>2021-2024</w:t>
            </w:r>
          </w:p>
        </w:tc>
        <w:tc>
          <w:tcPr>
            <w:tcW w:w="1559" w:type="dxa"/>
          </w:tcPr>
          <w:p w14:paraId="6D7A8D9A" w14:textId="77777777" w:rsidR="00921F5B" w:rsidRDefault="00921F5B" w:rsidP="00921F5B">
            <w:pPr>
              <w:jc w:val="center"/>
            </w:pPr>
            <w:r>
              <w:t>Pendiente</w:t>
            </w:r>
          </w:p>
        </w:tc>
      </w:tr>
    </w:tbl>
    <w:p w14:paraId="24CA92B7" w14:textId="7597D510" w:rsidR="00A04555" w:rsidRDefault="00A04555" w:rsidP="007D7A90">
      <w:pPr>
        <w:tabs>
          <w:tab w:val="left" w:pos="7382"/>
        </w:tabs>
        <w:spacing w:before="199" w:after="0" w:line="276" w:lineRule="exact"/>
        <w:rPr>
          <w:rFonts w:ascii="Times New Roman" w:hAnsi="Times New Roman" w:cs="Times New Roman"/>
          <w:sz w:val="24"/>
          <w:szCs w:val="24"/>
          <w:lang w:val="es-GT"/>
        </w:rPr>
      </w:pPr>
    </w:p>
    <w:p w14:paraId="5CD5ACDD" w14:textId="77777777" w:rsidR="00DF418C" w:rsidRDefault="00DF418C" w:rsidP="007D7A90">
      <w:pPr>
        <w:tabs>
          <w:tab w:val="left" w:pos="7382"/>
        </w:tabs>
        <w:spacing w:before="199" w:after="0" w:line="276" w:lineRule="exact"/>
        <w:rPr>
          <w:rFonts w:ascii="Times New Roman" w:hAnsi="Times New Roman" w:cs="Times New Roman"/>
          <w:sz w:val="24"/>
          <w:szCs w:val="24"/>
          <w:lang w:val="es-GT"/>
        </w:rPr>
      </w:pPr>
    </w:p>
    <w:p w14:paraId="479F26EA" w14:textId="77777777" w:rsidR="00DF418C" w:rsidRDefault="00DF418C" w:rsidP="00A04555">
      <w:pPr>
        <w:tabs>
          <w:tab w:val="left" w:pos="3057"/>
        </w:tabs>
        <w:spacing w:before="184" w:after="0" w:line="300" w:lineRule="exact"/>
        <w:ind w:left="3040" w:right="2153"/>
        <w:jc w:val="both"/>
        <w:rPr>
          <w:rFonts w:ascii="Times New Roman" w:eastAsia="Times New Roman" w:hAnsi="Times New Roman" w:cs="Times New Roman"/>
          <w:sz w:val="24"/>
          <w:szCs w:val="24"/>
          <w:lang w:val="es-GT"/>
        </w:rPr>
      </w:pPr>
    </w:p>
    <w:p w14:paraId="2DC16997" w14:textId="77777777" w:rsidR="00DF418C" w:rsidRDefault="00DF418C" w:rsidP="00A04555">
      <w:pPr>
        <w:tabs>
          <w:tab w:val="left" w:pos="3057"/>
        </w:tabs>
        <w:spacing w:before="184" w:after="0" w:line="300" w:lineRule="exact"/>
        <w:ind w:left="3040" w:right="2153"/>
        <w:jc w:val="both"/>
        <w:rPr>
          <w:rFonts w:ascii="Times New Roman" w:eastAsia="Times New Roman" w:hAnsi="Times New Roman" w:cs="Times New Roman"/>
          <w:sz w:val="24"/>
          <w:szCs w:val="24"/>
          <w:lang w:val="es-GT"/>
        </w:rPr>
      </w:pPr>
    </w:p>
    <w:p w14:paraId="07164AFF" w14:textId="6FFC9C18" w:rsidR="00A04555" w:rsidRDefault="00A04555" w:rsidP="00A04555">
      <w:pPr>
        <w:tabs>
          <w:tab w:val="left" w:pos="3057"/>
        </w:tabs>
        <w:spacing w:before="184" w:after="0" w:line="300" w:lineRule="exact"/>
        <w:ind w:left="3040" w:right="2153"/>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ab/>
        <w:t>Referencia:</w:t>
      </w:r>
    </w:p>
    <w:p w14:paraId="0A6B4EF9" w14:textId="5B478165" w:rsidR="00A04555" w:rsidRPr="00A04555" w:rsidRDefault="00A04555" w:rsidP="00A04555">
      <w:pPr>
        <w:pStyle w:val="ListParagraph"/>
        <w:numPr>
          <w:ilvl w:val="0"/>
          <w:numId w:val="5"/>
        </w:numPr>
        <w:tabs>
          <w:tab w:val="left" w:pos="3057"/>
        </w:tabs>
        <w:spacing w:before="184" w:after="0" w:line="300" w:lineRule="exact"/>
        <w:ind w:right="2153"/>
        <w:jc w:val="both"/>
        <w:rPr>
          <w:rFonts w:ascii="Times New Roman" w:eastAsia="Times New Roman" w:hAnsi="Times New Roman" w:cs="Times New Roman"/>
          <w:sz w:val="24"/>
          <w:szCs w:val="24"/>
          <w:lang w:val="es-GT"/>
        </w:rPr>
      </w:pPr>
      <w:r w:rsidRPr="00A04555">
        <w:rPr>
          <w:rFonts w:ascii="Times New Roman" w:eastAsia="Times New Roman" w:hAnsi="Times New Roman" w:cs="Times New Roman"/>
          <w:sz w:val="24"/>
          <w:szCs w:val="24"/>
          <w:lang w:val="es-GT"/>
        </w:rPr>
        <w:t xml:space="preserve">Comisión de Actualización y Modernización Electoral -CAME- (2020), Matriz de Propuestas Estratégicas para </w:t>
      </w:r>
      <w:r w:rsidRPr="00A04555">
        <w:rPr>
          <w:rFonts w:ascii="Times New Roman" w:eastAsia="Times New Roman" w:hAnsi="Times New Roman" w:cs="Times New Roman"/>
          <w:sz w:val="24"/>
          <w:szCs w:val="24"/>
          <w:lang w:val="es-GT"/>
        </w:rPr>
        <w:lastRenderedPageBreak/>
        <w:t xml:space="preserve">la Reforma Electoral. Guatemala. Ver en </w:t>
      </w:r>
      <w:hyperlink r:id="rId7" w:history="1">
        <w:r w:rsidRPr="00A04555">
          <w:rPr>
            <w:rStyle w:val="Hyperlink"/>
            <w:lang w:val="es-GT"/>
          </w:rPr>
          <w:t>https://came2019.tse.org.gt/wp-content/uploads/2020/03/Matriz-de-Propuestas-Estrate%CC%81gicas-para-la-Reforma-Electoral-11032020.pdf</w:t>
        </w:r>
      </w:hyperlink>
    </w:p>
    <w:p w14:paraId="613BF46E" w14:textId="77777777" w:rsidR="00A04555" w:rsidRPr="00A04555" w:rsidRDefault="00A04555" w:rsidP="00A04555">
      <w:pPr>
        <w:pStyle w:val="ListParagraph"/>
        <w:tabs>
          <w:tab w:val="left" w:pos="3057"/>
        </w:tabs>
        <w:spacing w:before="184" w:after="0" w:line="300" w:lineRule="exact"/>
        <w:ind w:left="3480" w:right="2153"/>
        <w:jc w:val="both"/>
        <w:rPr>
          <w:rFonts w:ascii="Times New Roman" w:eastAsia="Times New Roman" w:hAnsi="Times New Roman" w:cs="Times New Roman"/>
          <w:sz w:val="24"/>
          <w:szCs w:val="24"/>
          <w:lang w:val="es-GT"/>
        </w:rPr>
      </w:pPr>
    </w:p>
    <w:p w14:paraId="0ACC6756" w14:textId="37F3F353" w:rsidR="00D5311E" w:rsidRPr="00B562DD" w:rsidRDefault="007D7A90" w:rsidP="007D7A90">
      <w:pPr>
        <w:tabs>
          <w:tab w:val="left" w:pos="7382"/>
        </w:tabs>
        <w:spacing w:before="199" w:after="0" w:line="276" w:lineRule="exact"/>
        <w:rPr>
          <w:rFonts w:ascii="Times New Roman" w:hAnsi="Times New Roman" w:cs="Times New Roman"/>
          <w:sz w:val="24"/>
          <w:szCs w:val="24"/>
          <w:lang w:val="es-GT"/>
        </w:rPr>
      </w:pPr>
      <w:r w:rsidRPr="00B562DD">
        <w:rPr>
          <w:rFonts w:ascii="Times New Roman" w:hAnsi="Times New Roman" w:cs="Times New Roman"/>
          <w:sz w:val="24"/>
          <w:szCs w:val="24"/>
          <w:lang w:val="es-GT"/>
        </w:rPr>
        <w:tab/>
      </w:r>
    </w:p>
    <w:sectPr w:rsidR="00D5311E" w:rsidRPr="00B562DD" w:rsidSect="00073193">
      <w:headerReference w:type="default" r:id="rId8"/>
      <w:footerReference w:type="default" r:id="rId9"/>
      <w:pgSz w:w="13000" w:h="16820"/>
      <w:pgMar w:top="567" w:right="244" w:bottom="567" w:left="23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E5F60" w14:textId="77777777" w:rsidR="000D0B2D" w:rsidRDefault="000D0B2D" w:rsidP="00B562DD">
      <w:pPr>
        <w:spacing w:after="0" w:line="240" w:lineRule="auto"/>
      </w:pPr>
      <w:r>
        <w:separator/>
      </w:r>
    </w:p>
  </w:endnote>
  <w:endnote w:type="continuationSeparator" w:id="0">
    <w:p w14:paraId="566FCFA7" w14:textId="77777777" w:rsidR="000D0B2D" w:rsidRDefault="000D0B2D" w:rsidP="00B5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35394"/>
      <w:docPartObj>
        <w:docPartGallery w:val="Page Numbers (Bottom of Page)"/>
        <w:docPartUnique/>
      </w:docPartObj>
    </w:sdtPr>
    <w:sdtEndPr/>
    <w:sdtContent>
      <w:sdt>
        <w:sdtPr>
          <w:id w:val="1728636285"/>
          <w:docPartObj>
            <w:docPartGallery w:val="Page Numbers (Top of Page)"/>
            <w:docPartUnique/>
          </w:docPartObj>
        </w:sdtPr>
        <w:sdtEndPr/>
        <w:sdtContent>
          <w:p w14:paraId="57ADC0E1" w14:textId="7E3E1CC3" w:rsidR="00A04555" w:rsidRDefault="00A04555">
            <w:pPr>
              <w:pStyle w:val="Foote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0139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01391">
              <w:rPr>
                <w:b/>
                <w:bCs/>
                <w:noProof/>
              </w:rPr>
              <w:t>7</w:t>
            </w:r>
            <w:r>
              <w:rPr>
                <w:b/>
                <w:bCs/>
                <w:sz w:val="24"/>
                <w:szCs w:val="24"/>
              </w:rPr>
              <w:fldChar w:fldCharType="end"/>
            </w:r>
          </w:p>
        </w:sdtContent>
      </w:sdt>
    </w:sdtContent>
  </w:sdt>
  <w:p w14:paraId="59720ACB" w14:textId="77777777" w:rsidR="00B562DD" w:rsidRDefault="00B5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53231" w14:textId="77777777" w:rsidR="000D0B2D" w:rsidRDefault="000D0B2D" w:rsidP="00B562DD">
      <w:pPr>
        <w:spacing w:after="0" w:line="240" w:lineRule="auto"/>
      </w:pPr>
      <w:r>
        <w:separator/>
      </w:r>
    </w:p>
  </w:footnote>
  <w:footnote w:type="continuationSeparator" w:id="0">
    <w:p w14:paraId="647CB9BC" w14:textId="77777777" w:rsidR="000D0B2D" w:rsidRDefault="000D0B2D" w:rsidP="00B56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9B3C" w14:textId="791C9066" w:rsidR="00B562DD" w:rsidRDefault="00B562DD">
    <w:pPr>
      <w:pStyle w:val="Header"/>
    </w:pPr>
  </w:p>
  <w:p w14:paraId="0ACDF66A" w14:textId="57D6D5A1" w:rsidR="00B562DD" w:rsidRDefault="00B562DD">
    <w:pPr>
      <w:pStyle w:val="Header"/>
    </w:pPr>
    <w:r>
      <w:rPr>
        <w:noProof/>
        <w:lang w:val="en-GB" w:eastAsia="en-GB"/>
      </w:rPr>
      <w:drawing>
        <wp:anchor distT="0" distB="0" distL="114300" distR="114300" simplePos="0" relativeHeight="251658240" behindDoc="1" locked="0" layoutInCell="1" allowOverlap="1" wp14:anchorId="7AA4C0CA" wp14:editId="67CE5328">
          <wp:simplePos x="0" y="0"/>
          <wp:positionH relativeFrom="margin">
            <wp:align>center</wp:align>
          </wp:positionH>
          <wp:positionV relativeFrom="paragraph">
            <wp:posOffset>6350</wp:posOffset>
          </wp:positionV>
          <wp:extent cx="2313305" cy="533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A8F7D" w14:textId="3E3F8806" w:rsidR="00B562DD" w:rsidRDefault="00B562DD">
    <w:pPr>
      <w:pStyle w:val="Header"/>
    </w:pPr>
  </w:p>
  <w:p w14:paraId="26523150" w14:textId="3A3A8974" w:rsidR="00B562DD" w:rsidRDefault="00B562DD">
    <w:pPr>
      <w:pStyle w:val="Header"/>
    </w:pPr>
  </w:p>
  <w:p w14:paraId="72B7F43D" w14:textId="56355A52" w:rsidR="00B562DD" w:rsidRDefault="00B562DD">
    <w:pPr>
      <w:pStyle w:val="Header"/>
    </w:pPr>
  </w:p>
  <w:p w14:paraId="28894F89" w14:textId="77777777" w:rsidR="00B562DD" w:rsidRDefault="00B56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101"/>
    <w:multiLevelType w:val="hybridMultilevel"/>
    <w:tmpl w:val="9ABCB174"/>
    <w:lvl w:ilvl="0" w:tplc="2DEC353C">
      <w:start w:val="1"/>
      <w:numFmt w:val="decimal"/>
      <w:lvlText w:val="%1."/>
      <w:lvlJc w:val="left"/>
      <w:pPr>
        <w:ind w:left="3480" w:hanging="360"/>
      </w:pPr>
      <w:rPr>
        <w:rFonts w:hint="default"/>
      </w:rPr>
    </w:lvl>
    <w:lvl w:ilvl="1" w:tplc="100A0019" w:tentative="1">
      <w:start w:val="1"/>
      <w:numFmt w:val="lowerLetter"/>
      <w:lvlText w:val="%2."/>
      <w:lvlJc w:val="left"/>
      <w:pPr>
        <w:ind w:left="4200" w:hanging="360"/>
      </w:pPr>
    </w:lvl>
    <w:lvl w:ilvl="2" w:tplc="100A001B" w:tentative="1">
      <w:start w:val="1"/>
      <w:numFmt w:val="lowerRoman"/>
      <w:lvlText w:val="%3."/>
      <w:lvlJc w:val="right"/>
      <w:pPr>
        <w:ind w:left="4920" w:hanging="180"/>
      </w:pPr>
    </w:lvl>
    <w:lvl w:ilvl="3" w:tplc="100A000F" w:tentative="1">
      <w:start w:val="1"/>
      <w:numFmt w:val="decimal"/>
      <w:lvlText w:val="%4."/>
      <w:lvlJc w:val="left"/>
      <w:pPr>
        <w:ind w:left="5640" w:hanging="360"/>
      </w:pPr>
    </w:lvl>
    <w:lvl w:ilvl="4" w:tplc="100A0019" w:tentative="1">
      <w:start w:val="1"/>
      <w:numFmt w:val="lowerLetter"/>
      <w:lvlText w:val="%5."/>
      <w:lvlJc w:val="left"/>
      <w:pPr>
        <w:ind w:left="6360" w:hanging="360"/>
      </w:pPr>
    </w:lvl>
    <w:lvl w:ilvl="5" w:tplc="100A001B" w:tentative="1">
      <w:start w:val="1"/>
      <w:numFmt w:val="lowerRoman"/>
      <w:lvlText w:val="%6."/>
      <w:lvlJc w:val="right"/>
      <w:pPr>
        <w:ind w:left="7080" w:hanging="180"/>
      </w:pPr>
    </w:lvl>
    <w:lvl w:ilvl="6" w:tplc="100A000F" w:tentative="1">
      <w:start w:val="1"/>
      <w:numFmt w:val="decimal"/>
      <w:lvlText w:val="%7."/>
      <w:lvlJc w:val="left"/>
      <w:pPr>
        <w:ind w:left="7800" w:hanging="360"/>
      </w:pPr>
    </w:lvl>
    <w:lvl w:ilvl="7" w:tplc="100A0019" w:tentative="1">
      <w:start w:val="1"/>
      <w:numFmt w:val="lowerLetter"/>
      <w:lvlText w:val="%8."/>
      <w:lvlJc w:val="left"/>
      <w:pPr>
        <w:ind w:left="8520" w:hanging="360"/>
      </w:pPr>
    </w:lvl>
    <w:lvl w:ilvl="8" w:tplc="100A001B" w:tentative="1">
      <w:start w:val="1"/>
      <w:numFmt w:val="lowerRoman"/>
      <w:lvlText w:val="%9."/>
      <w:lvlJc w:val="right"/>
      <w:pPr>
        <w:ind w:left="9240" w:hanging="180"/>
      </w:pPr>
    </w:lvl>
  </w:abstractNum>
  <w:abstractNum w:abstractNumId="1" w15:restartNumberingAfterBreak="0">
    <w:nsid w:val="2C102EB7"/>
    <w:multiLevelType w:val="hybridMultilevel"/>
    <w:tmpl w:val="425C198C"/>
    <w:lvl w:ilvl="0" w:tplc="B90EDCD4">
      <w:start w:val="1"/>
      <w:numFmt w:val="decimal"/>
      <w:lvlText w:val="%1."/>
      <w:lvlJc w:val="left"/>
      <w:pPr>
        <w:ind w:left="3082" w:hanging="375"/>
      </w:pPr>
      <w:rPr>
        <w:rFonts w:hint="default"/>
      </w:rPr>
    </w:lvl>
    <w:lvl w:ilvl="1" w:tplc="100A0019" w:tentative="1">
      <w:start w:val="1"/>
      <w:numFmt w:val="lowerLetter"/>
      <w:lvlText w:val="%2."/>
      <w:lvlJc w:val="left"/>
      <w:pPr>
        <w:ind w:left="3787" w:hanging="360"/>
      </w:pPr>
    </w:lvl>
    <w:lvl w:ilvl="2" w:tplc="100A001B" w:tentative="1">
      <w:start w:val="1"/>
      <w:numFmt w:val="lowerRoman"/>
      <w:lvlText w:val="%3."/>
      <w:lvlJc w:val="right"/>
      <w:pPr>
        <w:ind w:left="4507" w:hanging="180"/>
      </w:pPr>
    </w:lvl>
    <w:lvl w:ilvl="3" w:tplc="100A000F" w:tentative="1">
      <w:start w:val="1"/>
      <w:numFmt w:val="decimal"/>
      <w:lvlText w:val="%4."/>
      <w:lvlJc w:val="left"/>
      <w:pPr>
        <w:ind w:left="5227" w:hanging="360"/>
      </w:pPr>
    </w:lvl>
    <w:lvl w:ilvl="4" w:tplc="100A0019" w:tentative="1">
      <w:start w:val="1"/>
      <w:numFmt w:val="lowerLetter"/>
      <w:lvlText w:val="%5."/>
      <w:lvlJc w:val="left"/>
      <w:pPr>
        <w:ind w:left="5947" w:hanging="360"/>
      </w:pPr>
    </w:lvl>
    <w:lvl w:ilvl="5" w:tplc="100A001B" w:tentative="1">
      <w:start w:val="1"/>
      <w:numFmt w:val="lowerRoman"/>
      <w:lvlText w:val="%6."/>
      <w:lvlJc w:val="right"/>
      <w:pPr>
        <w:ind w:left="6667" w:hanging="180"/>
      </w:pPr>
    </w:lvl>
    <w:lvl w:ilvl="6" w:tplc="100A000F" w:tentative="1">
      <w:start w:val="1"/>
      <w:numFmt w:val="decimal"/>
      <w:lvlText w:val="%7."/>
      <w:lvlJc w:val="left"/>
      <w:pPr>
        <w:ind w:left="7387" w:hanging="360"/>
      </w:pPr>
    </w:lvl>
    <w:lvl w:ilvl="7" w:tplc="100A0019" w:tentative="1">
      <w:start w:val="1"/>
      <w:numFmt w:val="lowerLetter"/>
      <w:lvlText w:val="%8."/>
      <w:lvlJc w:val="left"/>
      <w:pPr>
        <w:ind w:left="8107" w:hanging="360"/>
      </w:pPr>
    </w:lvl>
    <w:lvl w:ilvl="8" w:tplc="100A001B" w:tentative="1">
      <w:start w:val="1"/>
      <w:numFmt w:val="lowerRoman"/>
      <w:lvlText w:val="%9."/>
      <w:lvlJc w:val="right"/>
      <w:pPr>
        <w:ind w:left="8827" w:hanging="180"/>
      </w:pPr>
    </w:lvl>
  </w:abstractNum>
  <w:abstractNum w:abstractNumId="2" w15:restartNumberingAfterBreak="0">
    <w:nsid w:val="2E4E34EE"/>
    <w:multiLevelType w:val="hybridMultilevel"/>
    <w:tmpl w:val="AC6055C4"/>
    <w:lvl w:ilvl="0" w:tplc="100A0001">
      <w:start w:val="1"/>
      <w:numFmt w:val="bullet"/>
      <w:lvlText w:val=""/>
      <w:lvlJc w:val="left"/>
      <w:pPr>
        <w:ind w:left="3427" w:hanging="360"/>
      </w:pPr>
      <w:rPr>
        <w:rFonts w:ascii="Symbol" w:hAnsi="Symbol" w:hint="default"/>
      </w:rPr>
    </w:lvl>
    <w:lvl w:ilvl="1" w:tplc="100A0003" w:tentative="1">
      <w:start w:val="1"/>
      <w:numFmt w:val="bullet"/>
      <w:lvlText w:val="o"/>
      <w:lvlJc w:val="left"/>
      <w:pPr>
        <w:ind w:left="4147" w:hanging="360"/>
      </w:pPr>
      <w:rPr>
        <w:rFonts w:ascii="Courier New" w:hAnsi="Courier New" w:cs="Courier New" w:hint="default"/>
      </w:rPr>
    </w:lvl>
    <w:lvl w:ilvl="2" w:tplc="100A0005" w:tentative="1">
      <w:start w:val="1"/>
      <w:numFmt w:val="bullet"/>
      <w:lvlText w:val=""/>
      <w:lvlJc w:val="left"/>
      <w:pPr>
        <w:ind w:left="4867" w:hanging="360"/>
      </w:pPr>
      <w:rPr>
        <w:rFonts w:ascii="Wingdings" w:hAnsi="Wingdings" w:hint="default"/>
      </w:rPr>
    </w:lvl>
    <w:lvl w:ilvl="3" w:tplc="100A0001" w:tentative="1">
      <w:start w:val="1"/>
      <w:numFmt w:val="bullet"/>
      <w:lvlText w:val=""/>
      <w:lvlJc w:val="left"/>
      <w:pPr>
        <w:ind w:left="5587" w:hanging="360"/>
      </w:pPr>
      <w:rPr>
        <w:rFonts w:ascii="Symbol" w:hAnsi="Symbol" w:hint="default"/>
      </w:rPr>
    </w:lvl>
    <w:lvl w:ilvl="4" w:tplc="100A0003" w:tentative="1">
      <w:start w:val="1"/>
      <w:numFmt w:val="bullet"/>
      <w:lvlText w:val="o"/>
      <w:lvlJc w:val="left"/>
      <w:pPr>
        <w:ind w:left="6307" w:hanging="360"/>
      </w:pPr>
      <w:rPr>
        <w:rFonts w:ascii="Courier New" w:hAnsi="Courier New" w:cs="Courier New" w:hint="default"/>
      </w:rPr>
    </w:lvl>
    <w:lvl w:ilvl="5" w:tplc="100A0005" w:tentative="1">
      <w:start w:val="1"/>
      <w:numFmt w:val="bullet"/>
      <w:lvlText w:val=""/>
      <w:lvlJc w:val="left"/>
      <w:pPr>
        <w:ind w:left="7027" w:hanging="360"/>
      </w:pPr>
      <w:rPr>
        <w:rFonts w:ascii="Wingdings" w:hAnsi="Wingdings" w:hint="default"/>
      </w:rPr>
    </w:lvl>
    <w:lvl w:ilvl="6" w:tplc="100A0001" w:tentative="1">
      <w:start w:val="1"/>
      <w:numFmt w:val="bullet"/>
      <w:lvlText w:val=""/>
      <w:lvlJc w:val="left"/>
      <w:pPr>
        <w:ind w:left="7747" w:hanging="360"/>
      </w:pPr>
      <w:rPr>
        <w:rFonts w:ascii="Symbol" w:hAnsi="Symbol" w:hint="default"/>
      </w:rPr>
    </w:lvl>
    <w:lvl w:ilvl="7" w:tplc="100A0003" w:tentative="1">
      <w:start w:val="1"/>
      <w:numFmt w:val="bullet"/>
      <w:lvlText w:val="o"/>
      <w:lvlJc w:val="left"/>
      <w:pPr>
        <w:ind w:left="8467" w:hanging="360"/>
      </w:pPr>
      <w:rPr>
        <w:rFonts w:ascii="Courier New" w:hAnsi="Courier New" w:cs="Courier New" w:hint="default"/>
      </w:rPr>
    </w:lvl>
    <w:lvl w:ilvl="8" w:tplc="100A0005" w:tentative="1">
      <w:start w:val="1"/>
      <w:numFmt w:val="bullet"/>
      <w:lvlText w:val=""/>
      <w:lvlJc w:val="left"/>
      <w:pPr>
        <w:ind w:left="9187" w:hanging="360"/>
      </w:pPr>
      <w:rPr>
        <w:rFonts w:ascii="Wingdings" w:hAnsi="Wingdings" w:hint="default"/>
      </w:rPr>
    </w:lvl>
  </w:abstractNum>
  <w:abstractNum w:abstractNumId="3" w15:restartNumberingAfterBreak="0">
    <w:nsid w:val="6D563C05"/>
    <w:multiLevelType w:val="hybridMultilevel"/>
    <w:tmpl w:val="8744BF5A"/>
    <w:lvl w:ilvl="0" w:tplc="100A0001">
      <w:start w:val="1"/>
      <w:numFmt w:val="bullet"/>
      <w:lvlText w:val=""/>
      <w:lvlJc w:val="left"/>
      <w:pPr>
        <w:ind w:left="3427" w:hanging="360"/>
      </w:pPr>
      <w:rPr>
        <w:rFonts w:ascii="Symbol" w:hAnsi="Symbol" w:hint="default"/>
      </w:rPr>
    </w:lvl>
    <w:lvl w:ilvl="1" w:tplc="100A0003" w:tentative="1">
      <w:start w:val="1"/>
      <w:numFmt w:val="bullet"/>
      <w:lvlText w:val="o"/>
      <w:lvlJc w:val="left"/>
      <w:pPr>
        <w:ind w:left="4147" w:hanging="360"/>
      </w:pPr>
      <w:rPr>
        <w:rFonts w:ascii="Courier New" w:hAnsi="Courier New" w:cs="Courier New" w:hint="default"/>
      </w:rPr>
    </w:lvl>
    <w:lvl w:ilvl="2" w:tplc="100A0005" w:tentative="1">
      <w:start w:val="1"/>
      <w:numFmt w:val="bullet"/>
      <w:lvlText w:val=""/>
      <w:lvlJc w:val="left"/>
      <w:pPr>
        <w:ind w:left="4867" w:hanging="360"/>
      </w:pPr>
      <w:rPr>
        <w:rFonts w:ascii="Wingdings" w:hAnsi="Wingdings" w:hint="default"/>
      </w:rPr>
    </w:lvl>
    <w:lvl w:ilvl="3" w:tplc="100A0001" w:tentative="1">
      <w:start w:val="1"/>
      <w:numFmt w:val="bullet"/>
      <w:lvlText w:val=""/>
      <w:lvlJc w:val="left"/>
      <w:pPr>
        <w:ind w:left="5587" w:hanging="360"/>
      </w:pPr>
      <w:rPr>
        <w:rFonts w:ascii="Symbol" w:hAnsi="Symbol" w:hint="default"/>
      </w:rPr>
    </w:lvl>
    <w:lvl w:ilvl="4" w:tplc="100A0003" w:tentative="1">
      <w:start w:val="1"/>
      <w:numFmt w:val="bullet"/>
      <w:lvlText w:val="o"/>
      <w:lvlJc w:val="left"/>
      <w:pPr>
        <w:ind w:left="6307" w:hanging="360"/>
      </w:pPr>
      <w:rPr>
        <w:rFonts w:ascii="Courier New" w:hAnsi="Courier New" w:cs="Courier New" w:hint="default"/>
      </w:rPr>
    </w:lvl>
    <w:lvl w:ilvl="5" w:tplc="100A0005" w:tentative="1">
      <w:start w:val="1"/>
      <w:numFmt w:val="bullet"/>
      <w:lvlText w:val=""/>
      <w:lvlJc w:val="left"/>
      <w:pPr>
        <w:ind w:left="7027" w:hanging="360"/>
      </w:pPr>
      <w:rPr>
        <w:rFonts w:ascii="Wingdings" w:hAnsi="Wingdings" w:hint="default"/>
      </w:rPr>
    </w:lvl>
    <w:lvl w:ilvl="6" w:tplc="100A0001" w:tentative="1">
      <w:start w:val="1"/>
      <w:numFmt w:val="bullet"/>
      <w:lvlText w:val=""/>
      <w:lvlJc w:val="left"/>
      <w:pPr>
        <w:ind w:left="7747" w:hanging="360"/>
      </w:pPr>
      <w:rPr>
        <w:rFonts w:ascii="Symbol" w:hAnsi="Symbol" w:hint="default"/>
      </w:rPr>
    </w:lvl>
    <w:lvl w:ilvl="7" w:tplc="100A0003" w:tentative="1">
      <w:start w:val="1"/>
      <w:numFmt w:val="bullet"/>
      <w:lvlText w:val="o"/>
      <w:lvlJc w:val="left"/>
      <w:pPr>
        <w:ind w:left="8467" w:hanging="360"/>
      </w:pPr>
      <w:rPr>
        <w:rFonts w:ascii="Courier New" w:hAnsi="Courier New" w:cs="Courier New" w:hint="default"/>
      </w:rPr>
    </w:lvl>
    <w:lvl w:ilvl="8" w:tplc="100A0005" w:tentative="1">
      <w:start w:val="1"/>
      <w:numFmt w:val="bullet"/>
      <w:lvlText w:val=""/>
      <w:lvlJc w:val="left"/>
      <w:pPr>
        <w:ind w:left="9187" w:hanging="360"/>
      </w:pPr>
      <w:rPr>
        <w:rFonts w:ascii="Wingdings" w:hAnsi="Wingdings" w:hint="default"/>
      </w:rPr>
    </w:lvl>
  </w:abstractNum>
  <w:abstractNum w:abstractNumId="4" w15:restartNumberingAfterBreak="0">
    <w:nsid w:val="732E0E76"/>
    <w:multiLevelType w:val="hybridMultilevel"/>
    <w:tmpl w:val="CF48A60C"/>
    <w:lvl w:ilvl="0" w:tplc="100A0001">
      <w:start w:val="1"/>
      <w:numFmt w:val="bullet"/>
      <w:lvlText w:val=""/>
      <w:lvlJc w:val="left"/>
      <w:pPr>
        <w:ind w:left="3427" w:hanging="360"/>
      </w:pPr>
      <w:rPr>
        <w:rFonts w:ascii="Symbol" w:hAnsi="Symbol" w:hint="default"/>
      </w:rPr>
    </w:lvl>
    <w:lvl w:ilvl="1" w:tplc="100A0003" w:tentative="1">
      <w:start w:val="1"/>
      <w:numFmt w:val="bullet"/>
      <w:lvlText w:val="o"/>
      <w:lvlJc w:val="left"/>
      <w:pPr>
        <w:ind w:left="4147" w:hanging="360"/>
      </w:pPr>
      <w:rPr>
        <w:rFonts w:ascii="Courier New" w:hAnsi="Courier New" w:cs="Courier New" w:hint="default"/>
      </w:rPr>
    </w:lvl>
    <w:lvl w:ilvl="2" w:tplc="100A0005" w:tentative="1">
      <w:start w:val="1"/>
      <w:numFmt w:val="bullet"/>
      <w:lvlText w:val=""/>
      <w:lvlJc w:val="left"/>
      <w:pPr>
        <w:ind w:left="4867" w:hanging="360"/>
      </w:pPr>
      <w:rPr>
        <w:rFonts w:ascii="Wingdings" w:hAnsi="Wingdings" w:hint="default"/>
      </w:rPr>
    </w:lvl>
    <w:lvl w:ilvl="3" w:tplc="100A0001" w:tentative="1">
      <w:start w:val="1"/>
      <w:numFmt w:val="bullet"/>
      <w:lvlText w:val=""/>
      <w:lvlJc w:val="left"/>
      <w:pPr>
        <w:ind w:left="5587" w:hanging="360"/>
      </w:pPr>
      <w:rPr>
        <w:rFonts w:ascii="Symbol" w:hAnsi="Symbol" w:hint="default"/>
      </w:rPr>
    </w:lvl>
    <w:lvl w:ilvl="4" w:tplc="100A0003" w:tentative="1">
      <w:start w:val="1"/>
      <w:numFmt w:val="bullet"/>
      <w:lvlText w:val="o"/>
      <w:lvlJc w:val="left"/>
      <w:pPr>
        <w:ind w:left="6307" w:hanging="360"/>
      </w:pPr>
      <w:rPr>
        <w:rFonts w:ascii="Courier New" w:hAnsi="Courier New" w:cs="Courier New" w:hint="default"/>
      </w:rPr>
    </w:lvl>
    <w:lvl w:ilvl="5" w:tplc="100A0005" w:tentative="1">
      <w:start w:val="1"/>
      <w:numFmt w:val="bullet"/>
      <w:lvlText w:val=""/>
      <w:lvlJc w:val="left"/>
      <w:pPr>
        <w:ind w:left="7027" w:hanging="360"/>
      </w:pPr>
      <w:rPr>
        <w:rFonts w:ascii="Wingdings" w:hAnsi="Wingdings" w:hint="default"/>
      </w:rPr>
    </w:lvl>
    <w:lvl w:ilvl="6" w:tplc="100A0001" w:tentative="1">
      <w:start w:val="1"/>
      <w:numFmt w:val="bullet"/>
      <w:lvlText w:val=""/>
      <w:lvlJc w:val="left"/>
      <w:pPr>
        <w:ind w:left="7747" w:hanging="360"/>
      </w:pPr>
      <w:rPr>
        <w:rFonts w:ascii="Symbol" w:hAnsi="Symbol" w:hint="default"/>
      </w:rPr>
    </w:lvl>
    <w:lvl w:ilvl="7" w:tplc="100A0003" w:tentative="1">
      <w:start w:val="1"/>
      <w:numFmt w:val="bullet"/>
      <w:lvlText w:val="o"/>
      <w:lvlJc w:val="left"/>
      <w:pPr>
        <w:ind w:left="8467" w:hanging="360"/>
      </w:pPr>
      <w:rPr>
        <w:rFonts w:ascii="Courier New" w:hAnsi="Courier New" w:cs="Courier New" w:hint="default"/>
      </w:rPr>
    </w:lvl>
    <w:lvl w:ilvl="8" w:tplc="100A0005" w:tentative="1">
      <w:start w:val="1"/>
      <w:numFmt w:val="bullet"/>
      <w:lvlText w:val=""/>
      <w:lvlJc w:val="left"/>
      <w:pPr>
        <w:ind w:left="9187"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E3"/>
    <w:rsid w:val="000452EC"/>
    <w:rsid w:val="00073193"/>
    <w:rsid w:val="000D0395"/>
    <w:rsid w:val="000D0B2D"/>
    <w:rsid w:val="00156F97"/>
    <w:rsid w:val="00205932"/>
    <w:rsid w:val="00255915"/>
    <w:rsid w:val="00294707"/>
    <w:rsid w:val="00301391"/>
    <w:rsid w:val="00362339"/>
    <w:rsid w:val="00394B0D"/>
    <w:rsid w:val="00460C59"/>
    <w:rsid w:val="005D1DF7"/>
    <w:rsid w:val="006046E1"/>
    <w:rsid w:val="00650210"/>
    <w:rsid w:val="0070397D"/>
    <w:rsid w:val="0077429D"/>
    <w:rsid w:val="007D7A90"/>
    <w:rsid w:val="007F02EB"/>
    <w:rsid w:val="008202E3"/>
    <w:rsid w:val="0082611D"/>
    <w:rsid w:val="00830554"/>
    <w:rsid w:val="0084449E"/>
    <w:rsid w:val="008C1C35"/>
    <w:rsid w:val="00921F5B"/>
    <w:rsid w:val="009C2047"/>
    <w:rsid w:val="00A04555"/>
    <w:rsid w:val="00A62223"/>
    <w:rsid w:val="00A728CD"/>
    <w:rsid w:val="00B0099D"/>
    <w:rsid w:val="00B17B33"/>
    <w:rsid w:val="00B36804"/>
    <w:rsid w:val="00B4594E"/>
    <w:rsid w:val="00B562DD"/>
    <w:rsid w:val="00BD4D12"/>
    <w:rsid w:val="00BE018E"/>
    <w:rsid w:val="00C7013E"/>
    <w:rsid w:val="00CC5303"/>
    <w:rsid w:val="00D30B03"/>
    <w:rsid w:val="00D5311E"/>
    <w:rsid w:val="00DA56AE"/>
    <w:rsid w:val="00DE435F"/>
    <w:rsid w:val="00DF418C"/>
    <w:rsid w:val="00EA2616"/>
    <w:rsid w:val="00F57696"/>
    <w:rsid w:val="00FF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BE1050"/>
  <w15:docId w15:val="{678805CD-5EDE-364E-BC1C-B3239224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B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AE"/>
    <w:pPr>
      <w:ind w:left="720"/>
      <w:contextualSpacing/>
    </w:pPr>
  </w:style>
  <w:style w:type="character" w:styleId="CommentReference">
    <w:name w:val="annotation reference"/>
    <w:basedOn w:val="DefaultParagraphFont"/>
    <w:uiPriority w:val="99"/>
    <w:semiHidden/>
    <w:unhideWhenUsed/>
    <w:rsid w:val="000452EC"/>
    <w:rPr>
      <w:sz w:val="16"/>
      <w:szCs w:val="16"/>
    </w:rPr>
  </w:style>
  <w:style w:type="paragraph" w:styleId="CommentText">
    <w:name w:val="annotation text"/>
    <w:basedOn w:val="Normal"/>
    <w:link w:val="CommentTextChar"/>
    <w:uiPriority w:val="99"/>
    <w:semiHidden/>
    <w:unhideWhenUsed/>
    <w:rsid w:val="000452EC"/>
    <w:pPr>
      <w:spacing w:line="240" w:lineRule="auto"/>
    </w:pPr>
    <w:rPr>
      <w:sz w:val="20"/>
      <w:szCs w:val="20"/>
    </w:rPr>
  </w:style>
  <w:style w:type="character" w:customStyle="1" w:styleId="CommentTextChar">
    <w:name w:val="Comment Text Char"/>
    <w:basedOn w:val="DefaultParagraphFont"/>
    <w:link w:val="CommentText"/>
    <w:uiPriority w:val="99"/>
    <w:semiHidden/>
    <w:rsid w:val="000452EC"/>
    <w:rPr>
      <w:sz w:val="20"/>
      <w:szCs w:val="20"/>
    </w:rPr>
  </w:style>
  <w:style w:type="paragraph" w:styleId="CommentSubject">
    <w:name w:val="annotation subject"/>
    <w:basedOn w:val="CommentText"/>
    <w:next w:val="CommentText"/>
    <w:link w:val="CommentSubjectChar"/>
    <w:uiPriority w:val="99"/>
    <w:semiHidden/>
    <w:unhideWhenUsed/>
    <w:rsid w:val="000452EC"/>
    <w:rPr>
      <w:b/>
      <w:bCs/>
    </w:rPr>
  </w:style>
  <w:style w:type="character" w:customStyle="1" w:styleId="CommentSubjectChar">
    <w:name w:val="Comment Subject Char"/>
    <w:basedOn w:val="CommentTextChar"/>
    <w:link w:val="CommentSubject"/>
    <w:uiPriority w:val="99"/>
    <w:semiHidden/>
    <w:rsid w:val="000452EC"/>
    <w:rPr>
      <w:b/>
      <w:bCs/>
      <w:sz w:val="20"/>
      <w:szCs w:val="20"/>
    </w:rPr>
  </w:style>
  <w:style w:type="paragraph" w:styleId="BalloonText">
    <w:name w:val="Balloon Text"/>
    <w:basedOn w:val="Normal"/>
    <w:link w:val="BalloonTextChar"/>
    <w:uiPriority w:val="99"/>
    <w:semiHidden/>
    <w:unhideWhenUsed/>
    <w:rsid w:val="00045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EC"/>
    <w:rPr>
      <w:rFonts w:ascii="Segoe UI" w:hAnsi="Segoe UI" w:cs="Segoe UI"/>
      <w:sz w:val="18"/>
      <w:szCs w:val="18"/>
    </w:rPr>
  </w:style>
  <w:style w:type="paragraph" w:styleId="Header">
    <w:name w:val="header"/>
    <w:basedOn w:val="Normal"/>
    <w:link w:val="HeaderChar"/>
    <w:uiPriority w:val="99"/>
    <w:unhideWhenUsed/>
    <w:rsid w:val="00B562DD"/>
    <w:pPr>
      <w:tabs>
        <w:tab w:val="center" w:pos="4419"/>
        <w:tab w:val="right" w:pos="8838"/>
      </w:tabs>
      <w:spacing w:after="0" w:line="240" w:lineRule="auto"/>
    </w:pPr>
  </w:style>
  <w:style w:type="character" w:customStyle="1" w:styleId="HeaderChar">
    <w:name w:val="Header Char"/>
    <w:basedOn w:val="DefaultParagraphFont"/>
    <w:link w:val="Header"/>
    <w:uiPriority w:val="99"/>
    <w:rsid w:val="00B562DD"/>
  </w:style>
  <w:style w:type="paragraph" w:styleId="Footer">
    <w:name w:val="footer"/>
    <w:basedOn w:val="Normal"/>
    <w:link w:val="FooterChar"/>
    <w:uiPriority w:val="99"/>
    <w:unhideWhenUsed/>
    <w:rsid w:val="00B562DD"/>
    <w:pPr>
      <w:tabs>
        <w:tab w:val="center" w:pos="4419"/>
        <w:tab w:val="right" w:pos="8838"/>
      </w:tabs>
      <w:spacing w:after="0" w:line="240" w:lineRule="auto"/>
    </w:pPr>
  </w:style>
  <w:style w:type="character" w:customStyle="1" w:styleId="FooterChar">
    <w:name w:val="Footer Char"/>
    <w:basedOn w:val="DefaultParagraphFont"/>
    <w:link w:val="Footer"/>
    <w:uiPriority w:val="99"/>
    <w:rsid w:val="00B562DD"/>
  </w:style>
  <w:style w:type="character" w:customStyle="1" w:styleId="Heading1Char">
    <w:name w:val="Heading 1 Char"/>
    <w:basedOn w:val="DefaultParagraphFont"/>
    <w:link w:val="Heading1"/>
    <w:uiPriority w:val="9"/>
    <w:rsid w:val="00B17B3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17B33"/>
    <w:pPr>
      <w:spacing w:after="0" w:line="240" w:lineRule="auto"/>
    </w:pPr>
  </w:style>
  <w:style w:type="table" w:styleId="TableGrid">
    <w:name w:val="Table Grid"/>
    <w:basedOn w:val="TableNormal"/>
    <w:uiPriority w:val="39"/>
    <w:rsid w:val="00921F5B"/>
    <w:pPr>
      <w:spacing w:after="0" w:line="240" w:lineRule="auto"/>
    </w:pPr>
    <w:rPr>
      <w:rFonts w:eastAsiaTheme="minorHAnsi"/>
      <w:lang w:val="es-G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04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came2019.tse.org.gt/wp-content/uploads/2020/03/Matriz-de-Propuestas-Estrate%CC%81gicas-para-la-Reforma-Electoral-11032020.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D2FF7F-9280-4720-B961-C7CED8A57805}"/>
</file>

<file path=customXml/itemProps2.xml><?xml version="1.0" encoding="utf-8"?>
<ds:datastoreItem xmlns:ds="http://schemas.openxmlformats.org/officeDocument/2006/customXml" ds:itemID="{0F61F088-5707-4D83-A674-78C0D51781E6}"/>
</file>

<file path=customXml/itemProps3.xml><?xml version="1.0" encoding="utf-8"?>
<ds:datastoreItem xmlns:ds="http://schemas.openxmlformats.org/officeDocument/2006/customXml" ds:itemID="{077B71E5-A59A-461D-BBDC-36155529A237}"/>
</file>

<file path=docProps/app.xml><?xml version="1.0" encoding="utf-8"?>
<Properties xmlns="http://schemas.openxmlformats.org/officeDocument/2006/extended-properties" xmlns:vt="http://schemas.openxmlformats.org/officeDocument/2006/docPropsVTypes">
  <Template>Normal.dotm</Template>
  <TotalTime>1</TotalTime>
  <Pages>7</Pages>
  <Words>2531</Words>
  <Characters>14427</Characters>
  <Application>Microsoft Office Word</Application>
  <DocSecurity>0</DocSecurity>
  <Lines>120</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Juridica</dc:creator>
  <cp:keywords/>
  <dc:description/>
  <cp:lastModifiedBy>KIRBY Danielle</cp:lastModifiedBy>
  <cp:revision>2</cp:revision>
  <cp:lastPrinted>2020-06-01T19:55:00Z</cp:lastPrinted>
  <dcterms:created xsi:type="dcterms:W3CDTF">2020-10-02T14:01:00Z</dcterms:created>
  <dcterms:modified xsi:type="dcterms:W3CDTF">2020-10-02T14:01:00Z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