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8A600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8A600E" w:rsidP="008A600E">
            <w:pPr>
              <w:jc w:val="right"/>
            </w:pPr>
            <w:r w:rsidRPr="008A600E">
              <w:rPr>
                <w:sz w:val="40"/>
              </w:rPr>
              <w:t>A</w:t>
            </w:r>
            <w:r>
              <w:t>/HRC/AC/15/1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8A600E" w:rsidP="00F70608">
            <w:pPr>
              <w:spacing w:before="240"/>
            </w:pPr>
            <w:r>
              <w:t>Distr. générale</w:t>
            </w:r>
          </w:p>
          <w:p w:rsidR="008A600E" w:rsidRDefault="008A600E" w:rsidP="008A600E">
            <w:pPr>
              <w:spacing w:line="240" w:lineRule="exact"/>
            </w:pPr>
            <w:r>
              <w:t>27 mai 2015</w:t>
            </w:r>
          </w:p>
          <w:p w:rsidR="008A600E" w:rsidRDefault="008A600E" w:rsidP="008A600E">
            <w:pPr>
              <w:spacing w:line="240" w:lineRule="exact"/>
            </w:pPr>
            <w:r>
              <w:t>Français</w:t>
            </w:r>
          </w:p>
          <w:p w:rsidR="008A600E" w:rsidRPr="00DB58B5" w:rsidRDefault="008A600E" w:rsidP="008A600E">
            <w:pPr>
              <w:spacing w:line="240" w:lineRule="exact"/>
            </w:pPr>
            <w:r>
              <w:t>Original: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8A600E" w:rsidRPr="00AD5789" w:rsidRDefault="008A600E" w:rsidP="008A600E">
      <w:pPr>
        <w:kinsoku/>
        <w:overflowPunct/>
        <w:autoSpaceDE/>
        <w:autoSpaceDN/>
        <w:adjustRightInd/>
        <w:snapToGrid/>
      </w:pPr>
      <w:r w:rsidRPr="00AD5789">
        <w:rPr>
          <w:b/>
        </w:rPr>
        <w:t>Comité consultatif</w:t>
      </w:r>
      <w:r w:rsidRPr="00AD5789">
        <w:t xml:space="preserve"> </w:t>
      </w:r>
    </w:p>
    <w:p w:rsidR="008A600E" w:rsidRPr="00AD5789" w:rsidRDefault="008A600E" w:rsidP="008A600E">
      <w:pPr>
        <w:kinsoku/>
        <w:overflowPunct/>
        <w:autoSpaceDE/>
        <w:autoSpaceDN/>
        <w:adjustRightInd/>
        <w:snapToGrid/>
        <w:rPr>
          <w:b/>
        </w:rPr>
      </w:pPr>
      <w:r w:rsidRPr="00AD5789">
        <w:rPr>
          <w:b/>
        </w:rPr>
        <w:t>Qu</w:t>
      </w:r>
      <w:r>
        <w:rPr>
          <w:b/>
        </w:rPr>
        <w:t>in</w:t>
      </w:r>
      <w:r w:rsidRPr="00AD5789">
        <w:rPr>
          <w:b/>
        </w:rPr>
        <w:t>zième session</w:t>
      </w:r>
    </w:p>
    <w:p w:rsidR="008A600E" w:rsidRPr="00AD5789" w:rsidRDefault="008A600E" w:rsidP="008A600E">
      <w:pPr>
        <w:kinsoku/>
        <w:overflowPunct/>
        <w:autoSpaceDE/>
        <w:autoSpaceDN/>
        <w:adjustRightInd/>
        <w:snapToGrid/>
      </w:pPr>
      <w:r>
        <w:t>10-</w:t>
      </w:r>
      <w:r>
        <w:t>14 août</w:t>
      </w:r>
      <w:r w:rsidRPr="00AD5789">
        <w:t xml:space="preserve"> 2015</w:t>
      </w:r>
    </w:p>
    <w:p w:rsidR="008A600E" w:rsidRPr="00AD5789" w:rsidRDefault="00841AEB" w:rsidP="008A600E">
      <w:pPr>
        <w:kinsoku/>
        <w:overflowPunct/>
        <w:autoSpaceDE/>
        <w:autoSpaceDN/>
        <w:adjustRightInd/>
        <w:snapToGrid/>
      </w:pPr>
      <w:r>
        <w:t>Point </w:t>
      </w:r>
      <w:r w:rsidR="008A600E">
        <w:t>1</w:t>
      </w:r>
      <w:r w:rsidR="008A600E" w:rsidRPr="00AD5789">
        <w:t xml:space="preserve"> de l’ordre du jour provisoire</w:t>
      </w:r>
    </w:p>
    <w:p w:rsidR="008A600E" w:rsidRPr="00AD5789" w:rsidRDefault="008A600E" w:rsidP="008A600E">
      <w:pPr>
        <w:kinsoku/>
        <w:overflowPunct/>
        <w:autoSpaceDE/>
        <w:autoSpaceDN/>
        <w:adjustRightInd/>
        <w:snapToGrid/>
        <w:rPr>
          <w:b/>
          <w:bCs/>
        </w:rPr>
      </w:pPr>
      <w:r w:rsidRPr="00AD5789">
        <w:rPr>
          <w:b/>
          <w:bCs/>
        </w:rPr>
        <w:t>Adoption de l’ordre du jour et organisation des travaux</w:t>
      </w:r>
    </w:p>
    <w:p w:rsidR="008A600E" w:rsidRPr="00AD5789" w:rsidRDefault="008A600E" w:rsidP="00841AEB">
      <w:pPr>
        <w:pStyle w:val="HChG"/>
      </w:pPr>
      <w:r w:rsidRPr="00AD5789">
        <w:tab/>
      </w:r>
      <w:r w:rsidRPr="00AD5789">
        <w:tab/>
        <w:t>Ordre du jour provisoire</w:t>
      </w:r>
    </w:p>
    <w:p w:rsidR="008A600E" w:rsidRPr="00AD5789" w:rsidRDefault="008A600E" w:rsidP="00841AEB">
      <w:pPr>
        <w:pStyle w:val="H1G"/>
      </w:pPr>
      <w:r w:rsidRPr="00AD5789">
        <w:tab/>
      </w:r>
      <w:r w:rsidRPr="00AD5789">
        <w:tab/>
        <w:t xml:space="preserve">Note du Secrétaire général </w:t>
      </w:r>
    </w:p>
    <w:p w:rsidR="008A600E" w:rsidRPr="00AD5789" w:rsidRDefault="008A600E" w:rsidP="00841AEB">
      <w:pPr>
        <w:pStyle w:val="SingleTxtG"/>
        <w:ind w:left="1701" w:hanging="567"/>
      </w:pPr>
      <w:r w:rsidRPr="00AD5789">
        <w:t>1.</w:t>
      </w:r>
      <w:r w:rsidRPr="00AD5789">
        <w:tab/>
        <w:t>Adoption de l’ordre du jour et organisation des travaux.</w:t>
      </w:r>
    </w:p>
    <w:p w:rsidR="008A600E" w:rsidRPr="00AD5789" w:rsidRDefault="008A600E" w:rsidP="00DF4491">
      <w:pPr>
        <w:pStyle w:val="SingleTxtG"/>
        <w:keepNext/>
        <w:ind w:left="1701" w:hanging="567"/>
      </w:pPr>
      <w:r w:rsidRPr="00AD5789">
        <w:t>2.</w:t>
      </w:r>
      <w:r w:rsidRPr="00AD5789">
        <w:tab/>
        <w:t>Demandes adressées au Comité consultatif en application des résolutions du Conseil des droits de l’homme:</w:t>
      </w:r>
    </w:p>
    <w:p w:rsidR="008A600E" w:rsidRPr="00AD5789" w:rsidRDefault="008A600E" w:rsidP="00391D82">
      <w:pPr>
        <w:pStyle w:val="SingleTxtG"/>
        <w:keepNext/>
        <w:ind w:left="1701"/>
      </w:pPr>
      <w:r w:rsidRPr="00AD5789">
        <w:t>a)</w:t>
      </w:r>
      <w:r w:rsidRPr="00AD5789">
        <w:tab/>
        <w:t>Demandes actuellement examinées par le Comité:</w:t>
      </w:r>
      <w:bookmarkStart w:id="0" w:name="_GoBack"/>
      <w:bookmarkEnd w:id="0"/>
    </w:p>
    <w:p w:rsidR="008A600E" w:rsidRPr="00AD5789" w:rsidRDefault="008A600E" w:rsidP="00841AEB">
      <w:pPr>
        <w:pStyle w:val="SingleTxtG"/>
        <w:ind w:left="2835" w:hanging="567"/>
      </w:pPr>
      <w:r w:rsidRPr="00AD5789">
        <w:t>i)</w:t>
      </w:r>
      <w:r w:rsidRPr="00AD5789">
        <w:tab/>
        <w:t xml:space="preserve">Intégration </w:t>
      </w:r>
      <w:r>
        <w:t>de la perspective du</w:t>
      </w:r>
      <w:r w:rsidRPr="00AD5789">
        <w:t xml:space="preserve"> genre;</w:t>
      </w:r>
    </w:p>
    <w:p w:rsidR="008A600E" w:rsidRPr="00AD5789" w:rsidRDefault="008A600E" w:rsidP="00841AEB">
      <w:pPr>
        <w:pStyle w:val="SingleTxtG"/>
        <w:ind w:left="2835" w:hanging="567"/>
      </w:pPr>
      <w:r w:rsidRPr="00AD5789">
        <w:t>ii)</w:t>
      </w:r>
      <w:r w:rsidRPr="00AD5789">
        <w:tab/>
        <w:t>Promotion d’un ordre international démocratique et équitable;</w:t>
      </w:r>
    </w:p>
    <w:p w:rsidR="008A600E" w:rsidRPr="00AD5789" w:rsidRDefault="008A600E" w:rsidP="00841AEB">
      <w:pPr>
        <w:pStyle w:val="SingleTxtG"/>
        <w:ind w:left="2835" w:hanging="567"/>
      </w:pPr>
      <w:r w:rsidRPr="00AD5789">
        <w:t>iii)</w:t>
      </w:r>
      <w:r w:rsidRPr="00AD5789">
        <w:tab/>
        <w:t>Intégration de la perspective des personnes handicapées;</w:t>
      </w:r>
    </w:p>
    <w:p w:rsidR="008A600E" w:rsidRPr="00AD5789" w:rsidRDefault="008A600E" w:rsidP="00841AEB">
      <w:pPr>
        <w:pStyle w:val="SingleTxtG"/>
        <w:ind w:left="2835" w:hanging="567"/>
      </w:pPr>
      <w:r w:rsidRPr="00AD5789">
        <w:t>iv)</w:t>
      </w:r>
      <w:r w:rsidRPr="00AD5789">
        <w:tab/>
        <w:t>Promotion des droits de l’homme par le sport et l’idéal olympique;</w:t>
      </w:r>
    </w:p>
    <w:p w:rsidR="008A600E" w:rsidRPr="00AD5789" w:rsidRDefault="008A600E" w:rsidP="00841AEB">
      <w:pPr>
        <w:pStyle w:val="SingleTxtG"/>
        <w:ind w:left="2835" w:hanging="567"/>
        <w:rPr>
          <w:spacing w:val="-2"/>
        </w:rPr>
      </w:pPr>
      <w:r w:rsidRPr="00AD5789">
        <w:t>v)</w:t>
      </w:r>
      <w:r w:rsidRPr="00AD5789">
        <w:tab/>
        <w:t>Gouvernement local et droits de l’homme;</w:t>
      </w:r>
    </w:p>
    <w:p w:rsidR="008A600E" w:rsidRPr="00AD5789" w:rsidRDefault="008A600E" w:rsidP="00841AEB">
      <w:pPr>
        <w:pStyle w:val="SingleTxtG"/>
        <w:ind w:left="2835" w:hanging="567"/>
      </w:pPr>
      <w:r>
        <w:t>vi)</w:t>
      </w:r>
      <w:r>
        <w:tab/>
      </w:r>
      <w:r w:rsidRPr="00AD5789">
        <w:t xml:space="preserve">Activités des fonds </w:t>
      </w:r>
      <w:r>
        <w:t>rapaces</w:t>
      </w:r>
      <w:r w:rsidRPr="00AD5789">
        <w:t xml:space="preserve"> et incidences sur les droits de l’homme;</w:t>
      </w:r>
    </w:p>
    <w:p w:rsidR="008A600E" w:rsidRPr="00AD5789" w:rsidRDefault="008A600E" w:rsidP="00DF4491">
      <w:pPr>
        <w:pStyle w:val="SingleTxtG"/>
        <w:keepNext/>
        <w:ind w:left="1701"/>
      </w:pPr>
      <w:r w:rsidRPr="00AD5789">
        <w:t>b)</w:t>
      </w:r>
      <w:r w:rsidRPr="00AD5789">
        <w:tab/>
        <w:t>Suivi des rapports du Comité soumis au Conseil des droits de l’homme:</w:t>
      </w:r>
    </w:p>
    <w:p w:rsidR="008A600E" w:rsidRPr="00AD5789" w:rsidRDefault="008A600E" w:rsidP="00841AEB">
      <w:pPr>
        <w:pStyle w:val="SingleTxtG"/>
        <w:ind w:left="2835" w:hanging="567"/>
      </w:pPr>
      <w:r w:rsidRPr="00AD5789">
        <w:t>i)</w:t>
      </w:r>
      <w:r w:rsidRPr="00AD5789">
        <w:tab/>
        <w:t>Promotion du droit des peuples à la paix;</w:t>
      </w:r>
    </w:p>
    <w:p w:rsidR="008A600E" w:rsidRPr="00AD5789" w:rsidRDefault="008A600E" w:rsidP="00841AEB">
      <w:pPr>
        <w:pStyle w:val="SingleTxtG"/>
        <w:ind w:left="2835" w:hanging="567"/>
      </w:pPr>
      <w:r w:rsidRPr="00AD5789">
        <w:t>ii)</w:t>
      </w:r>
      <w:r w:rsidRPr="00AD5789">
        <w:tab/>
        <w:t>Renforcement de la coopération internationale dans le domaine des droits de l’homme;</w:t>
      </w:r>
    </w:p>
    <w:p w:rsidR="008A600E" w:rsidRDefault="008A600E" w:rsidP="00841AEB">
      <w:pPr>
        <w:pStyle w:val="SingleTxtG"/>
        <w:ind w:left="2835" w:hanging="567"/>
      </w:pPr>
      <w:r w:rsidRPr="00AD5789">
        <w:t>iii)</w:t>
      </w:r>
      <w:r w:rsidRPr="00AD5789">
        <w:tab/>
      </w:r>
      <w:r>
        <w:t>Droits de l'homme et mesures coercitives unilatérales;</w:t>
      </w:r>
    </w:p>
    <w:p w:rsidR="008A600E" w:rsidRPr="00AD5789" w:rsidRDefault="008A600E" w:rsidP="00841AEB">
      <w:pPr>
        <w:pStyle w:val="SingleTxtG"/>
        <w:ind w:left="2835" w:hanging="567"/>
      </w:pPr>
      <w:r>
        <w:t>iv)</w:t>
      </w:r>
      <w:r>
        <w:tab/>
        <w:t xml:space="preserve">Coopération technique en vue de prévenir les agressions contre les personnes atteintes d’albinisme. </w:t>
      </w:r>
    </w:p>
    <w:p w:rsidR="008A600E" w:rsidRPr="00AD5789" w:rsidRDefault="008A600E" w:rsidP="00841AEB">
      <w:pPr>
        <w:pStyle w:val="SingleTxtG"/>
        <w:keepNext/>
        <w:ind w:left="1701" w:hanging="567"/>
        <w:rPr>
          <w:rFonts w:eastAsia="MS Mincho"/>
        </w:rPr>
      </w:pPr>
      <w:r>
        <w:rPr>
          <w:rFonts w:eastAsia="MS Mincho"/>
        </w:rPr>
        <w:lastRenderedPageBreak/>
        <w:t>3</w:t>
      </w:r>
      <w:r w:rsidRPr="00AD5789">
        <w:rPr>
          <w:rFonts w:eastAsia="MS Mincho"/>
        </w:rPr>
        <w:t>.</w:t>
      </w:r>
      <w:r w:rsidRPr="00AD5789">
        <w:rPr>
          <w:rFonts w:eastAsia="MS Mincho"/>
        </w:rPr>
        <w:tab/>
        <w:t>Mise en œuvre des sections III et</w:t>
      </w:r>
      <w:r w:rsidR="00140DE8">
        <w:rPr>
          <w:rFonts w:eastAsia="MS Mincho"/>
        </w:rPr>
        <w:t> </w:t>
      </w:r>
      <w:r w:rsidRPr="00AD5789">
        <w:rPr>
          <w:rFonts w:eastAsia="MS Mincho"/>
        </w:rPr>
        <w:t>IV de l’annexe à la résolution 5/1 du Conseil des droits de l’homme en date du 18 juin 2007 et de la section III de l’annexe à la</w:t>
      </w:r>
      <w:r w:rsidR="00140DE8">
        <w:rPr>
          <w:rFonts w:eastAsia="MS Mincho"/>
        </w:rPr>
        <w:t> </w:t>
      </w:r>
      <w:r w:rsidRPr="00AD5789">
        <w:rPr>
          <w:rFonts w:eastAsia="MS Mincho"/>
        </w:rPr>
        <w:t>résolution 16/21 du Conseil en date du 25 mars 2011:</w:t>
      </w:r>
    </w:p>
    <w:p w:rsidR="008A600E" w:rsidRPr="00AD5789" w:rsidRDefault="008A600E" w:rsidP="00841AEB">
      <w:pPr>
        <w:pStyle w:val="SingleTxtG"/>
        <w:ind w:left="1701"/>
      </w:pPr>
      <w:r w:rsidRPr="00AD5789">
        <w:rPr>
          <w:rFonts w:eastAsia="MS Mincho"/>
        </w:rPr>
        <w:t>a)</w:t>
      </w:r>
      <w:r w:rsidRPr="00AD5789">
        <w:rPr>
          <w:rFonts w:eastAsia="MS Mincho"/>
        </w:rPr>
        <w:tab/>
      </w:r>
      <w:r w:rsidRPr="00AD5789">
        <w:t>Examen des méthodes de travail;</w:t>
      </w:r>
    </w:p>
    <w:p w:rsidR="008A600E" w:rsidRDefault="008A600E" w:rsidP="00841AEB">
      <w:pPr>
        <w:pStyle w:val="SingleTxtG"/>
        <w:ind w:left="1701"/>
        <w:rPr>
          <w:spacing w:val="-2"/>
        </w:rPr>
      </w:pPr>
      <w:r w:rsidRPr="00AD5789">
        <w:t>b)</w:t>
      </w:r>
      <w:r w:rsidRPr="00AD5789">
        <w:tab/>
      </w:r>
      <w:r w:rsidRPr="00AD5789">
        <w:rPr>
          <w:spacing w:val="-2"/>
        </w:rPr>
        <w:t>Ordre du jour et programme de travail annuel, y compris les nouvelles priorités;</w:t>
      </w:r>
    </w:p>
    <w:p w:rsidR="008A600E" w:rsidRPr="00AD5789" w:rsidRDefault="008A600E" w:rsidP="00841AEB">
      <w:pPr>
        <w:pStyle w:val="SingleTxtG"/>
        <w:ind w:left="1701"/>
        <w:rPr>
          <w:spacing w:val="-2"/>
        </w:rPr>
      </w:pPr>
      <w:r>
        <w:rPr>
          <w:spacing w:val="-2"/>
        </w:rPr>
        <w:t>c)</w:t>
      </w:r>
      <w:r>
        <w:rPr>
          <w:spacing w:val="-2"/>
        </w:rPr>
        <w:tab/>
        <w:t>Nomination de membres du Groupe de travail sur les communications.</w:t>
      </w:r>
    </w:p>
    <w:p w:rsidR="008A600E" w:rsidRDefault="008A600E" w:rsidP="00841AEB">
      <w:pPr>
        <w:pStyle w:val="SingleTxtG"/>
        <w:ind w:left="1701" w:hanging="567"/>
        <w:rPr>
          <w:rFonts w:eastAsia="MS Mincho"/>
        </w:rPr>
      </w:pPr>
      <w:r>
        <w:rPr>
          <w:rFonts w:eastAsia="MS Mincho"/>
        </w:rPr>
        <w:t>4</w:t>
      </w:r>
      <w:r w:rsidRPr="00AD5789">
        <w:rPr>
          <w:rFonts w:eastAsia="MS Mincho"/>
        </w:rPr>
        <w:t>.</w:t>
      </w:r>
      <w:r w:rsidRPr="00AD5789">
        <w:rPr>
          <w:rFonts w:eastAsia="MS Mincho"/>
        </w:rPr>
        <w:tab/>
      </w:r>
      <w:r w:rsidRPr="00AD5789">
        <w:t>Rapport du Comité consultatif sur sa qu</w:t>
      </w:r>
      <w:r>
        <w:t>in</w:t>
      </w:r>
      <w:r w:rsidRPr="00AD5789">
        <w:t>zième session</w:t>
      </w:r>
      <w:r w:rsidRPr="00AD5789">
        <w:rPr>
          <w:rFonts w:eastAsia="MS Mincho"/>
        </w:rPr>
        <w:t>.</w:t>
      </w:r>
    </w:p>
    <w:p w:rsidR="00552797" w:rsidRPr="00841AEB" w:rsidRDefault="00841AEB" w:rsidP="00841AE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841AEB" w:rsidSect="008A60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F3" w:rsidRPr="00EF7F30" w:rsidRDefault="00751DF3" w:rsidP="00EF7F30">
      <w:pPr>
        <w:pStyle w:val="Pieddepage"/>
      </w:pPr>
    </w:p>
  </w:endnote>
  <w:endnote w:type="continuationSeparator" w:id="0">
    <w:p w:rsidR="00751DF3" w:rsidRPr="00EF7F30" w:rsidRDefault="00751DF3" w:rsidP="00EF7F30">
      <w:pPr>
        <w:pStyle w:val="Pieddepage"/>
      </w:pPr>
    </w:p>
  </w:endnote>
  <w:endnote w:type="continuationNotice" w:id="1">
    <w:p w:rsidR="00751DF3" w:rsidRDefault="00751D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E" w:rsidRPr="008A600E" w:rsidRDefault="008A600E" w:rsidP="008A600E">
    <w:pPr>
      <w:pStyle w:val="Pieddepage"/>
      <w:tabs>
        <w:tab w:val="right" w:pos="9638"/>
      </w:tabs>
    </w:pPr>
    <w:r w:rsidRPr="008A600E">
      <w:rPr>
        <w:b/>
        <w:sz w:val="18"/>
      </w:rPr>
      <w:fldChar w:fldCharType="begin"/>
    </w:r>
    <w:r w:rsidRPr="008A600E">
      <w:rPr>
        <w:b/>
        <w:sz w:val="18"/>
      </w:rPr>
      <w:instrText xml:space="preserve"> PAGE  \* MERGEFORMAT </w:instrText>
    </w:r>
    <w:r w:rsidRPr="008A600E">
      <w:rPr>
        <w:b/>
        <w:sz w:val="18"/>
      </w:rPr>
      <w:fldChar w:fldCharType="separate"/>
    </w:r>
    <w:r w:rsidR="00E749CF">
      <w:rPr>
        <w:b/>
        <w:noProof/>
        <w:sz w:val="18"/>
      </w:rPr>
      <w:t>2</w:t>
    </w:r>
    <w:r w:rsidRPr="008A600E">
      <w:rPr>
        <w:b/>
        <w:sz w:val="18"/>
      </w:rPr>
      <w:fldChar w:fldCharType="end"/>
    </w:r>
    <w:r>
      <w:rPr>
        <w:b/>
        <w:sz w:val="18"/>
      </w:rPr>
      <w:tab/>
    </w:r>
    <w:r>
      <w:t>GE.15-10564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E" w:rsidRPr="008A600E" w:rsidRDefault="008A600E" w:rsidP="008A600E">
    <w:pPr>
      <w:pStyle w:val="Pieddepage"/>
      <w:tabs>
        <w:tab w:val="right" w:pos="9638"/>
      </w:tabs>
      <w:rPr>
        <w:b/>
        <w:sz w:val="18"/>
      </w:rPr>
    </w:pPr>
    <w:r>
      <w:t>GE.15-10564</w:t>
    </w:r>
    <w:r>
      <w:tab/>
    </w:r>
    <w:r w:rsidRPr="008A600E">
      <w:rPr>
        <w:b/>
        <w:sz w:val="18"/>
      </w:rPr>
      <w:fldChar w:fldCharType="begin"/>
    </w:r>
    <w:r w:rsidRPr="008A600E">
      <w:rPr>
        <w:b/>
        <w:sz w:val="18"/>
      </w:rPr>
      <w:instrText xml:space="preserve"> PAGE  \* MERGEFORMAT </w:instrText>
    </w:r>
    <w:r w:rsidRPr="008A600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A60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8A600E" w:rsidRDefault="008A600E" w:rsidP="008A600E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42B5CBE8" wp14:editId="535C48B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15-10564  (F)    010615    010615</w:t>
    </w:r>
    <w:r>
      <w:rPr>
        <w:sz w:val="20"/>
      </w:rPr>
      <w:br/>
    </w:r>
    <w:r w:rsidRPr="008A600E">
      <w:rPr>
        <w:rFonts w:ascii="C39T30Lfz" w:hAnsi="C39T30Lfz"/>
        <w:sz w:val="56"/>
      </w:rPr>
      <w:t></w:t>
    </w:r>
    <w:r w:rsidRPr="008A600E">
      <w:rPr>
        <w:rFonts w:ascii="C39T30Lfz" w:hAnsi="C39T30Lfz"/>
        <w:sz w:val="56"/>
      </w:rPr>
      <w:t></w:t>
    </w:r>
    <w:r w:rsidRPr="008A600E">
      <w:rPr>
        <w:rFonts w:ascii="C39T30Lfz" w:hAnsi="C39T30Lfz"/>
        <w:sz w:val="56"/>
      </w:rPr>
      <w:t></w:t>
    </w:r>
    <w:r w:rsidRPr="008A600E">
      <w:rPr>
        <w:rFonts w:ascii="C39T30Lfz" w:hAnsi="C39T30Lfz"/>
        <w:sz w:val="56"/>
      </w:rPr>
      <w:t></w:t>
    </w:r>
    <w:r w:rsidRPr="008A600E">
      <w:rPr>
        <w:rFonts w:ascii="C39T30Lfz" w:hAnsi="C39T30Lfz"/>
        <w:sz w:val="56"/>
      </w:rPr>
      <w:t></w:t>
    </w:r>
    <w:r w:rsidRPr="008A600E">
      <w:rPr>
        <w:rFonts w:ascii="C39T30Lfz" w:hAnsi="C39T30Lfz"/>
        <w:sz w:val="56"/>
      </w:rPr>
      <w:t></w:t>
    </w:r>
    <w:r w:rsidRPr="008A600E">
      <w:rPr>
        <w:rFonts w:ascii="C39T30Lfz" w:hAnsi="C39T30Lfz"/>
        <w:sz w:val="56"/>
      </w:rPr>
      <w:t></w:t>
    </w:r>
    <w:r w:rsidRPr="008A600E">
      <w:rPr>
        <w:rFonts w:ascii="C39T30Lfz" w:hAnsi="C39T30Lfz"/>
        <w:sz w:val="56"/>
      </w:rPr>
      <w:t></w:t>
    </w:r>
    <w:r w:rsidRPr="008A600E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AC/15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AC/15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F3" w:rsidRPr="00EF7F30" w:rsidRDefault="00751DF3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751DF3" w:rsidRPr="00EF7F30" w:rsidRDefault="00751DF3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751DF3" w:rsidRPr="000F2457" w:rsidRDefault="00751DF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E" w:rsidRPr="008A600E" w:rsidRDefault="008A600E">
    <w:pPr>
      <w:pStyle w:val="En-tte"/>
    </w:pPr>
    <w:r>
      <w:t>A/HRC/AC/15/1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E" w:rsidRPr="008A600E" w:rsidRDefault="008A600E" w:rsidP="008A600E">
    <w:pPr>
      <w:pStyle w:val="En-tte"/>
      <w:jc w:val="right"/>
    </w:pPr>
    <w:r>
      <w:t>A/HRC/AC/15/1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F3"/>
    <w:rsid w:val="00023842"/>
    <w:rsid w:val="0007796D"/>
    <w:rsid w:val="000E5ADA"/>
    <w:rsid w:val="000F2457"/>
    <w:rsid w:val="00111F2F"/>
    <w:rsid w:val="00140DE8"/>
    <w:rsid w:val="0014365E"/>
    <w:rsid w:val="00176178"/>
    <w:rsid w:val="001F525A"/>
    <w:rsid w:val="00212168"/>
    <w:rsid w:val="00260711"/>
    <w:rsid w:val="002E0D9C"/>
    <w:rsid w:val="003547BE"/>
    <w:rsid w:val="00391D82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6F6204"/>
    <w:rsid w:val="00710BD6"/>
    <w:rsid w:val="0071601D"/>
    <w:rsid w:val="00721020"/>
    <w:rsid w:val="00731589"/>
    <w:rsid w:val="00751DF3"/>
    <w:rsid w:val="0080684C"/>
    <w:rsid w:val="00841AEB"/>
    <w:rsid w:val="00871C75"/>
    <w:rsid w:val="008776DC"/>
    <w:rsid w:val="008A600E"/>
    <w:rsid w:val="0094352E"/>
    <w:rsid w:val="00962015"/>
    <w:rsid w:val="009705C8"/>
    <w:rsid w:val="00985824"/>
    <w:rsid w:val="009A47AB"/>
    <w:rsid w:val="00A12E20"/>
    <w:rsid w:val="00AE323C"/>
    <w:rsid w:val="00B16AAF"/>
    <w:rsid w:val="00B22A9E"/>
    <w:rsid w:val="00B24C75"/>
    <w:rsid w:val="00B528BF"/>
    <w:rsid w:val="00B864C0"/>
    <w:rsid w:val="00C02897"/>
    <w:rsid w:val="00C12613"/>
    <w:rsid w:val="00D45432"/>
    <w:rsid w:val="00DB1831"/>
    <w:rsid w:val="00DD3BFD"/>
    <w:rsid w:val="00DF4491"/>
    <w:rsid w:val="00E228A8"/>
    <w:rsid w:val="00E749CF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30CED-AECB-47D6-8F7C-658600DBF5F6}"/>
</file>

<file path=customXml/itemProps2.xml><?xml version="1.0" encoding="utf-8"?>
<ds:datastoreItem xmlns:ds="http://schemas.openxmlformats.org/officeDocument/2006/customXml" ds:itemID="{88B38F03-CD5F-42F7-8C4E-3E0FAB00C881}"/>
</file>

<file path=customXml/itemProps3.xml><?xml version="1.0" encoding="utf-8"?>
<ds:datastoreItem xmlns:ds="http://schemas.openxmlformats.org/officeDocument/2006/customXml" ds:itemID="{75245F79-8BA5-499A-B20A-A4F205A2E256}"/>
</file>

<file path=customXml/itemProps4.xml><?xml version="1.0" encoding="utf-8"?>
<ds:datastoreItem xmlns:ds="http://schemas.openxmlformats.org/officeDocument/2006/customXml" ds:itemID="{545ED841-991A-4521-A96B-BF7DBCC01432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279</Words>
  <Characters>1469</Characters>
  <Application>Microsoft Office Word</Application>
  <DocSecurity>0</DocSecurity>
  <Lines>42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A/HRC/AC/15/1</dc:title>
  <dc:subject/>
  <dc:creator>Granet C.</dc:creator>
  <cp:keywords/>
  <dc:description/>
  <cp:lastModifiedBy>Bourion</cp:lastModifiedBy>
  <cp:revision>3</cp:revision>
  <cp:lastPrinted>2015-06-02T07:41:00Z</cp:lastPrinted>
  <dcterms:created xsi:type="dcterms:W3CDTF">2015-06-02T07:41:00Z</dcterms:created>
  <dcterms:modified xsi:type="dcterms:W3CDTF">2015-06-02T07:41:00Z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2957100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