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50AB0">
        <w:trPr>
          <w:trHeight w:hRule="exact" w:val="851"/>
        </w:trPr>
        <w:tc>
          <w:tcPr>
            <w:tcW w:w="1276" w:type="dxa"/>
            <w:tcBorders>
              <w:bottom w:val="single" w:sz="4" w:space="0" w:color="auto"/>
            </w:tcBorders>
          </w:tcPr>
          <w:p w:rsidR="00A12E20" w:rsidRPr="00DB58B5" w:rsidRDefault="00A12E20" w:rsidP="0064563E">
            <w:bookmarkStart w:id="0" w:name="_GoBack"/>
            <w:bookmarkEnd w:id="0"/>
          </w:p>
        </w:tc>
        <w:tc>
          <w:tcPr>
            <w:tcW w:w="2268" w:type="dxa"/>
            <w:tcBorders>
              <w:bottom w:val="single" w:sz="4" w:space="0" w:color="auto"/>
            </w:tcBorders>
            <w:vAlign w:val="bottom"/>
          </w:tcPr>
          <w:p w:rsidR="00A12E20" w:rsidRPr="00DB58B5" w:rsidRDefault="00A12E20" w:rsidP="00F50AB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64563E" w:rsidP="0064563E">
            <w:pPr>
              <w:jc w:val="right"/>
            </w:pPr>
            <w:r w:rsidRPr="0064563E">
              <w:rPr>
                <w:sz w:val="40"/>
              </w:rPr>
              <w:t>A</w:t>
            </w:r>
            <w:r>
              <w:t>/HRC/RES/39/9</w:t>
            </w:r>
          </w:p>
        </w:tc>
      </w:tr>
      <w:tr w:rsidR="00A12E20" w:rsidRPr="00DB58B5" w:rsidTr="00BF3D16">
        <w:trPr>
          <w:trHeight w:val="2882"/>
        </w:trPr>
        <w:tc>
          <w:tcPr>
            <w:tcW w:w="1276" w:type="dxa"/>
            <w:tcBorders>
              <w:top w:val="single" w:sz="4" w:space="0" w:color="auto"/>
              <w:bottom w:val="single" w:sz="12" w:space="0" w:color="auto"/>
            </w:tcBorders>
          </w:tcPr>
          <w:p w:rsidR="00A12E20" w:rsidRPr="00DB58B5" w:rsidRDefault="00A12E20" w:rsidP="00F50AB0">
            <w:pPr>
              <w:spacing w:before="120"/>
              <w:jc w:val="center"/>
            </w:pPr>
            <w:r>
              <w:rPr>
                <w:noProof/>
                <w:lang w:val="en-GB" w:eastAsia="en-GB"/>
              </w:rPr>
              <w:drawing>
                <wp:inline distT="0" distB="0" distL="0" distR="0" wp14:anchorId="16F80CF9" wp14:editId="451669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50AB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64563E" w:rsidP="00F50AB0">
            <w:pPr>
              <w:spacing w:before="240"/>
            </w:pPr>
            <w:r>
              <w:t>Distr. générale</w:t>
            </w:r>
          </w:p>
          <w:p w:rsidR="0064563E" w:rsidRDefault="0064563E" w:rsidP="0064563E">
            <w:pPr>
              <w:spacing w:line="240" w:lineRule="exact"/>
            </w:pPr>
            <w:r>
              <w:t>5 octobre 2018</w:t>
            </w:r>
          </w:p>
          <w:p w:rsidR="0064563E" w:rsidRDefault="0064563E" w:rsidP="0064563E">
            <w:pPr>
              <w:spacing w:line="240" w:lineRule="exact"/>
            </w:pPr>
            <w:r>
              <w:t>Français</w:t>
            </w:r>
          </w:p>
          <w:p w:rsidR="0064563E" w:rsidRPr="00DB58B5" w:rsidRDefault="0064563E" w:rsidP="0064563E">
            <w:pPr>
              <w:spacing w:line="240" w:lineRule="exact"/>
            </w:pPr>
            <w:r>
              <w:t>Original : anglais</w:t>
            </w:r>
          </w:p>
        </w:tc>
      </w:tr>
    </w:tbl>
    <w:p w:rsidR="0064563E" w:rsidRPr="00EB0FEE" w:rsidRDefault="0064563E" w:rsidP="0064563E">
      <w:pPr>
        <w:spacing w:before="120"/>
        <w:rPr>
          <w:b/>
          <w:sz w:val="24"/>
          <w:szCs w:val="24"/>
        </w:rPr>
      </w:pPr>
      <w:r w:rsidRPr="00EB0FEE">
        <w:rPr>
          <w:b/>
          <w:sz w:val="24"/>
          <w:szCs w:val="24"/>
        </w:rPr>
        <w:t>Conseil des droits de l’homme</w:t>
      </w:r>
    </w:p>
    <w:p w:rsidR="0064563E" w:rsidRPr="00B00F55" w:rsidRDefault="0064563E" w:rsidP="0064563E">
      <w:pPr>
        <w:rPr>
          <w:b/>
        </w:rPr>
      </w:pPr>
      <w:r w:rsidRPr="00B00F55">
        <w:rPr>
          <w:b/>
        </w:rPr>
        <w:t>Trente-</w:t>
      </w:r>
      <w:r>
        <w:rPr>
          <w:b/>
        </w:rPr>
        <w:t>neuvième</w:t>
      </w:r>
      <w:r w:rsidRPr="00B00F55">
        <w:rPr>
          <w:b/>
        </w:rPr>
        <w:t xml:space="preserve"> session</w:t>
      </w:r>
    </w:p>
    <w:p w:rsidR="0064563E" w:rsidRPr="00B00F55" w:rsidRDefault="0064563E" w:rsidP="0064563E">
      <w:r w:rsidRPr="00B00F55">
        <w:t>1</w:t>
      </w:r>
      <w:r>
        <w:t>0</w:t>
      </w:r>
      <w:r w:rsidRPr="00B00F55">
        <w:t>-2</w:t>
      </w:r>
      <w:r>
        <w:t>8 </w:t>
      </w:r>
      <w:r w:rsidRPr="00B00F55">
        <w:t>septembre 201</w:t>
      </w:r>
      <w:r>
        <w:t>8</w:t>
      </w:r>
    </w:p>
    <w:p w:rsidR="0064563E" w:rsidRDefault="0064563E" w:rsidP="0064563E">
      <w:r w:rsidRPr="00B00F55">
        <w:t>Point 3 de l</w:t>
      </w:r>
      <w:r>
        <w:t>’</w:t>
      </w:r>
      <w:r w:rsidRPr="00B00F55">
        <w:t>ordre du jour</w:t>
      </w:r>
    </w:p>
    <w:p w:rsidR="0064563E" w:rsidRDefault="0064563E" w:rsidP="00EB0FEE">
      <w:pPr>
        <w:pStyle w:val="HChG"/>
      </w:pPr>
      <w:r>
        <w:lastRenderedPageBreak/>
        <w:tab/>
      </w:r>
      <w:r>
        <w:tab/>
        <w:t xml:space="preserve">Résolution adoptée par le Conseil des droits de l’homme </w:t>
      </w:r>
      <w:r w:rsidR="00EB0FEE">
        <w:br/>
      </w:r>
      <w:r>
        <w:t xml:space="preserve">le 27 septembre 2018 </w:t>
      </w:r>
    </w:p>
    <w:p w:rsidR="0064563E" w:rsidRPr="00B00F55" w:rsidRDefault="00EB0FEE" w:rsidP="00EB0FEE">
      <w:pPr>
        <w:pStyle w:val="H1G"/>
      </w:pPr>
      <w:r>
        <w:tab/>
      </w:r>
      <w:r w:rsidR="0064563E" w:rsidRPr="00B00F55">
        <w:t>3</w:t>
      </w:r>
      <w:r w:rsidR="0064563E">
        <w:t>9</w:t>
      </w:r>
      <w:r w:rsidR="0064563E" w:rsidRPr="00B00F55">
        <w:t>/</w:t>
      </w:r>
      <w:r w:rsidR="0064563E">
        <w:t>9.</w:t>
      </w:r>
      <w:r w:rsidR="0064563E" w:rsidRPr="00B00F55">
        <w:tab/>
        <w:t xml:space="preserve">Droit au </w:t>
      </w:r>
      <w:r w:rsidR="0064563E" w:rsidRPr="00E85331">
        <w:t>développement</w:t>
      </w:r>
    </w:p>
    <w:p w:rsidR="0064563E" w:rsidRPr="00B00F55" w:rsidRDefault="0064563E" w:rsidP="0064563E">
      <w:pPr>
        <w:pStyle w:val="SingleTxtG"/>
        <w:ind w:firstLine="567"/>
      </w:pPr>
      <w:r w:rsidRPr="00174B44">
        <w:rPr>
          <w:i/>
        </w:rPr>
        <w:t>Le Conseil des droits de l</w:t>
      </w:r>
      <w:r>
        <w:rPr>
          <w:i/>
        </w:rPr>
        <w:t>’</w:t>
      </w:r>
      <w:r w:rsidRPr="00174B44">
        <w:rPr>
          <w:i/>
        </w:rPr>
        <w:t>homme</w:t>
      </w:r>
      <w:r w:rsidRPr="00B00F55">
        <w:t>,</w:t>
      </w:r>
    </w:p>
    <w:p w:rsidR="0064563E" w:rsidRPr="00B00F55" w:rsidRDefault="0064563E" w:rsidP="0064563E">
      <w:pPr>
        <w:pStyle w:val="SingleTxtG"/>
        <w:ind w:firstLine="567"/>
      </w:pPr>
      <w:r w:rsidRPr="00B00F55">
        <w:rPr>
          <w:i/>
        </w:rPr>
        <w:t>Rappelant</w:t>
      </w:r>
      <w:r w:rsidRPr="00B00F55">
        <w:t xml:space="preserve"> la Charte des Nations Unies et les instruments de base relatifs aux droits de l</w:t>
      </w:r>
      <w:r>
        <w:t>’</w:t>
      </w:r>
      <w:r w:rsidRPr="00B00F55">
        <w:t xml:space="preserve">homme, </w:t>
      </w:r>
    </w:p>
    <w:p w:rsidR="0064563E" w:rsidRPr="00B00F55" w:rsidRDefault="0064563E" w:rsidP="0064563E">
      <w:pPr>
        <w:pStyle w:val="SingleTxtG"/>
        <w:ind w:firstLine="567"/>
      </w:pPr>
      <w:r w:rsidRPr="00B00F55">
        <w:rPr>
          <w:i/>
        </w:rPr>
        <w:t>Réaffirmant</w:t>
      </w:r>
      <w:r w:rsidRPr="00B00F55">
        <w:t xml:space="preserve"> la Déclaration sur le droit au développement adoptée par l</w:t>
      </w:r>
      <w:r>
        <w:t>’</w:t>
      </w:r>
      <w:r w:rsidRPr="00B00F55">
        <w:t>Assemb</w:t>
      </w:r>
      <w:r w:rsidR="00F476D2">
        <w:t xml:space="preserve">lée générale dans sa résolution </w:t>
      </w:r>
      <w:r w:rsidRPr="00B00F55">
        <w:t>41/128 du 4 décembre 1986,</w:t>
      </w:r>
    </w:p>
    <w:p w:rsidR="0064563E" w:rsidRPr="00B00F55" w:rsidRDefault="0064563E" w:rsidP="0064563E">
      <w:pPr>
        <w:pStyle w:val="SingleTxtG"/>
        <w:ind w:firstLine="567"/>
      </w:pPr>
      <w:r>
        <w:rPr>
          <w:i/>
        </w:rPr>
        <w:lastRenderedPageBreak/>
        <w:t>Rappelant</w:t>
      </w:r>
      <w:r w:rsidRPr="00B00F55">
        <w:t xml:space="preserve"> la Déclaration et le Programme d</w:t>
      </w:r>
      <w:r>
        <w:t>’</w:t>
      </w:r>
      <w:r w:rsidRPr="00B00F55">
        <w:t>action de Vienne qui réaffirment que le droit au développement est un droit universel et inaliénable et fait partie intégrante des droits de l</w:t>
      </w:r>
      <w:r>
        <w:t>’</w:t>
      </w:r>
      <w:r w:rsidRPr="00B00F55">
        <w:t>homme,</w:t>
      </w:r>
    </w:p>
    <w:p w:rsidR="0064563E" w:rsidRPr="00B00F55" w:rsidRDefault="0064563E" w:rsidP="0064563E">
      <w:pPr>
        <w:pStyle w:val="SingleTxtG"/>
        <w:ind w:firstLine="567"/>
      </w:pPr>
      <w:r w:rsidRPr="00B00F55">
        <w:rPr>
          <w:i/>
        </w:rPr>
        <w:t>Réaffirmant</w:t>
      </w:r>
      <w:r w:rsidR="00F476D2">
        <w:t xml:space="preserve"> ses résolutions </w:t>
      </w:r>
      <w:r w:rsidRPr="00B00F55">
        <w:t>4/4 du 30 mars 2007 et 9/3 du 17 septembre 2008, et rappelant toutes les résolutions du Conseil et de l</w:t>
      </w:r>
      <w:r>
        <w:t>’</w:t>
      </w:r>
      <w:r w:rsidRPr="00B00F55">
        <w:t>Assemblée générale sur le droit au développement, dont les p</w:t>
      </w:r>
      <w:r w:rsidR="00F476D2">
        <w:t xml:space="preserve">lus récentes sont la résolution </w:t>
      </w:r>
      <w:r>
        <w:t>36/9</w:t>
      </w:r>
      <w:r w:rsidRPr="00B00F55">
        <w:t xml:space="preserve"> du Conseil du </w:t>
      </w:r>
      <w:r>
        <w:t>28 </w:t>
      </w:r>
      <w:r w:rsidR="00F476D2">
        <w:t xml:space="preserve">septembre 2017 et la résolution </w:t>
      </w:r>
      <w:r>
        <w:t xml:space="preserve">72/167 </w:t>
      </w:r>
      <w:r w:rsidRPr="00B00F55">
        <w:t>de l</w:t>
      </w:r>
      <w:r>
        <w:t>’</w:t>
      </w:r>
      <w:r w:rsidRPr="00B00F55">
        <w:t xml:space="preserve">Assemblée générale du </w:t>
      </w:r>
      <w:r>
        <w:t>19 décembre 2017</w:t>
      </w:r>
      <w:r w:rsidRPr="00B00F55">
        <w:t>,</w:t>
      </w:r>
    </w:p>
    <w:p w:rsidR="0064563E" w:rsidRPr="00B00F55" w:rsidRDefault="0064563E" w:rsidP="0064563E">
      <w:pPr>
        <w:pStyle w:val="SingleTxtG"/>
        <w:ind w:firstLine="567"/>
      </w:pPr>
      <w:r w:rsidRPr="00B00F55">
        <w:rPr>
          <w:i/>
        </w:rPr>
        <w:t>Rappelant</w:t>
      </w:r>
      <w:r w:rsidRPr="00B00F55">
        <w:t xml:space="preserve"> toutes les résolutions de la Commission des droits de l</w:t>
      </w:r>
      <w:r>
        <w:t>’</w:t>
      </w:r>
      <w:r w:rsidRPr="00B00F55">
        <w:t>homme sur le droit au développe</w:t>
      </w:r>
      <w:r w:rsidR="00F476D2">
        <w:t xml:space="preserve">ment, y compris </w:t>
      </w:r>
      <w:r w:rsidR="00F476D2">
        <w:lastRenderedPageBreak/>
        <w:t xml:space="preserve">les résolutions </w:t>
      </w:r>
      <w:r w:rsidRPr="00B00F55">
        <w:t>1998/72 du 22 avril 1998 et 2004/7 du 13 avril 2004, en faveur de la réalisation de ce droit,</w:t>
      </w:r>
    </w:p>
    <w:p w:rsidR="0064563E" w:rsidRPr="00B00F55" w:rsidRDefault="0064563E" w:rsidP="0064563E">
      <w:pPr>
        <w:pStyle w:val="SingleTxtG"/>
        <w:ind w:firstLine="567"/>
      </w:pPr>
      <w:r w:rsidRPr="00B00F55">
        <w:rPr>
          <w:i/>
        </w:rPr>
        <w:t xml:space="preserve">Prenant acte </w:t>
      </w:r>
      <w:r w:rsidRPr="00B00F55">
        <w:t>du dix-septième Sommet des chefs d</w:t>
      </w:r>
      <w:r>
        <w:t>’</w:t>
      </w:r>
      <w:r w:rsidRPr="00B00F55">
        <w:t>État et de gouvernement des pays non alignés, tenu sur l</w:t>
      </w:r>
      <w:r>
        <w:t>’</w:t>
      </w:r>
      <w:r w:rsidRPr="00B00F55">
        <w:t>île de Margarita (République bolivarienne du Venezuela) les 17 et 18 septembre 2016, et rappelant les précédentes réunions au sommet et conférences à l</w:t>
      </w:r>
      <w:r>
        <w:t>’</w:t>
      </w:r>
      <w:r w:rsidRPr="00B00F55">
        <w:t>occasion desquelles les États membres du Mouvement des pays non alignés ont souligné qu</w:t>
      </w:r>
      <w:r>
        <w:t>’</w:t>
      </w:r>
      <w:r w:rsidRPr="00B00F55">
        <w:t>il fallait en priorité concrétiser le droit au développement, notamment en élaborant un</w:t>
      </w:r>
      <w:r>
        <w:t xml:space="preserve"> </w:t>
      </w:r>
      <w:r w:rsidRPr="00B00F55">
        <w:t xml:space="preserve"> </w:t>
      </w:r>
      <w:r>
        <w:t>instrument juridiquement contraignant</w:t>
      </w:r>
      <w:r w:rsidRPr="00B00F55">
        <w:t xml:space="preserve"> sur le droit au développement par le biais des </w:t>
      </w:r>
      <w:r w:rsidRPr="00B00F55">
        <w:lastRenderedPageBreak/>
        <w:t>mécanismes pertinents, en tenant compte des recommandations issues des initiatives menées dans ce domaine,</w:t>
      </w:r>
    </w:p>
    <w:p w:rsidR="0064563E" w:rsidRPr="00B00F55" w:rsidRDefault="0064563E" w:rsidP="0064563E">
      <w:pPr>
        <w:pStyle w:val="SingleTxtG"/>
        <w:ind w:firstLine="567"/>
      </w:pPr>
      <w:r w:rsidRPr="00B00F55">
        <w:rPr>
          <w:i/>
        </w:rPr>
        <w:t>Insistant</w:t>
      </w:r>
      <w:r w:rsidRPr="00B00F55">
        <w:t xml:space="preserve"> sur la nécessité de faire d</w:t>
      </w:r>
      <w:r>
        <w:t>’</w:t>
      </w:r>
      <w:r w:rsidRPr="00B00F55">
        <w:t>urgence du droit au développement une réalité pour tous,</w:t>
      </w:r>
    </w:p>
    <w:p w:rsidR="0064563E" w:rsidRPr="00B00F55" w:rsidRDefault="0064563E" w:rsidP="0064563E">
      <w:pPr>
        <w:pStyle w:val="SingleTxtG"/>
        <w:ind w:firstLine="567"/>
      </w:pPr>
      <w:r w:rsidRPr="00B00F55">
        <w:rPr>
          <w:i/>
        </w:rPr>
        <w:t xml:space="preserve">Insistant également </w:t>
      </w:r>
      <w:r w:rsidRPr="00B00F55">
        <w:t>sur le fait qu</w:t>
      </w:r>
      <w:r>
        <w:t>’</w:t>
      </w:r>
      <w:r w:rsidRPr="00B00F55">
        <w:t>il n</w:t>
      </w:r>
      <w:r>
        <w:t>’</w:t>
      </w:r>
      <w:r w:rsidRPr="00B00F55">
        <w:t>est possible de jouir des droits de l</w:t>
      </w:r>
      <w:r>
        <w:t>’</w:t>
      </w:r>
      <w:r w:rsidRPr="00B00F55">
        <w:t>homme et des libertés fondamentales, y compris du droit au développement, que s</w:t>
      </w:r>
      <w:r>
        <w:t>’</w:t>
      </w:r>
      <w:r w:rsidRPr="00B00F55">
        <w:t>il existe un cadre de collaboration ouvert à tous, aux niveaux international, régional et national, et, à cet égard, soulignant combien il est important d</w:t>
      </w:r>
      <w:r>
        <w:t>’</w:t>
      </w:r>
      <w:r w:rsidRPr="00B00F55">
        <w:t xml:space="preserve">engager le système des Nations Unies, notamment ses institutions spécialisées, fonds et programmes, dans le cadre de leurs mandats respectifs, les </w:t>
      </w:r>
      <w:r w:rsidRPr="00B00F55">
        <w:lastRenderedPageBreak/>
        <w:t>organisations</w:t>
      </w:r>
      <w:r>
        <w:t xml:space="preserve"> internationales compétentes, y </w:t>
      </w:r>
      <w:r w:rsidRPr="00B00F55">
        <w:t>compris les organisations financières et commerciales, et les parties prenantes concernées, dont les organisations de la société civile, les spécialistes du développement, les experts des droits de l</w:t>
      </w:r>
      <w:r>
        <w:t>’</w:t>
      </w:r>
      <w:r w:rsidRPr="00B00F55">
        <w:t>homme et le public à tous les niveaux, dans un débat sur le droit au développement,</w:t>
      </w:r>
    </w:p>
    <w:p w:rsidR="0064563E" w:rsidRPr="00B00F55" w:rsidRDefault="0064563E" w:rsidP="0064563E">
      <w:pPr>
        <w:pStyle w:val="SingleTxtG"/>
        <w:ind w:firstLine="567"/>
      </w:pPr>
      <w:r w:rsidRPr="00B00F55">
        <w:rPr>
          <w:i/>
        </w:rPr>
        <w:t>Soulignant</w:t>
      </w:r>
      <w:r w:rsidRPr="00B00F55">
        <w:t xml:space="preserve"> que la responsabilité de la gestion des questions économiques et sociales mondiales et de la réponse aux menaces qui pèsent sur la paix et la sécurité internationales doit être partagée entre toutes les nations du monde et devrait être exercée dans un cadre multilatéral, et que l</w:t>
      </w:r>
      <w:r>
        <w:t>’</w:t>
      </w:r>
      <w:r w:rsidRPr="00B00F55">
        <w:t xml:space="preserve">Organisation </w:t>
      </w:r>
      <w:r w:rsidRPr="00B00F55">
        <w:lastRenderedPageBreak/>
        <w:t>des Nations Unies, organisation la plus universelle et la plus représentative du monde, a un rôle central à jouer à cet égard,</w:t>
      </w:r>
    </w:p>
    <w:p w:rsidR="0064563E" w:rsidRPr="00B00F55" w:rsidRDefault="0064563E" w:rsidP="0064563E">
      <w:pPr>
        <w:pStyle w:val="SingleTxtG"/>
        <w:ind w:firstLine="567"/>
      </w:pPr>
      <w:r w:rsidRPr="00B00F55">
        <w:rPr>
          <w:i/>
        </w:rPr>
        <w:t>Saluant</w:t>
      </w:r>
      <w:r w:rsidRPr="00B00F55">
        <w:t xml:space="preserve"> l</w:t>
      </w:r>
      <w:r>
        <w:t>’</w:t>
      </w:r>
      <w:r w:rsidRPr="00B00F55">
        <w:t>adoption du Programme de développement durable à l</w:t>
      </w:r>
      <w:r>
        <w:t>’</w:t>
      </w:r>
      <w:r w:rsidRPr="00B00F55">
        <w:t>horizon 2030</w:t>
      </w:r>
      <w:r>
        <w:t xml:space="preserve"> et de ses moyens d’exécution</w:t>
      </w:r>
      <w:r w:rsidRPr="00B00F55">
        <w:t>, et soulignant que le Programme 2030 est inspiré par la Déclaration sur le droit au développement et que le droit au développement permet d</w:t>
      </w:r>
      <w:r>
        <w:t>’</w:t>
      </w:r>
      <w:r w:rsidRPr="00B00F55">
        <w:t>instaurer un climat favorable, indispensable à la pleine réalisation des objectifs de développement durable,</w:t>
      </w:r>
    </w:p>
    <w:p w:rsidR="0064563E" w:rsidRPr="00B00F55" w:rsidRDefault="0064563E" w:rsidP="0064563E">
      <w:pPr>
        <w:pStyle w:val="SingleTxtG"/>
        <w:ind w:firstLine="567"/>
      </w:pPr>
      <w:r w:rsidRPr="00B00F55">
        <w:rPr>
          <w:i/>
        </w:rPr>
        <w:t xml:space="preserve">Considérant </w:t>
      </w:r>
      <w:r w:rsidRPr="00B00F55">
        <w:t>que la réalisation des objectifs de développement convenus sur le plan international, y</w:t>
      </w:r>
      <w:r>
        <w:t xml:space="preserve"> </w:t>
      </w:r>
      <w:r w:rsidRPr="00B00F55">
        <w:t xml:space="preserve">compris les objectifs du Millénaire pour le </w:t>
      </w:r>
      <w:r w:rsidRPr="00B00F55">
        <w:lastRenderedPageBreak/>
        <w:t>développement qui n</w:t>
      </w:r>
      <w:r>
        <w:t>’</w:t>
      </w:r>
      <w:r w:rsidRPr="00B00F55">
        <w:t xml:space="preserve">ont pas été atteints, les objectifs de développement durable et les objectifs liés aux changements climatiques, exige une cohérence et une coordination effectives des politiques, </w:t>
      </w:r>
    </w:p>
    <w:p w:rsidR="0064563E" w:rsidRDefault="0064563E" w:rsidP="0064563E">
      <w:pPr>
        <w:pStyle w:val="SingleTxtG"/>
        <w:ind w:firstLine="567"/>
      </w:pPr>
      <w:r w:rsidRPr="00B00F55">
        <w:rPr>
          <w:i/>
        </w:rPr>
        <w:t>Considérant également</w:t>
      </w:r>
      <w:r w:rsidRPr="00B00F55">
        <w:t xml:space="preserve"> que la faim et l</w:t>
      </w:r>
      <w:r>
        <w:t>’</w:t>
      </w:r>
      <w:r w:rsidRPr="00B00F55">
        <w:t xml:space="preserve">extrême pauvreté, dans toutes leurs formes et dimensions, sont les plus </w:t>
      </w:r>
      <w:r w:rsidRPr="00BF3D16">
        <w:t>graves</w:t>
      </w:r>
      <w:r w:rsidRPr="00B00F55">
        <w:t xml:space="preserve"> menaces qui pèsent sur le monde et que leur éradication exige un engagement collectif de la communauté internationale, et exhortant par conséquent la communauté internationale à œuvrer à la réalisation de cet objectif, conformément aux objectifs de développement durable,</w:t>
      </w:r>
    </w:p>
    <w:p w:rsidR="0064563E" w:rsidRDefault="0064563E" w:rsidP="0064563E">
      <w:pPr>
        <w:pStyle w:val="SingleTxtG"/>
        <w:ind w:firstLine="567"/>
      </w:pPr>
      <w:r w:rsidRPr="00B00F55">
        <w:rPr>
          <w:i/>
        </w:rPr>
        <w:lastRenderedPageBreak/>
        <w:t xml:space="preserve">Considérant </w:t>
      </w:r>
      <w:r>
        <w:rPr>
          <w:i/>
        </w:rPr>
        <w:t xml:space="preserve">en outre </w:t>
      </w:r>
      <w:r w:rsidRPr="00B00F55">
        <w:t>que</w:t>
      </w:r>
      <w:r>
        <w:t xml:space="preserve"> les inégalités, au niveau national et d’un pays à l’autre, sont un obstacle majeur à la réalisation du droit au développement,</w:t>
      </w:r>
    </w:p>
    <w:p w:rsidR="0064563E" w:rsidRPr="00B00F55" w:rsidRDefault="0064563E" w:rsidP="0064563E">
      <w:pPr>
        <w:pStyle w:val="SingleTxtG"/>
        <w:ind w:firstLine="567"/>
      </w:pPr>
      <w:r w:rsidRPr="00B00F55">
        <w:rPr>
          <w:i/>
        </w:rPr>
        <w:t xml:space="preserve">Considérant </w:t>
      </w:r>
      <w:r>
        <w:t xml:space="preserve">que </w:t>
      </w:r>
      <w:r w:rsidRPr="005C560B">
        <w:t>l</w:t>
      </w:r>
      <w:r>
        <w:t>’</w:t>
      </w:r>
      <w:r w:rsidRPr="005C560B">
        <w:t>élimination de la pauvreté sous toutes ses formes et dans toutes ses dimensions, y compris l</w:t>
      </w:r>
      <w:r>
        <w:t>’</w:t>
      </w:r>
      <w:r w:rsidRPr="005C560B">
        <w:t xml:space="preserve">extrême pauvreté, </w:t>
      </w:r>
      <w:r>
        <w:t xml:space="preserve">est un des aspects déterminants de la promotion et de la réalisation du droit au développement, qu’elle constitue </w:t>
      </w:r>
      <w:r w:rsidRPr="005C560B">
        <w:t>le plus grand défi auquel l</w:t>
      </w:r>
      <w:r>
        <w:t>’</w:t>
      </w:r>
      <w:r w:rsidRPr="005C560B">
        <w:t xml:space="preserve">humanité </w:t>
      </w:r>
      <w:r>
        <w:t>doit faire face et qu’il s’agi</w:t>
      </w:r>
      <w:r w:rsidRPr="005C560B">
        <w:t>t d</w:t>
      </w:r>
      <w:r>
        <w:t>’</w:t>
      </w:r>
      <w:r w:rsidRPr="005C560B">
        <w:t xml:space="preserve">une condition indispensable au développement durable, </w:t>
      </w:r>
      <w:r>
        <w:t xml:space="preserve">ce qui appelle une démarche multiforme et intégrée, et réaffirmant la nécessité de </w:t>
      </w:r>
      <w:r w:rsidRPr="005C560B">
        <w:t xml:space="preserve">réaliser le développement durable dans ses trois dimensions </w:t>
      </w:r>
      <w:r w:rsidR="00BF3D16">
        <w:t>−</w:t>
      </w:r>
      <w:r w:rsidRPr="005C560B">
        <w:t xml:space="preserve"> économique, sociale et </w:t>
      </w:r>
      <w:r w:rsidRPr="005C560B">
        <w:lastRenderedPageBreak/>
        <w:t xml:space="preserve">environnementale </w:t>
      </w:r>
      <w:r w:rsidR="00BF3D16">
        <w:t>−</w:t>
      </w:r>
      <w:r w:rsidRPr="005C560B">
        <w:t xml:space="preserve"> d</w:t>
      </w:r>
      <w:r>
        <w:t>’</w:t>
      </w:r>
      <w:r w:rsidRPr="005C560B">
        <w:t>une manière qui soit équilibrée et intégrée</w:t>
      </w:r>
      <w:r>
        <w:t xml:space="preserve">, </w:t>
      </w:r>
    </w:p>
    <w:p w:rsidR="0064563E" w:rsidRPr="00B00F55" w:rsidRDefault="0064563E" w:rsidP="0064563E">
      <w:pPr>
        <w:pStyle w:val="SingleTxtG"/>
        <w:ind w:firstLine="567"/>
      </w:pPr>
      <w:r w:rsidRPr="00B00F55">
        <w:rPr>
          <w:i/>
        </w:rPr>
        <w:t xml:space="preserve">Préoccupé </w:t>
      </w:r>
      <w:r w:rsidRPr="00B00F55">
        <w:t>par le nombre croissant</w:t>
      </w:r>
      <w:r>
        <w:t xml:space="preserve"> d’affaires dans lesquelles des </w:t>
      </w:r>
      <w:r w:rsidRPr="00B00F55">
        <w:t xml:space="preserve">sociétés transnationales et </w:t>
      </w:r>
      <w:r>
        <w:t>d’</w:t>
      </w:r>
      <w:r w:rsidRPr="00B00F55">
        <w:t>autres entreprises</w:t>
      </w:r>
      <w:r>
        <w:t xml:space="preserve"> commerciales ont commis des violations des droits de l’homme et des abus, </w:t>
      </w:r>
      <w:r w:rsidRPr="00B00F55">
        <w:t xml:space="preserve">soulignant </w:t>
      </w:r>
      <w:r>
        <w:t xml:space="preserve">la nécessité de garantir des mesures de protection, de justice et de réparation appropriées aux </w:t>
      </w:r>
      <w:r w:rsidRPr="00B00F55">
        <w:t xml:space="preserve">victimes </w:t>
      </w:r>
      <w:r>
        <w:t xml:space="preserve">de </w:t>
      </w:r>
      <w:r w:rsidRPr="00B00F55">
        <w:t xml:space="preserve">violations </w:t>
      </w:r>
      <w:r>
        <w:t xml:space="preserve">des droits de l’homme et d’abus commis par ces entités dans le cadre de leurs activités, et soulignant </w:t>
      </w:r>
      <w:r w:rsidRPr="00B00F55">
        <w:t>le fait qu</w:t>
      </w:r>
      <w:r>
        <w:t>’</w:t>
      </w:r>
      <w:r w:rsidRPr="00B00F55">
        <w:t xml:space="preserve">elles doivent contribuer aux moyens </w:t>
      </w:r>
      <w:r>
        <w:t xml:space="preserve">d’exécution nécessaires à la réalisation </w:t>
      </w:r>
      <w:r w:rsidRPr="00B00F55">
        <w:t>du droit au développement,</w:t>
      </w:r>
    </w:p>
    <w:p w:rsidR="0064563E" w:rsidRPr="00B00F55" w:rsidRDefault="0064563E" w:rsidP="0064563E">
      <w:pPr>
        <w:pStyle w:val="SingleTxtG"/>
        <w:ind w:firstLine="567"/>
      </w:pPr>
      <w:r w:rsidRPr="00B00F55">
        <w:rPr>
          <w:i/>
        </w:rPr>
        <w:t>Soulignant</w:t>
      </w:r>
      <w:r w:rsidRPr="00B00F55">
        <w:t xml:space="preserve"> que tous les droits de l</w:t>
      </w:r>
      <w:r>
        <w:t>’</w:t>
      </w:r>
      <w:r w:rsidRPr="00B00F55">
        <w:t xml:space="preserve">homme et toutes les libertés </w:t>
      </w:r>
      <w:r w:rsidRPr="00B00F55">
        <w:lastRenderedPageBreak/>
        <w:t>fondamentales, y compris le droit au développement, sont universels, indivisibles, interdépendants et intimement liés,</w:t>
      </w:r>
    </w:p>
    <w:p w:rsidR="0064563E" w:rsidRPr="00B00F55" w:rsidRDefault="0064563E" w:rsidP="0064563E">
      <w:pPr>
        <w:pStyle w:val="SingleTxtG"/>
        <w:ind w:firstLine="567"/>
      </w:pPr>
      <w:r w:rsidRPr="00B00F55">
        <w:rPr>
          <w:i/>
        </w:rPr>
        <w:t>Insistant</w:t>
      </w:r>
      <w:r w:rsidRPr="00B00F55">
        <w:t xml:space="preserve"> sur le fait que la réalisation des objectifs de développement durable nécessitera la consolidation d</w:t>
      </w:r>
      <w:r>
        <w:t>’</w:t>
      </w:r>
      <w:r w:rsidRPr="00B00F55">
        <w:t>un nouvel ordre national et international plus équitable et plus durable, et la promotion et la protection de tous les droits de l</w:t>
      </w:r>
      <w:r>
        <w:t>’</w:t>
      </w:r>
      <w:r w:rsidRPr="00B00F55">
        <w:t>homme et de toutes les libertés fondamentales,</w:t>
      </w:r>
    </w:p>
    <w:p w:rsidR="0064563E" w:rsidRPr="00B00F55" w:rsidRDefault="0064563E" w:rsidP="0064563E">
      <w:pPr>
        <w:pStyle w:val="SingleTxtG"/>
        <w:ind w:firstLine="567"/>
      </w:pPr>
      <w:r w:rsidRPr="00B00F55">
        <w:rPr>
          <w:i/>
        </w:rPr>
        <w:t>Prenant note</w:t>
      </w:r>
      <w:r w:rsidRPr="00B00F55">
        <w:t xml:space="preserve"> de l</w:t>
      </w:r>
      <w:r>
        <w:t>’</w:t>
      </w:r>
      <w:r w:rsidRPr="00B00F55">
        <w:t>engagement déclaré d</w:t>
      </w:r>
      <w:r>
        <w:t>’</w:t>
      </w:r>
      <w:r w:rsidRPr="00B00F55">
        <w:t>un certain nombre d</w:t>
      </w:r>
      <w:r>
        <w:t>’</w:t>
      </w:r>
      <w:r w:rsidRPr="00B00F55">
        <w:t>institutions spécialisées, de fonds et de programmes des Nations Unies et d</w:t>
      </w:r>
      <w:r>
        <w:t>’</w:t>
      </w:r>
      <w:r w:rsidRPr="00B00F55">
        <w:t xml:space="preserve">autres organisations internationales de faire du droit au développement une </w:t>
      </w:r>
      <w:r w:rsidRPr="00B00F55">
        <w:lastRenderedPageBreak/>
        <w:t>réalité pour tous et, à cet égard, demandant instamment à tous les organes concernés du système des Nations Unies et d</w:t>
      </w:r>
      <w:r>
        <w:t>’</w:t>
      </w:r>
      <w:r w:rsidRPr="00B00F55">
        <w:t>autres organisations internationales d</w:t>
      </w:r>
      <w:r>
        <w:t>’</w:t>
      </w:r>
      <w:r w:rsidRPr="00B00F55">
        <w:t>intégrer le droit au développement dans leurs objectifs, politiques, programmes et activités opérationnelles, et dans les mécanismes de développement et les processus liés au développement, notamment le suivi de la quatrième Conférence des Nations Unies sur les pays les moins avancés,</w:t>
      </w:r>
    </w:p>
    <w:p w:rsidR="0064563E" w:rsidRPr="00B00F55" w:rsidRDefault="0064563E" w:rsidP="0064563E">
      <w:pPr>
        <w:pStyle w:val="SingleTxtG"/>
        <w:ind w:firstLine="567"/>
      </w:pPr>
      <w:r w:rsidRPr="00B00F55">
        <w:rPr>
          <w:i/>
        </w:rPr>
        <w:t>Soulignant</w:t>
      </w:r>
      <w:r w:rsidRPr="00B00F55">
        <w:t xml:space="preserve"> que c</w:t>
      </w:r>
      <w:r>
        <w:t>’</w:t>
      </w:r>
      <w:r w:rsidRPr="00B00F55">
        <w:t>est aux États qu</w:t>
      </w:r>
      <w:r>
        <w:t>’</w:t>
      </w:r>
      <w:r w:rsidRPr="00B00F55">
        <w:t>il incombe au premier chef d</w:t>
      </w:r>
      <w:r>
        <w:t>’</w:t>
      </w:r>
      <w:r w:rsidRPr="00B00F55">
        <w:t>instaurer des conditions nationales et internationales propices à l</w:t>
      </w:r>
      <w:r>
        <w:t>’</w:t>
      </w:r>
      <w:r w:rsidRPr="00B00F55">
        <w:t>exercice du droit au développement,</w:t>
      </w:r>
    </w:p>
    <w:p w:rsidR="0064563E" w:rsidRPr="00B00F55" w:rsidRDefault="0064563E" w:rsidP="0064563E">
      <w:pPr>
        <w:pStyle w:val="SingleTxtG"/>
        <w:ind w:firstLine="567"/>
      </w:pPr>
      <w:r w:rsidRPr="00B00F55">
        <w:rPr>
          <w:i/>
        </w:rPr>
        <w:lastRenderedPageBreak/>
        <w:t>Considérant</w:t>
      </w:r>
      <w:r w:rsidRPr="00B00F55">
        <w:t xml:space="preserve"> que les États Membres devraient coopérer pour assurer le développement et éliminer les obstacles persistants qui s</w:t>
      </w:r>
      <w:r>
        <w:t>’</w:t>
      </w:r>
      <w:r w:rsidRPr="00B00F55">
        <w:t>y opposent, que la communauté internationale devrait promouvoir une coopération internationale efficace, notamment des partenariats mondiaux pour le développement, afin de réaliser le droit au développement et d</w:t>
      </w:r>
      <w:r>
        <w:t>’</w:t>
      </w:r>
      <w:r w:rsidRPr="00B00F55">
        <w:t>éliminer ces obstacles, et que des politiques de développement efficaces au niveau national, des relations économiques équitables et un environnement économique favorable au niveau international sont indispensables pour enregistrer des avancées durables dans la réalisation du droit au développement,</w:t>
      </w:r>
    </w:p>
    <w:p w:rsidR="0064563E" w:rsidRPr="00B00F55" w:rsidRDefault="0064563E" w:rsidP="0064563E">
      <w:pPr>
        <w:pStyle w:val="SingleTxtG"/>
        <w:ind w:firstLine="567"/>
      </w:pPr>
      <w:r w:rsidRPr="00B00F55">
        <w:rPr>
          <w:i/>
        </w:rPr>
        <w:lastRenderedPageBreak/>
        <w:t>Encourageant</w:t>
      </w:r>
      <w:r w:rsidRPr="00B00F55">
        <w:t xml:space="preserve"> tous les États Membres à prendre part de façon constructive aux débats sur l</w:t>
      </w:r>
      <w:r>
        <w:t>’</w:t>
      </w:r>
      <w:r w:rsidRPr="00B00F55">
        <w:t>application intégrale de la Déclaration sur le droit au développement, en vue de surmonter l</w:t>
      </w:r>
      <w:r>
        <w:t>’</w:t>
      </w:r>
      <w:r w:rsidRPr="00B00F55">
        <w:t xml:space="preserve">impasse politique dans laquelle se </w:t>
      </w:r>
      <w:r w:rsidRPr="009273A5">
        <w:t>trouve actuellement</w:t>
      </w:r>
      <w:r w:rsidRPr="00B00F55">
        <w:t xml:space="preserve"> le Groupe de travail sur le droit au développement,</w:t>
      </w:r>
    </w:p>
    <w:p w:rsidR="0064563E" w:rsidRPr="00B00F55" w:rsidRDefault="0064563E" w:rsidP="0064563E">
      <w:pPr>
        <w:pStyle w:val="SingleTxtG"/>
        <w:ind w:firstLine="567"/>
      </w:pPr>
      <w:r>
        <w:rPr>
          <w:i/>
        </w:rPr>
        <w:t>Réa</w:t>
      </w:r>
      <w:r w:rsidRPr="00B00F55">
        <w:rPr>
          <w:i/>
        </w:rPr>
        <w:t>ffirmant</w:t>
      </w:r>
      <w:r w:rsidRPr="00B00F55">
        <w:t xml:space="preserve"> que le trentième anniversaire de l</w:t>
      </w:r>
      <w:r>
        <w:t>’</w:t>
      </w:r>
      <w:r w:rsidRPr="00B00F55">
        <w:t>adoption de la Déclaration sur le droit au développement offre à la communauté internationale une occasion unique de démontrer et de réaffirmer son attachement sans réserve au droit au développement, en accordant à ce droit l</w:t>
      </w:r>
      <w:r>
        <w:t>’</w:t>
      </w:r>
      <w:r w:rsidRPr="00B00F55">
        <w:t>attention spéciale qu</w:t>
      </w:r>
      <w:r>
        <w:t>’</w:t>
      </w:r>
      <w:r w:rsidRPr="00B00F55">
        <w:t xml:space="preserve">il mérite et en </w:t>
      </w:r>
      <w:r w:rsidRPr="00B00F55">
        <w:lastRenderedPageBreak/>
        <w:t>redoublant d</w:t>
      </w:r>
      <w:r>
        <w:t>’</w:t>
      </w:r>
      <w:r w:rsidRPr="00B00F55">
        <w:t>efforts pour lui donner effet,</w:t>
      </w:r>
    </w:p>
    <w:p w:rsidR="0064563E" w:rsidRPr="00B00F55" w:rsidRDefault="0064563E" w:rsidP="0064563E">
      <w:pPr>
        <w:pStyle w:val="SingleTxtG"/>
        <w:ind w:firstLine="567"/>
      </w:pPr>
      <w:r w:rsidRPr="00B00F55">
        <w:rPr>
          <w:i/>
        </w:rPr>
        <w:t>Soulignant</w:t>
      </w:r>
      <w:r>
        <w:t xml:space="preserve"> que, dans sa résolution </w:t>
      </w:r>
      <w:r w:rsidRPr="00B00F55">
        <w:t>48/141 du 20 décembre 1993, l</w:t>
      </w:r>
      <w:r>
        <w:t>’</w:t>
      </w:r>
      <w:r w:rsidRPr="00B00F55">
        <w:t>Assemblée générale a décidé que les fonctions du Haut-Commissaire des Nations Unies aux droits de l</w:t>
      </w:r>
      <w:r>
        <w:t>’</w:t>
      </w:r>
      <w:r w:rsidRPr="00B00F55">
        <w:t>homme seraient notamment de promouvoir et de protéger la réalisation du droit au développement et, à cet effet, d</w:t>
      </w:r>
      <w:r>
        <w:t>’</w:t>
      </w:r>
      <w:r w:rsidRPr="00B00F55">
        <w:t>obtenir un soutien accru des organismes compétents des Nations Unies,</w:t>
      </w:r>
    </w:p>
    <w:p w:rsidR="0064563E" w:rsidRPr="00B00F55" w:rsidRDefault="0064563E" w:rsidP="0064563E">
      <w:pPr>
        <w:pStyle w:val="SingleTxtG"/>
        <w:ind w:firstLine="567"/>
        <w:rPr>
          <w:i/>
        </w:rPr>
      </w:pPr>
      <w:r w:rsidRPr="00192FD0">
        <w:rPr>
          <w:i/>
        </w:rPr>
        <w:t>Conscient</w:t>
      </w:r>
      <w:r w:rsidRPr="00B00F55">
        <w:rPr>
          <w:lang w:eastAsia="zh-CN"/>
        </w:rPr>
        <w:t xml:space="preserve"> de la nécessité de disposer de points de vue indépendants et de conseils d</w:t>
      </w:r>
      <w:r>
        <w:rPr>
          <w:lang w:eastAsia="zh-CN"/>
        </w:rPr>
        <w:t>’</w:t>
      </w:r>
      <w:r w:rsidRPr="00B00F55">
        <w:rPr>
          <w:lang w:eastAsia="zh-CN"/>
        </w:rPr>
        <w:t xml:space="preserve">experts pour enrichir les travaux du Groupe de travail sur le droit au développement et appuyer les efforts déployés par les États Membres pour </w:t>
      </w:r>
      <w:r w:rsidRPr="00B00F55">
        <w:rPr>
          <w:lang w:eastAsia="zh-CN"/>
        </w:rPr>
        <w:lastRenderedPageBreak/>
        <w:t>réaliser pleinement le droit au développement, notamment dans le contexte de la mise en œuvre des objectifs d</w:t>
      </w:r>
      <w:r>
        <w:rPr>
          <w:lang w:eastAsia="zh-CN"/>
        </w:rPr>
        <w:t>e développement durable,</w:t>
      </w:r>
    </w:p>
    <w:p w:rsidR="0064563E" w:rsidRPr="00B00F55" w:rsidRDefault="0064563E" w:rsidP="0064563E">
      <w:pPr>
        <w:pStyle w:val="SingleTxtG"/>
        <w:ind w:firstLine="567"/>
      </w:pPr>
      <w:r w:rsidRPr="00B00F55">
        <w:rPr>
          <w:i/>
        </w:rPr>
        <w:t>Réaffirmant</w:t>
      </w:r>
      <w:r>
        <w:t xml:space="preserve"> ses résolutions </w:t>
      </w:r>
      <w:r w:rsidRPr="00B00F55">
        <w:t>5/1 sur la mise en place des institutions du Conseil et 5/2 sur le Code de conduite pour les titulaires de mandat au titre des procédures spéciales du Conseil, du 18 juin 2007, et soulignant que le titulaire du mandat doit s</w:t>
      </w:r>
      <w:r>
        <w:t>’</w:t>
      </w:r>
      <w:r w:rsidRPr="00B00F55">
        <w:t>acquitter des obligations découlant de son mandat</w:t>
      </w:r>
      <w:r>
        <w:t xml:space="preserve">, conformément à </w:t>
      </w:r>
      <w:r w:rsidRPr="00B00F55">
        <w:t>ces résolutions et à leurs annexes,</w:t>
      </w:r>
    </w:p>
    <w:p w:rsidR="0064563E" w:rsidRPr="00805BCD" w:rsidRDefault="0064563E" w:rsidP="0064563E">
      <w:pPr>
        <w:pStyle w:val="SingleTxtG"/>
        <w:ind w:firstLine="567"/>
        <w:rPr>
          <w:spacing w:val="-2"/>
        </w:rPr>
      </w:pPr>
      <w:r w:rsidRPr="00805BCD">
        <w:rPr>
          <w:spacing w:val="-2"/>
        </w:rPr>
        <w:t>1.</w:t>
      </w:r>
      <w:r w:rsidRPr="00805BCD">
        <w:rPr>
          <w:spacing w:val="-2"/>
        </w:rPr>
        <w:tab/>
      </w:r>
      <w:r w:rsidRPr="00805BCD">
        <w:rPr>
          <w:i/>
          <w:spacing w:val="-2"/>
        </w:rPr>
        <w:t>Prend note</w:t>
      </w:r>
      <w:r w:rsidRPr="00805BCD">
        <w:rPr>
          <w:spacing w:val="-2"/>
        </w:rPr>
        <w:t xml:space="preserve"> du </w:t>
      </w:r>
      <w:r>
        <w:rPr>
          <w:spacing w:val="-2"/>
        </w:rPr>
        <w:t>r</w:t>
      </w:r>
      <w:r w:rsidRPr="00805BCD">
        <w:rPr>
          <w:spacing w:val="-2"/>
        </w:rPr>
        <w:t xml:space="preserve">apport conjoint du Secrétaire général et du Haut-Commissaire des Nations Unies aux </w:t>
      </w:r>
      <w:r w:rsidRPr="00805BCD">
        <w:rPr>
          <w:spacing w:val="-2"/>
        </w:rPr>
        <w:lastRenderedPageBreak/>
        <w:t>droits de l</w:t>
      </w:r>
      <w:r>
        <w:rPr>
          <w:spacing w:val="-2"/>
        </w:rPr>
        <w:t>’</w:t>
      </w:r>
      <w:r w:rsidRPr="00805BCD">
        <w:rPr>
          <w:spacing w:val="-2"/>
        </w:rPr>
        <w:t>homme sur le droit au développement</w:t>
      </w:r>
      <w:r w:rsidRPr="00B8103C">
        <w:rPr>
          <w:rStyle w:val="FootnoteReference"/>
        </w:rPr>
        <w:footnoteReference w:id="2"/>
      </w:r>
      <w:r w:rsidRPr="00805BCD">
        <w:rPr>
          <w:spacing w:val="-2"/>
        </w:rPr>
        <w:t> ;</w:t>
      </w:r>
    </w:p>
    <w:p w:rsidR="0064563E" w:rsidRPr="00B00F55" w:rsidRDefault="0064563E" w:rsidP="0064563E">
      <w:pPr>
        <w:pStyle w:val="SingleTxtG"/>
        <w:ind w:firstLine="567"/>
      </w:pPr>
      <w:r w:rsidRPr="00B00F55">
        <w:t>2.</w:t>
      </w:r>
      <w:r w:rsidRPr="00B00F55">
        <w:tab/>
      </w:r>
      <w:r w:rsidRPr="00B00F55">
        <w:rPr>
          <w:i/>
        </w:rPr>
        <w:t>Prie</w:t>
      </w:r>
      <w:r>
        <w:t xml:space="preserve"> la</w:t>
      </w:r>
      <w:r w:rsidRPr="00B00F55">
        <w:t xml:space="preserve"> Haut</w:t>
      </w:r>
      <w:r>
        <w:t>e</w:t>
      </w:r>
      <w:r w:rsidRPr="00B00F55">
        <w:t>-Commissaire de continuer de lui présenter un rapport annuel sur les activités du Haut-Commissariat, portant notamment sur la coordination entre les organismes du système des Nations Unies en ce qui concerne directement la réalisation du droit au développement, et de lui fournir, dans son prochain rapport annuel, une analyse sur la mise en œuvre du droit au développement, en tenant compte des difficultés existantes et en formulant des recommandations sur les moyens de les surmonter ;</w:t>
      </w:r>
    </w:p>
    <w:p w:rsidR="0064563E" w:rsidRPr="00B00F55" w:rsidRDefault="0064563E" w:rsidP="0064563E">
      <w:pPr>
        <w:pStyle w:val="SingleTxtG"/>
        <w:ind w:firstLine="567"/>
      </w:pPr>
      <w:r w:rsidRPr="00B00F55">
        <w:lastRenderedPageBreak/>
        <w:t>3.</w:t>
      </w:r>
      <w:r w:rsidRPr="00B00F55">
        <w:tab/>
      </w:r>
      <w:r w:rsidRPr="00B00F55">
        <w:rPr>
          <w:i/>
        </w:rPr>
        <w:t>Demande instamment</w:t>
      </w:r>
      <w:r w:rsidRPr="00B00F55">
        <w:t xml:space="preserve"> </w:t>
      </w:r>
      <w:r>
        <w:t>à la</w:t>
      </w:r>
      <w:r w:rsidRPr="00B00F55">
        <w:t xml:space="preserve"> Haut</w:t>
      </w:r>
      <w:r>
        <w:t>e</w:t>
      </w:r>
      <w:r w:rsidRPr="00B00F55">
        <w:t>-Commissaire de poursuivre ses activités dans l</w:t>
      </w:r>
      <w:r>
        <w:t>’</w:t>
      </w:r>
      <w:r w:rsidRPr="00B00F55">
        <w:t>exercice de son mandat et de renforcer l</w:t>
      </w:r>
      <w:r>
        <w:t>’</w:t>
      </w:r>
      <w:r w:rsidRPr="00B00F55">
        <w:t>appui à la promotion et à la protection du droit au développement, en s</w:t>
      </w:r>
      <w:r>
        <w:t>’</w:t>
      </w:r>
      <w:r w:rsidRPr="00B00F55">
        <w:t>inspirant de la Déclaration sur le droit au développement et de toutes les résolutions de l</w:t>
      </w:r>
      <w:r>
        <w:t>’</w:t>
      </w:r>
      <w:r w:rsidRPr="00B00F55">
        <w:t>Assemblée générale, de la Commission des droits de l</w:t>
      </w:r>
      <w:r>
        <w:t>’</w:t>
      </w:r>
      <w:r w:rsidRPr="00B00F55">
        <w:t>homme et du Conseil sur le droit au développement, ainsi que des conclusions et recommandations concertées du Groupe de travail</w:t>
      </w:r>
      <w:r>
        <w:t xml:space="preserve"> sur le droit au développement</w:t>
      </w:r>
      <w:r w:rsidRPr="00B00F55">
        <w:t> ;</w:t>
      </w:r>
    </w:p>
    <w:p w:rsidR="0064563E" w:rsidRPr="00B00F55" w:rsidRDefault="0064563E" w:rsidP="0064563E">
      <w:pPr>
        <w:pStyle w:val="SingleTxtG"/>
        <w:ind w:firstLine="567"/>
      </w:pPr>
      <w:r w:rsidRPr="00B00F55">
        <w:t>4.</w:t>
      </w:r>
      <w:r w:rsidRPr="00B00F55">
        <w:tab/>
      </w:r>
      <w:r w:rsidRPr="00B00F55">
        <w:rPr>
          <w:i/>
        </w:rPr>
        <w:t>Prie</w:t>
      </w:r>
      <w:r w:rsidRPr="00B00F55">
        <w:t xml:space="preserve"> le Haut-Commissariat, dans le cadre de la mise en œuvre de la Déclaration sur le droit au développement, de prendre des mesures </w:t>
      </w:r>
      <w:r w:rsidRPr="00B00F55">
        <w:lastRenderedPageBreak/>
        <w:t>suffisantes pour garantir une allocation équilibrée et visible des ressources et d</w:t>
      </w:r>
      <w:r>
        <w:t>’</w:t>
      </w:r>
      <w:r w:rsidRPr="00B00F55">
        <w:t>accorder l</w:t>
      </w:r>
      <w:r>
        <w:t>’</w:t>
      </w:r>
      <w:r w:rsidRPr="00B00F55">
        <w:t>attention voulue au droit au développement afin d</w:t>
      </w:r>
      <w:r>
        <w:t>’</w:t>
      </w:r>
      <w:r w:rsidRPr="00B00F55">
        <w:t>en garantir la visibilité en définissant et en exécutant des projets concrets consacrés à ce droit</w:t>
      </w:r>
      <w:r>
        <w:t xml:space="preserve"> en collaboration avec le Rapporteur spécial</w:t>
      </w:r>
      <w:r w:rsidRPr="00B00F55">
        <w:t xml:space="preserve">, et de donner régulièrement des informations à jour au Conseil </w:t>
      </w:r>
      <w:r>
        <w:t xml:space="preserve">des droits de l’homme </w:t>
      </w:r>
      <w:r w:rsidRPr="00B00F55">
        <w:t>à ce sujet ;</w:t>
      </w:r>
    </w:p>
    <w:p w:rsidR="0064563E" w:rsidRPr="00B00F55" w:rsidRDefault="0064563E" w:rsidP="006943A5">
      <w:pPr>
        <w:pStyle w:val="SingleTxtG"/>
        <w:keepLines/>
        <w:ind w:firstLine="567"/>
      </w:pPr>
      <w:r w:rsidRPr="00B00F55">
        <w:lastRenderedPageBreak/>
        <w:t>5.</w:t>
      </w:r>
      <w:r w:rsidRPr="00B00F55">
        <w:tab/>
      </w:r>
      <w:r w:rsidRPr="00B00F55">
        <w:rPr>
          <w:i/>
        </w:rPr>
        <w:t>Est conscient</w:t>
      </w:r>
      <w:r w:rsidRPr="00B00F55">
        <w:t xml:space="preserve"> de la nécessité de redoubler d</w:t>
      </w:r>
      <w:r>
        <w:t>’</w:t>
      </w:r>
      <w:r w:rsidRPr="00B00F55">
        <w:t>efforts pour intensifier les discussions au sein du Groupe de travail afin que celui-ci s</w:t>
      </w:r>
      <w:r>
        <w:t>’</w:t>
      </w:r>
      <w:r w:rsidRPr="00B00F55">
        <w:t>acquitte, dans les meilleurs délais, de son mandat tel qu</w:t>
      </w:r>
      <w:r>
        <w:t>’</w:t>
      </w:r>
      <w:r w:rsidRPr="00B00F55">
        <w:t>établi par la Commission des droits de l</w:t>
      </w:r>
      <w:r>
        <w:t>’</w:t>
      </w:r>
      <w:r w:rsidRPr="00B00F55">
        <w:t>homme dans sa résolution 1998/72 et par le Conseil des droits de l</w:t>
      </w:r>
      <w:r>
        <w:t>’</w:t>
      </w:r>
      <w:r w:rsidRPr="00B00F55">
        <w:t>homme dans sa résolution 4/4 ;</w:t>
      </w:r>
    </w:p>
    <w:p w:rsidR="0064563E" w:rsidRPr="00B00F55" w:rsidRDefault="0064563E" w:rsidP="0064563E">
      <w:pPr>
        <w:pStyle w:val="SingleTxtG"/>
        <w:ind w:firstLine="567"/>
      </w:pPr>
      <w:r w:rsidRPr="00B00F55">
        <w:t>6.</w:t>
      </w:r>
      <w:r w:rsidRPr="00B00F55">
        <w:tab/>
      </w:r>
      <w:r w:rsidRPr="00B00F55">
        <w:rPr>
          <w:i/>
        </w:rPr>
        <w:t>Reconnaît</w:t>
      </w:r>
      <w:r w:rsidRPr="00B00F55">
        <w:t xml:space="preserve"> la nécessité d</w:t>
      </w:r>
      <w:r>
        <w:t>’</w:t>
      </w:r>
      <w:r w:rsidRPr="00B00F55">
        <w:t>œuvrer en faveur d</w:t>
      </w:r>
      <w:r>
        <w:t>’</w:t>
      </w:r>
      <w:r w:rsidRPr="00B00F55">
        <w:t>une acceptation, d</w:t>
      </w:r>
      <w:r>
        <w:t>’</w:t>
      </w:r>
      <w:r w:rsidRPr="00B00F55">
        <w:t>une concrétisation et d</w:t>
      </w:r>
      <w:r>
        <w:t>’</w:t>
      </w:r>
      <w:r w:rsidRPr="00B00F55">
        <w:t>une réalisation plus larges du droit au développement au niveau international, tout en priant instamment l</w:t>
      </w:r>
      <w:r>
        <w:t>’</w:t>
      </w:r>
      <w:r w:rsidRPr="00B00F55">
        <w:t>ensemble des États d</w:t>
      </w:r>
      <w:r>
        <w:t>’</w:t>
      </w:r>
      <w:r w:rsidRPr="00B00F55">
        <w:t xml:space="preserve">entreprendre au niveau national le travail nécessaire de formulation des politiques et de mettre en place les </w:t>
      </w:r>
      <w:r w:rsidRPr="00B00F55">
        <w:lastRenderedPageBreak/>
        <w:t>mesures requises pour l</w:t>
      </w:r>
      <w:r>
        <w:t>’</w:t>
      </w:r>
      <w:r w:rsidRPr="00B00F55">
        <w:t>application du droit au développement en tant que partie intégrante des droits de l</w:t>
      </w:r>
      <w:r>
        <w:t>’</w:t>
      </w:r>
      <w:r w:rsidRPr="00B00F55">
        <w:t>homme et des libertés fondamentales ;</w:t>
      </w:r>
    </w:p>
    <w:p w:rsidR="0064563E" w:rsidRPr="00B00F55" w:rsidRDefault="0064563E" w:rsidP="0064563E">
      <w:pPr>
        <w:pStyle w:val="SingleTxtG"/>
        <w:ind w:firstLine="567"/>
      </w:pPr>
      <w:r w:rsidRPr="00B00F55">
        <w:t>7.</w:t>
      </w:r>
      <w:r w:rsidRPr="00B00F55">
        <w:tab/>
      </w:r>
      <w:r w:rsidRPr="00B00F55">
        <w:rPr>
          <w:i/>
        </w:rPr>
        <w:t>Se félicite</w:t>
      </w:r>
      <w:r w:rsidRPr="00B00F55">
        <w:t xml:space="preserve"> des célébrations organisées en 2016 pour commémorer le trentième anniversaire de la Déclaration sur le droit au développement, notamment la réunion-débat de haut niveau sur l</w:t>
      </w:r>
      <w:r>
        <w:t>’</w:t>
      </w:r>
      <w:r w:rsidRPr="00B00F55">
        <w:t>intégration des questions relatives aux droits de l</w:t>
      </w:r>
      <w:r>
        <w:t>’</w:t>
      </w:r>
      <w:r w:rsidRPr="00B00F55">
        <w:t>homme sur le thème du Programme de développement durable à l</w:t>
      </w:r>
      <w:r>
        <w:t>’</w:t>
      </w:r>
      <w:r w:rsidRPr="00B00F55">
        <w:t>horizon 2030 et des droits de l</w:t>
      </w:r>
      <w:r>
        <w:t>’</w:t>
      </w:r>
      <w:r w:rsidRPr="00B00F55">
        <w:t xml:space="preserve">homme, en particulier du droit au développement, organisée pendant la trente et unième session du Conseil ; la réunion-débat sur la promotion et la protection du droit au développement </w:t>
      </w:r>
      <w:r w:rsidRPr="00B00F55">
        <w:lastRenderedPageBreak/>
        <w:t>organisée pendant la trente-deuxième session du Conseil ; et le débat de haut niveau de l</w:t>
      </w:r>
      <w:r>
        <w:t>’</w:t>
      </w:r>
      <w:r w:rsidRPr="00B00F55">
        <w:t>Assemblée générale commémorant le trentième anniversaire de la Déclaration sur le droit au développement organisé pendant la soixante et onzième session de l</w:t>
      </w:r>
      <w:r>
        <w:t>’</w:t>
      </w:r>
      <w:r w:rsidRPr="00B00F55">
        <w:t>Assemblée, qui ont offert aux États Membres une occasion unique de démontrer et de réaffirmer leur engagement politique, d</w:t>
      </w:r>
      <w:r>
        <w:t>’</w:t>
      </w:r>
      <w:r w:rsidRPr="00B00F55">
        <w:t>accorder au droit au développement l</w:t>
      </w:r>
      <w:r>
        <w:t>’</w:t>
      </w:r>
      <w:r w:rsidRPr="00B00F55">
        <w:t>attention spéciale qu</w:t>
      </w:r>
      <w:r>
        <w:t>’</w:t>
      </w:r>
      <w:r w:rsidRPr="00B00F55">
        <w:t>il mérite et de redoubler d</w:t>
      </w:r>
      <w:r>
        <w:t>’</w:t>
      </w:r>
      <w:r w:rsidRPr="00B00F55">
        <w:t>efforts en faveur de sa réalisation ;</w:t>
      </w:r>
    </w:p>
    <w:p w:rsidR="0064563E" w:rsidRDefault="0064563E" w:rsidP="0064563E">
      <w:pPr>
        <w:pStyle w:val="SingleTxtG"/>
        <w:ind w:firstLine="567"/>
      </w:pPr>
      <w:r w:rsidRPr="00B00F55">
        <w:t>8.</w:t>
      </w:r>
      <w:r w:rsidRPr="00B00F55">
        <w:tab/>
      </w:r>
      <w:r w:rsidRPr="00B00F55">
        <w:rPr>
          <w:i/>
        </w:rPr>
        <w:t>Se félicite également</w:t>
      </w:r>
      <w:r w:rsidRPr="00B00F55">
        <w:t xml:space="preserve"> du rapport du Président-Rapporteur du Groupe de travail sur le droit au développement au </w:t>
      </w:r>
      <w:r w:rsidRPr="00B00F55">
        <w:lastRenderedPageBreak/>
        <w:t>sujet des travaux de la dix-</w:t>
      </w:r>
      <w:r>
        <w:t>neuvième</w:t>
      </w:r>
      <w:r w:rsidRPr="00B00F55">
        <w:t xml:space="preserve"> session du Groupe de travail</w:t>
      </w:r>
      <w:r w:rsidRPr="00B8103C">
        <w:rPr>
          <w:rStyle w:val="FootnoteReference"/>
        </w:rPr>
        <w:footnoteReference w:id="3"/>
      </w:r>
      <w:r w:rsidRPr="00B00F55">
        <w:t> ;</w:t>
      </w:r>
    </w:p>
    <w:p w:rsidR="0064563E" w:rsidRPr="006018D1" w:rsidRDefault="0064563E" w:rsidP="0064563E">
      <w:pPr>
        <w:pStyle w:val="SingleTxtG"/>
        <w:ind w:firstLine="567"/>
      </w:pPr>
      <w:r w:rsidRPr="006018D1">
        <w:t>9.</w:t>
      </w:r>
      <w:r w:rsidRPr="006018D1">
        <w:tab/>
      </w:r>
      <w:r w:rsidRPr="006018D1">
        <w:rPr>
          <w:i/>
        </w:rPr>
        <w:t xml:space="preserve">Souligne </w:t>
      </w:r>
      <w:r w:rsidRPr="006018D1">
        <w:t>l</w:t>
      </w:r>
      <w:r>
        <w:t>’</w:t>
      </w:r>
      <w:r w:rsidRPr="006018D1">
        <w:t>importance des principes fondamentaux rappelés par le Groupe de travail dans les conclusions de sa troisième session</w:t>
      </w:r>
      <w:r w:rsidRPr="00B8103C">
        <w:rPr>
          <w:rStyle w:val="FootnoteReference"/>
        </w:rPr>
        <w:footnoteReference w:id="4"/>
      </w:r>
      <w:r w:rsidRPr="006018D1">
        <w:t xml:space="preserve">, </w:t>
      </w:r>
      <w:r>
        <w:t xml:space="preserve">qui sont conformes aux buts </w:t>
      </w:r>
      <w:r w:rsidRPr="006018D1">
        <w:t xml:space="preserve">des instruments internationaux relatifs aux </w:t>
      </w:r>
      <w:r>
        <w:t xml:space="preserve">droits de l’homme, notamment de l’égalité, de la </w:t>
      </w:r>
      <w:r w:rsidRPr="006018D1">
        <w:t xml:space="preserve">non-discrimination, </w:t>
      </w:r>
      <w:r>
        <w:t xml:space="preserve">de la responsabilité, de la participation et de la coopération internationale, et qui sont indispensables à la prise en compte systématique du droit au développement aux échelons national et international, et souligne </w:t>
      </w:r>
      <w:r>
        <w:lastRenderedPageBreak/>
        <w:t>l’importance des principes d’équité et de transparence ;</w:t>
      </w:r>
    </w:p>
    <w:p w:rsidR="0064563E" w:rsidRPr="00B00F55" w:rsidRDefault="0064563E" w:rsidP="0064563E">
      <w:pPr>
        <w:pStyle w:val="SingleTxtG"/>
        <w:ind w:firstLine="567"/>
      </w:pPr>
      <w:r>
        <w:t>10</w:t>
      </w:r>
      <w:r w:rsidRPr="00B00F55">
        <w:t>.</w:t>
      </w:r>
      <w:r w:rsidRPr="00B00F55">
        <w:tab/>
      </w:r>
      <w:r>
        <w:rPr>
          <w:i/>
        </w:rPr>
        <w:t>Se félicite</w:t>
      </w:r>
      <w:r w:rsidRPr="00B00F55">
        <w:t xml:space="preserve"> de la réélection du Président-Rapporteur du Groupe de travail et de la compétence avec laquelle il a conduit les débats de la dix-</w:t>
      </w:r>
      <w:r>
        <w:t>neuvième</w:t>
      </w:r>
      <w:r w:rsidRPr="00B00F55">
        <w:t xml:space="preserve"> session ;</w:t>
      </w:r>
    </w:p>
    <w:p w:rsidR="0064563E" w:rsidRPr="00B00F55" w:rsidRDefault="0064563E" w:rsidP="0064563E">
      <w:pPr>
        <w:pStyle w:val="SingleTxtG"/>
        <w:ind w:firstLine="567"/>
      </w:pPr>
      <w:r w:rsidRPr="00B00F55">
        <w:t>1</w:t>
      </w:r>
      <w:r>
        <w:t>1</w:t>
      </w:r>
      <w:r w:rsidRPr="00B00F55">
        <w:t>.</w:t>
      </w:r>
      <w:r w:rsidRPr="00B00F55">
        <w:tab/>
      </w:r>
      <w:r w:rsidRPr="00B00F55">
        <w:rPr>
          <w:i/>
        </w:rPr>
        <w:t>Prend note</w:t>
      </w:r>
      <w:r w:rsidRPr="00B00F55">
        <w:t xml:space="preserve"> de la présentation au Groupe de travail, à sa dix-</w:t>
      </w:r>
      <w:r>
        <w:t>neuvième</w:t>
      </w:r>
      <w:r w:rsidRPr="00B00F55">
        <w:t xml:space="preserve"> session, de la série de normes relatives à la réalisation du droit au développement élaborée par le Président-Rapporteur du Groupe de travail</w:t>
      </w:r>
      <w:r w:rsidRPr="00B8103C">
        <w:rPr>
          <w:rStyle w:val="FootnoteReference"/>
        </w:rPr>
        <w:footnoteReference w:id="5"/>
      </w:r>
      <w:r w:rsidRPr="00B00F55">
        <w:t xml:space="preserve">, qui constitue une base utile à la poursuite des </w:t>
      </w:r>
      <w:r w:rsidRPr="00B00F55">
        <w:lastRenderedPageBreak/>
        <w:t>délibérations sur la mise en œuvre et la réalisat</w:t>
      </w:r>
      <w:r>
        <w:t>ion du droit au développement ;</w:t>
      </w:r>
    </w:p>
    <w:p w:rsidR="0064563E" w:rsidRDefault="0064563E" w:rsidP="0064563E">
      <w:pPr>
        <w:pStyle w:val="SingleTxtG"/>
        <w:ind w:firstLine="567"/>
      </w:pPr>
      <w:r w:rsidRPr="00B00F55">
        <w:t>1</w:t>
      </w:r>
      <w:r>
        <w:t>2</w:t>
      </w:r>
      <w:r w:rsidRPr="00B00F55">
        <w:t>.</w:t>
      </w:r>
      <w:r w:rsidRPr="00B00F55">
        <w:tab/>
      </w:r>
      <w:r w:rsidRPr="00B00F55">
        <w:rPr>
          <w:i/>
        </w:rPr>
        <w:t xml:space="preserve">Prend acte </w:t>
      </w:r>
      <w:r w:rsidRPr="00B00F55">
        <w:t>du document établi par le secrétariat, qui contient les observations et les points de vue soumis par des gouvernements, des groupes de gouvernements, des groupes régionaux et des parties prenantes concernant les critères et sous-critères opérationnels du droit au développement</w:t>
      </w:r>
      <w:r w:rsidRPr="00B8103C">
        <w:rPr>
          <w:rStyle w:val="FootnoteReference"/>
        </w:rPr>
        <w:footnoteReference w:id="6"/>
      </w:r>
      <w:r>
        <w:t> </w:t>
      </w:r>
      <w:r w:rsidRPr="00B00F55">
        <w:t>;</w:t>
      </w:r>
    </w:p>
    <w:p w:rsidR="0064563E" w:rsidRPr="00011651" w:rsidRDefault="0064563E" w:rsidP="006943A5">
      <w:pPr>
        <w:pStyle w:val="SingleTxtG"/>
        <w:ind w:firstLine="567"/>
      </w:pPr>
      <w:r>
        <w:t>13.</w:t>
      </w:r>
      <w:r>
        <w:tab/>
      </w:r>
      <w:r>
        <w:rPr>
          <w:i/>
        </w:rPr>
        <w:t>Accueille</w:t>
      </w:r>
      <w:r w:rsidRPr="000142E0">
        <w:rPr>
          <w:i/>
        </w:rPr>
        <w:t xml:space="preserve"> avec satisfaction</w:t>
      </w:r>
      <w:r>
        <w:t xml:space="preserve"> la proposition du Mouvement des pays non alignés concernant une </w:t>
      </w:r>
      <w:r w:rsidRPr="00B00F55">
        <w:t>série de normes relatives à la réalisation du droit au développement</w:t>
      </w:r>
      <w:r w:rsidRPr="00B8103C">
        <w:rPr>
          <w:rStyle w:val="FootnoteReference"/>
        </w:rPr>
        <w:footnoteReference w:id="7"/>
      </w:r>
      <w:r>
        <w:t xml:space="preserve"> et les contributions </w:t>
      </w:r>
      <w:r>
        <w:lastRenderedPageBreak/>
        <w:t>complémentaires de celui-ci à la mise au point des critères et des sous</w:t>
      </w:r>
      <w:r>
        <w:noBreakHyphen/>
        <w:t>critères du droit au développement</w:t>
      </w:r>
      <w:r w:rsidRPr="00B8103C">
        <w:rPr>
          <w:rStyle w:val="FootnoteReference"/>
        </w:rPr>
        <w:footnoteReference w:id="8"/>
      </w:r>
      <w:r>
        <w:t xml:space="preserve"> ; </w:t>
      </w:r>
    </w:p>
    <w:p w:rsidR="0064563E" w:rsidRPr="00B00F55" w:rsidRDefault="0064563E" w:rsidP="0064563E">
      <w:pPr>
        <w:pStyle w:val="SingleTxtG"/>
        <w:ind w:firstLine="567"/>
      </w:pPr>
      <w:r w:rsidRPr="00B00F55">
        <w:t>14.</w:t>
      </w:r>
      <w:r w:rsidRPr="00B00F55">
        <w:tab/>
      </w:r>
      <w:r w:rsidRPr="00B00F55">
        <w:rPr>
          <w:i/>
        </w:rPr>
        <w:t>Prie</w:t>
      </w:r>
      <w:r w:rsidRPr="00B00F55">
        <w:t xml:space="preserve"> le Haut-Commissaire de faciliter la participation d</w:t>
      </w:r>
      <w:r>
        <w:t>’</w:t>
      </w:r>
      <w:r w:rsidRPr="00B00F55">
        <w:t xml:space="preserve">experts à la </w:t>
      </w:r>
      <w:r>
        <w:t>vingtième</w:t>
      </w:r>
      <w:r w:rsidRPr="00B00F55">
        <w:t xml:space="preserve"> session du Groupe de travail afin qu</w:t>
      </w:r>
      <w:r>
        <w:t>’</w:t>
      </w:r>
      <w:r w:rsidRPr="00B00F55">
        <w:t xml:space="preserve">ils apportent des conseils et contribuent ainsi aux </w:t>
      </w:r>
      <w:r>
        <w:t>délibérations</w:t>
      </w:r>
      <w:r w:rsidRPr="00B00F55">
        <w:t xml:space="preserve"> sur la mise en œuvre et la réalisati</w:t>
      </w:r>
      <w:r>
        <w:t>on du droit au développement, y </w:t>
      </w:r>
      <w:r w:rsidRPr="00B00F55">
        <w:t>compris sur les incidences du Programme 2030, et espère que le Groupe de travail pourra participer au f</w:t>
      </w:r>
      <w:r>
        <w:t>orum politique de haut niveau sur le développement durable ;</w:t>
      </w:r>
    </w:p>
    <w:p w:rsidR="0064563E" w:rsidRPr="00B00F55" w:rsidRDefault="0064563E" w:rsidP="0064563E">
      <w:pPr>
        <w:pStyle w:val="SingleTxtG"/>
        <w:ind w:firstLine="567"/>
      </w:pPr>
      <w:r w:rsidRPr="00B00F55">
        <w:t>15.</w:t>
      </w:r>
      <w:r w:rsidRPr="00B00F55">
        <w:tab/>
      </w:r>
      <w:r w:rsidRPr="00B00F55">
        <w:rPr>
          <w:i/>
        </w:rPr>
        <w:t xml:space="preserve">Accueille avec satisfaction </w:t>
      </w:r>
      <w:r w:rsidRPr="00B00F55">
        <w:t xml:space="preserve">le rapport </w:t>
      </w:r>
      <w:r>
        <w:t>que le</w:t>
      </w:r>
      <w:r w:rsidRPr="00B00F55">
        <w:t xml:space="preserve"> Rapporteur spécial sur le </w:t>
      </w:r>
      <w:r w:rsidRPr="00B00F55">
        <w:lastRenderedPageBreak/>
        <w:t>droit au développement</w:t>
      </w:r>
      <w:r>
        <w:t xml:space="preserve"> lui a soumis</w:t>
      </w:r>
      <w:r w:rsidRPr="00B8103C">
        <w:rPr>
          <w:rStyle w:val="FootnoteReference"/>
        </w:rPr>
        <w:footnoteReference w:id="9"/>
      </w:r>
      <w:r w:rsidRPr="00B00F55">
        <w:t xml:space="preserve"> et prie le Rapporteur spécial d</w:t>
      </w:r>
      <w:r>
        <w:t>’</w:t>
      </w:r>
      <w:r w:rsidRPr="00B00F55">
        <w:t>accorder, conformément à son mandat,</w:t>
      </w:r>
      <w:r>
        <w:t xml:space="preserve"> </w:t>
      </w:r>
      <w:r w:rsidRPr="00B00F55">
        <w:t>une attention particulière à la réalisation du droit au développement, qui facilite le plein exercice des droits de l</w:t>
      </w:r>
      <w:r>
        <w:t>’</w:t>
      </w:r>
      <w:r w:rsidRPr="00B00F55">
        <w:t>homme ;</w:t>
      </w:r>
    </w:p>
    <w:p w:rsidR="0064563E" w:rsidRDefault="0064563E" w:rsidP="0064563E">
      <w:pPr>
        <w:pStyle w:val="SingleTxtG"/>
        <w:ind w:firstLine="567"/>
      </w:pPr>
      <w:r>
        <w:t>16.</w:t>
      </w:r>
      <w:r>
        <w:tab/>
      </w:r>
      <w:r>
        <w:rPr>
          <w:i/>
        </w:rPr>
        <w:t xml:space="preserve">Se félicite </w:t>
      </w:r>
      <w:r>
        <w:t>des consultations avec les États et des consultations régionales que le Rapporteur spécial sur le droit au développement a déjà menées sur la réalisation du droit au développement</w:t>
      </w:r>
      <w:r w:rsidR="00BF3D16">
        <w:t> ;</w:t>
      </w:r>
    </w:p>
    <w:p w:rsidR="0064563E" w:rsidRPr="00B00F55" w:rsidRDefault="0064563E" w:rsidP="006943A5">
      <w:pPr>
        <w:pStyle w:val="SingleTxtG"/>
        <w:keepNext/>
        <w:ind w:firstLine="567"/>
      </w:pPr>
      <w:r>
        <w:t>17</w:t>
      </w:r>
      <w:r w:rsidRPr="00B00F55">
        <w:t>.</w:t>
      </w:r>
      <w:r w:rsidRPr="00B00F55">
        <w:tab/>
      </w:r>
      <w:r w:rsidRPr="00B00F55">
        <w:rPr>
          <w:i/>
        </w:rPr>
        <w:t>Décide</w:t>
      </w:r>
      <w:r w:rsidRPr="00B00F55">
        <w:t> :</w:t>
      </w:r>
    </w:p>
    <w:p w:rsidR="0064563E" w:rsidRPr="00B00F55" w:rsidRDefault="0064563E" w:rsidP="0064563E">
      <w:pPr>
        <w:pStyle w:val="SingleTxtG"/>
        <w:ind w:firstLine="567"/>
      </w:pPr>
      <w:r w:rsidRPr="006943A5">
        <w:rPr>
          <w:iCs/>
        </w:rPr>
        <w:t>a</w:t>
      </w:r>
      <w:r w:rsidRPr="00B00F55">
        <w:t>)</w:t>
      </w:r>
      <w:r w:rsidRPr="00B00F55">
        <w:tab/>
        <w:t xml:space="preserve">De continuer de veiller à ce que son ordre du jour contribue à </w:t>
      </w:r>
      <w:r w:rsidRPr="00B00F55">
        <w:lastRenderedPageBreak/>
        <w:t>promouvoir et à favoriser le développement durable et la réalisation des objectifs du Millénaire pour le développement qui n</w:t>
      </w:r>
      <w:r>
        <w:t>’</w:t>
      </w:r>
      <w:r w:rsidRPr="00B00F55">
        <w:t>ont pas encore été atteints et des objectifs de développement durable et, à cet égard, de placer le droit au développement, tel qu</w:t>
      </w:r>
      <w:r>
        <w:t>’</w:t>
      </w:r>
      <w:r w:rsidRPr="00B00F55">
        <w:t>il est énoncé aux paragraphes</w:t>
      </w:r>
      <w:r>
        <w:t> </w:t>
      </w:r>
      <w:r w:rsidRPr="00B00F55">
        <w:t>5 et 10 de la Déclaration et du Programme d</w:t>
      </w:r>
      <w:r>
        <w:t>’</w:t>
      </w:r>
      <w:r w:rsidRPr="00B00F55">
        <w:t>action de Vienne, sur un pied d</w:t>
      </w:r>
      <w:r>
        <w:t>’</w:t>
      </w:r>
      <w:r w:rsidRPr="00B00F55">
        <w:t>égalité avec tous les autres droits de l</w:t>
      </w:r>
      <w:r>
        <w:t>’</w:t>
      </w:r>
      <w:r w:rsidRPr="00B00F55">
        <w:t>homme et libertés fondamentales ;</w:t>
      </w:r>
    </w:p>
    <w:p w:rsidR="0064563E" w:rsidRPr="00B00F55" w:rsidRDefault="0064563E" w:rsidP="0064563E">
      <w:pPr>
        <w:pStyle w:val="SingleTxtG"/>
        <w:ind w:firstLine="567"/>
      </w:pPr>
      <w:r w:rsidRPr="006943A5">
        <w:rPr>
          <w:iCs/>
        </w:rPr>
        <w:t>b</w:t>
      </w:r>
      <w:r w:rsidRPr="006943A5">
        <w:t>)</w:t>
      </w:r>
      <w:r w:rsidRPr="00B00F55">
        <w:tab/>
        <w:t>D</w:t>
      </w:r>
      <w:r>
        <w:t>’</w:t>
      </w:r>
      <w:r w:rsidRPr="00B00F55">
        <w:t>approuver les recommandations formulées par le Groupe de travail telles qu</w:t>
      </w:r>
      <w:r>
        <w:t>’</w:t>
      </w:r>
      <w:r w:rsidRPr="00B00F55">
        <w:t>elles ont été adoptées à sa dix-</w:t>
      </w:r>
      <w:r>
        <w:t>neuvième</w:t>
      </w:r>
      <w:r w:rsidRPr="00B00F55">
        <w:t xml:space="preserve"> session ;</w:t>
      </w:r>
    </w:p>
    <w:p w:rsidR="0064563E" w:rsidRDefault="0064563E" w:rsidP="0064563E">
      <w:pPr>
        <w:pStyle w:val="SingleTxtG"/>
        <w:ind w:firstLine="567"/>
      </w:pPr>
      <w:r w:rsidRPr="006943A5">
        <w:rPr>
          <w:iCs/>
        </w:rPr>
        <w:lastRenderedPageBreak/>
        <w:t>c</w:t>
      </w:r>
      <w:r w:rsidRPr="00B00F55">
        <w:t>)</w:t>
      </w:r>
      <w:r w:rsidRPr="00B00F55">
        <w:tab/>
        <w:t>Que le Groupe de travai</w:t>
      </w:r>
      <w:r>
        <w:t>l</w:t>
      </w:r>
      <w:r w:rsidR="006943A5">
        <w:t xml:space="preserve"> tiendra compte des résolutions </w:t>
      </w:r>
      <w:r w:rsidRPr="00B00F55">
        <w:t xml:space="preserve">9/3 </w:t>
      </w:r>
      <w:r>
        <w:t xml:space="preserve">et 36/9 </w:t>
      </w:r>
      <w:r w:rsidRPr="00B00F55">
        <w:t>du Conseil des droits de l</w:t>
      </w:r>
      <w:r>
        <w:t>’</w:t>
      </w:r>
      <w:r w:rsidRPr="00B00F55">
        <w:t>homme</w:t>
      </w:r>
      <w:r>
        <w:t xml:space="preserve"> ; </w:t>
      </w:r>
    </w:p>
    <w:p w:rsidR="0064563E" w:rsidRDefault="0064563E" w:rsidP="0064563E">
      <w:pPr>
        <w:pStyle w:val="SingleTxtG"/>
        <w:ind w:firstLine="567"/>
      </w:pPr>
      <w:r w:rsidRPr="006943A5">
        <w:t>d</w:t>
      </w:r>
      <w:r w:rsidRPr="00B00F55">
        <w:t>)</w:t>
      </w:r>
      <w:r w:rsidRPr="00B00F55">
        <w:tab/>
        <w:t xml:space="preserve">Que le Groupe de travail invitera, en consultation avec les États Membres, le Rapporteur spécial à lui faire part à sa </w:t>
      </w:r>
      <w:r>
        <w:t xml:space="preserve">vingtième </w:t>
      </w:r>
      <w:r w:rsidRPr="00B00F55">
        <w:t>session de son point de vue sur les travaux du Groupe et les points pertinents de son ordre du jour ;</w:t>
      </w:r>
    </w:p>
    <w:p w:rsidR="0064563E" w:rsidRDefault="0064563E" w:rsidP="0064563E">
      <w:pPr>
        <w:pStyle w:val="SingleTxtG"/>
        <w:ind w:firstLine="567"/>
      </w:pPr>
      <w:r>
        <w:t>e)</w:t>
      </w:r>
      <w:r>
        <w:tab/>
      </w:r>
      <w:r w:rsidRPr="00B00F55">
        <w:t xml:space="preserve">Que le Groupe de travail </w:t>
      </w:r>
      <w:r>
        <w:t>ouvrira à sa vingtième session le débat visant à élaborer un projet d’</w:t>
      </w:r>
      <w:r w:rsidRPr="008420DF">
        <w:t>instrument juridiquement contraignant sur le droit au développement</w:t>
      </w:r>
      <w:r>
        <w:t xml:space="preserve">, dans le cadre d’un processus de dialogue fondé sur la collaboration, s’agissant notamment du </w:t>
      </w:r>
      <w:r>
        <w:lastRenderedPageBreak/>
        <w:t>contenu et de la portée du futur instrument ;</w:t>
      </w:r>
    </w:p>
    <w:p w:rsidR="0064563E" w:rsidRPr="00B00F55" w:rsidRDefault="0064563E" w:rsidP="0064563E">
      <w:pPr>
        <w:pStyle w:val="SingleTxtG"/>
        <w:ind w:firstLine="567"/>
      </w:pPr>
      <w:r w:rsidRPr="006943A5">
        <w:t>f</w:t>
      </w:r>
      <w:r>
        <w:t>)</w:t>
      </w:r>
      <w:r>
        <w:tab/>
        <w:t xml:space="preserve">Que le Président-Rapporteur du Groupe de travail établira un projet d’instrument juridiquement contraignant en se fondant sur les débats tenus au cours de la vingtième session du Groupe de travail et la documentation issue de ses sessions précédentes, qui serviront de base à des négociations sur le fond concernant un projet d’instrument juridiquement contraignant, à compter de sa vingt et unième session ; </w:t>
      </w:r>
    </w:p>
    <w:p w:rsidR="0064563E" w:rsidRDefault="0064563E" w:rsidP="0064563E">
      <w:pPr>
        <w:pStyle w:val="SingleTxtG"/>
        <w:ind w:firstLine="567"/>
      </w:pPr>
      <w:r>
        <w:t>18</w:t>
      </w:r>
      <w:r w:rsidRPr="00B00F55">
        <w:t>.</w:t>
      </w:r>
      <w:r w:rsidRPr="00B00F55">
        <w:tab/>
      </w:r>
      <w:r w:rsidRPr="00E46AD6">
        <w:rPr>
          <w:i/>
        </w:rPr>
        <w:t>Prie</w:t>
      </w:r>
      <w:r>
        <w:t xml:space="preserve"> le </w:t>
      </w:r>
      <w:r w:rsidRPr="00E46AD6">
        <w:t>Comité consultatif du Conseil des droits de l</w:t>
      </w:r>
      <w:r>
        <w:t>’</w:t>
      </w:r>
      <w:r w:rsidRPr="00E46AD6">
        <w:t>homme</w:t>
      </w:r>
      <w:r>
        <w:t xml:space="preserve"> d’établir, en tenant compte des vues des </w:t>
      </w:r>
      <w:r w:rsidRPr="009273A5">
        <w:t xml:space="preserve">États Membres, un rapport fondé sur des </w:t>
      </w:r>
      <w:r w:rsidRPr="009273A5">
        <w:lastRenderedPageBreak/>
        <w:t>travaux de recherche sur l</w:t>
      </w:r>
      <w:r>
        <w:t>’</w:t>
      </w:r>
      <w:r w:rsidRPr="009273A5">
        <w:t>importance d</w:t>
      </w:r>
      <w:r>
        <w:t>’</w:t>
      </w:r>
      <w:r w:rsidRPr="009273A5">
        <w:t>un instrument juridiquement contraignant sur le</w:t>
      </w:r>
      <w:r>
        <w:t xml:space="preserve"> droit au développement, de présenter un exposé oral sur l’état d’avancement du rapport au Conseil à sa quarante</w:t>
      </w:r>
      <w:r w:rsidR="00BF3D16">
        <w:noBreakHyphen/>
      </w:r>
      <w:r>
        <w:t xml:space="preserve">deuxième session, et de présenter le rapport à sa quarante-cinquième session ; </w:t>
      </w:r>
    </w:p>
    <w:p w:rsidR="0064563E" w:rsidRDefault="0064563E" w:rsidP="0064563E">
      <w:pPr>
        <w:pStyle w:val="SingleTxtG"/>
        <w:ind w:firstLine="567"/>
      </w:pPr>
      <w:r>
        <w:t>19.</w:t>
      </w:r>
      <w:r>
        <w:tab/>
      </w:r>
      <w:r>
        <w:rPr>
          <w:i/>
        </w:rPr>
        <w:t>Prie</w:t>
      </w:r>
      <w:r>
        <w:t xml:space="preserve"> le Rapporteur spécial de participer </w:t>
      </w:r>
      <w:r w:rsidRPr="00825CAE">
        <w:t>aux rencontres et dialogues internationaux consacrés à l</w:t>
      </w:r>
      <w:r>
        <w:t>’</w:t>
      </w:r>
      <w:r w:rsidRPr="00825CAE">
        <w:t>exécution du Programme de développement durable à l</w:t>
      </w:r>
      <w:r>
        <w:t>’</w:t>
      </w:r>
      <w:r w:rsidRPr="00825CAE">
        <w:t>horizon 2030</w:t>
      </w:r>
      <w:r>
        <w:t xml:space="preserve">, notamment au forum politique de haut niveau sur le développement durable, le financement du développement, les changements climatiques et la réduction des risques de catastrophe, en vue de renforcer </w:t>
      </w:r>
      <w:r>
        <w:lastRenderedPageBreak/>
        <w:t>l’intégration du droit au développement dans le cadre de ces réunions, et prie les États membres, les organisations internationales, les organismes des Nations Unies, les commissions économiques régionales et les autres organisations concernées d’aider le Rapporteur spécial à participer efficacement à ces réunions ;</w:t>
      </w:r>
    </w:p>
    <w:p w:rsidR="0064563E" w:rsidRPr="00825CAE" w:rsidRDefault="0064563E" w:rsidP="006943A5">
      <w:pPr>
        <w:pStyle w:val="SingleTxtG"/>
        <w:keepLines/>
        <w:ind w:firstLine="567"/>
      </w:pPr>
      <w:r>
        <w:lastRenderedPageBreak/>
        <w:t>20.</w:t>
      </w:r>
      <w:r>
        <w:tab/>
      </w:r>
      <w:r>
        <w:rPr>
          <w:i/>
        </w:rPr>
        <w:t xml:space="preserve">Invite </w:t>
      </w:r>
      <w:r>
        <w:t xml:space="preserve">le Rapporteur spécial à apporter ses conseils aux États, aux institutions financières et économiques internationales et autres instances compétentes à cet égard, au secteur privé, et à la société civile sur les mesures à prendre pour atteindre les objectifs et les cibles liés aux moyens d’exécution du Programme 2030 en vue de réaliser pleinement le droit au développement ; </w:t>
      </w:r>
    </w:p>
    <w:p w:rsidR="0064563E" w:rsidRDefault="0064563E" w:rsidP="0064563E">
      <w:pPr>
        <w:pStyle w:val="SingleTxtG"/>
        <w:ind w:firstLine="567"/>
      </w:pPr>
      <w:r w:rsidRPr="008E07DB">
        <w:t>21.</w:t>
      </w:r>
      <w:r w:rsidRPr="008E07DB">
        <w:tab/>
      </w:r>
      <w:r w:rsidRPr="00B00F55">
        <w:rPr>
          <w:i/>
        </w:rPr>
        <w:t>Encourage</w:t>
      </w:r>
      <w:r w:rsidRPr="00B00F55">
        <w:t xml:space="preserve"> les organismes compétents du système des Nations Unies, dans le cadre de leurs mandats respectifs, y</w:t>
      </w:r>
      <w:r>
        <w:t xml:space="preserve"> </w:t>
      </w:r>
      <w:r w:rsidRPr="00B00F55">
        <w:t xml:space="preserve">compris les institutions spécialisées, fonds et programmes, et les organisations internationales compétentes, y </w:t>
      </w:r>
      <w:r w:rsidRPr="00174B44">
        <w:t>compris</w:t>
      </w:r>
      <w:r w:rsidRPr="00B00F55">
        <w:t xml:space="preserve"> l</w:t>
      </w:r>
      <w:r>
        <w:t>’</w:t>
      </w:r>
      <w:r w:rsidRPr="00B00F55">
        <w:t xml:space="preserve">Organisation </w:t>
      </w:r>
      <w:r w:rsidRPr="00B00F55">
        <w:lastRenderedPageBreak/>
        <w:t>mondiale du commerce et les parties prenantes concernées, notamment les organisations de la société civile, à tenir dûment compte du droit au développement</w:t>
      </w:r>
      <w:r>
        <w:t xml:space="preserve"> dans </w:t>
      </w:r>
      <w:r w:rsidRPr="00B00F55">
        <w:t>l</w:t>
      </w:r>
      <w:r>
        <w:t>’</w:t>
      </w:r>
      <w:r w:rsidRPr="00B00F55">
        <w:t>exécution du Programme de développement durable à l</w:t>
      </w:r>
      <w:r>
        <w:t>’</w:t>
      </w:r>
      <w:r w:rsidRPr="00B00F55">
        <w:t xml:space="preserve">horizon 2030, à contribuer davantage aux activités du Groupe de travail sur le droit au développement et à coopérer avec </w:t>
      </w:r>
      <w:r>
        <w:t xml:space="preserve">la </w:t>
      </w:r>
      <w:r w:rsidRPr="00B00F55">
        <w:t>Haut</w:t>
      </w:r>
      <w:r>
        <w:t>e</w:t>
      </w:r>
      <w:r>
        <w:noBreakHyphen/>
      </w:r>
      <w:r w:rsidRPr="00B00F55">
        <w:t>Commissaire et le Rapporteur spécial dans l</w:t>
      </w:r>
      <w:r>
        <w:t>’</w:t>
      </w:r>
      <w:r w:rsidRPr="00B00F55">
        <w:t xml:space="preserve">exécution des aspects de leur mandat </w:t>
      </w:r>
      <w:r>
        <w:t>qui intéressent la réalisation</w:t>
      </w:r>
      <w:r w:rsidRPr="00B00F55">
        <w:t xml:space="preserve"> du droit au développement ;</w:t>
      </w:r>
    </w:p>
    <w:p w:rsidR="0064563E" w:rsidRDefault="0064563E" w:rsidP="0064563E">
      <w:pPr>
        <w:pStyle w:val="SingleTxtG"/>
        <w:ind w:firstLine="567"/>
      </w:pPr>
      <w:r>
        <w:t>22.</w:t>
      </w:r>
      <w:r>
        <w:tab/>
      </w:r>
      <w:r w:rsidRPr="00B00F55">
        <w:rPr>
          <w:i/>
        </w:rPr>
        <w:t>Décide</w:t>
      </w:r>
      <w:r w:rsidRPr="00B00F55">
        <w:t xml:space="preserve"> d</w:t>
      </w:r>
      <w:r>
        <w:t>’</w:t>
      </w:r>
      <w:r w:rsidRPr="00B00F55">
        <w:t>examiner à titre prioritaire, à ses futures sessions, les progrès accomplis dans la mise en œuvre de la présente résolution.</w:t>
      </w:r>
    </w:p>
    <w:p w:rsidR="0064563E" w:rsidRDefault="0064563E" w:rsidP="0064563E">
      <w:pPr>
        <w:pStyle w:val="SingleTxtG"/>
        <w:ind w:firstLine="567"/>
        <w:jc w:val="right"/>
      </w:pPr>
      <w:r w:rsidRPr="006E046E">
        <w:rPr>
          <w:i/>
        </w:rPr>
        <w:lastRenderedPageBreak/>
        <w:t>39</w:t>
      </w:r>
      <w:r w:rsidRPr="006E046E">
        <w:rPr>
          <w:i/>
          <w:vertAlign w:val="superscript"/>
        </w:rPr>
        <w:t xml:space="preserve">e </w:t>
      </w:r>
      <w:r w:rsidRPr="006E046E">
        <w:rPr>
          <w:i/>
        </w:rPr>
        <w:t>séance</w:t>
      </w:r>
      <w:r w:rsidR="002976F7">
        <w:rPr>
          <w:i/>
        </w:rPr>
        <w:br/>
      </w:r>
      <w:r w:rsidRPr="006E046E">
        <w:rPr>
          <w:i/>
        </w:rPr>
        <w:t>27 septembre 2018</w:t>
      </w:r>
    </w:p>
    <w:p w:rsidR="0064563E" w:rsidRDefault="0064563E" w:rsidP="002976F7">
      <w:pPr>
        <w:pStyle w:val="SingleTxtG"/>
        <w:keepNext/>
      </w:pPr>
      <w:r>
        <w:t>[Adoptée par 30 voix contre 12, avec 5 abstentions, à l’issue d’un vote enregistré. Les vo</w:t>
      </w:r>
      <w:r w:rsidR="002976F7">
        <w:t>ix se sont réparties comme suit </w:t>
      </w:r>
      <w:r>
        <w:t xml:space="preserve">: </w:t>
      </w:r>
    </w:p>
    <w:p w:rsidR="0064563E" w:rsidRDefault="0064563E" w:rsidP="002976F7">
      <w:pPr>
        <w:pStyle w:val="SingleTxtG"/>
        <w:spacing w:after="0"/>
        <w:ind w:firstLine="567"/>
        <w:jc w:val="left"/>
      </w:pPr>
      <w:r w:rsidRPr="006E046E">
        <w:rPr>
          <w:i/>
        </w:rPr>
        <w:t>Ont voté pour</w:t>
      </w:r>
      <w:r w:rsidR="002976F7">
        <w:t> </w:t>
      </w:r>
      <w:r>
        <w:t xml:space="preserve">: </w:t>
      </w:r>
    </w:p>
    <w:p w:rsidR="0064563E" w:rsidRDefault="0064563E" w:rsidP="00CC24BC">
      <w:pPr>
        <w:spacing w:after="120"/>
        <w:ind w:left="2268" w:right="1134"/>
        <w:jc w:val="both"/>
      </w:pPr>
      <w:r w:rsidRPr="006E046E">
        <w:t>Afghanistan, Afrique du Sud, Angola, Arabie saoudite, Brésil, Burundi, Chili, Chine, Côte d</w:t>
      </w:r>
      <w:r>
        <w:t>’</w:t>
      </w:r>
      <w:r w:rsidRPr="006E046E">
        <w:t>Ivoire, Cuba, Égypte, Équateur, Émirats arabes unis, Éthiopie, Iraq, Kenya, Kirghizistan, Mongolie, Népal, Nigéria, Pakistan, Pérou, Philippines, Qatar, Rwanda, République démocratique d</w:t>
      </w:r>
      <w:r w:rsidR="00BF3D16">
        <w:t xml:space="preserve">u Congo, Sénégal, Togo, Tunisie, </w:t>
      </w:r>
      <w:r w:rsidRPr="006E046E">
        <w:lastRenderedPageBreak/>
        <w:t>Venezuela (République bolivarienne du)</w:t>
      </w:r>
      <w:r w:rsidR="002976F7">
        <w:t>.</w:t>
      </w:r>
    </w:p>
    <w:p w:rsidR="0064563E" w:rsidRDefault="0064563E" w:rsidP="002976F7">
      <w:pPr>
        <w:pStyle w:val="SingleTxtG"/>
        <w:spacing w:after="0"/>
        <w:ind w:firstLine="567"/>
        <w:jc w:val="left"/>
      </w:pPr>
      <w:r w:rsidRPr="006E046E">
        <w:rPr>
          <w:i/>
        </w:rPr>
        <w:t>Ont voté contre</w:t>
      </w:r>
      <w:r w:rsidR="00BF3D16">
        <w:t> </w:t>
      </w:r>
      <w:r>
        <w:t>:</w:t>
      </w:r>
    </w:p>
    <w:p w:rsidR="0064563E" w:rsidRDefault="0064563E" w:rsidP="00CC24BC">
      <w:pPr>
        <w:spacing w:after="120"/>
        <w:ind w:left="2268" w:right="1134"/>
        <w:jc w:val="both"/>
      </w:pPr>
      <w:r w:rsidRPr="007F67C2">
        <w:t>Allemagne, Australie, Belgique, Croatie, Espagne, Géorgie, Hongrie, Royaume-Uni de Grande-Bretagne et d</w:t>
      </w:r>
      <w:r>
        <w:t>’</w:t>
      </w:r>
      <w:r w:rsidRPr="007F67C2">
        <w:t>Irlande du Nord, Slovaquie, Slovénie, Suisse, Ukraine.</w:t>
      </w:r>
    </w:p>
    <w:p w:rsidR="0064563E" w:rsidRDefault="0064563E" w:rsidP="002976F7">
      <w:pPr>
        <w:pStyle w:val="SingleTxtG"/>
        <w:spacing w:after="0"/>
        <w:ind w:firstLine="567"/>
        <w:jc w:val="left"/>
      </w:pPr>
      <w:r w:rsidRPr="006E046E">
        <w:rPr>
          <w:i/>
        </w:rPr>
        <w:t>Se sont abstenus</w:t>
      </w:r>
      <w:r w:rsidR="00BF3D16">
        <w:t> </w:t>
      </w:r>
      <w:r>
        <w:t>:</w:t>
      </w:r>
    </w:p>
    <w:p w:rsidR="0064563E" w:rsidRDefault="0064563E" w:rsidP="00CC24BC">
      <w:pPr>
        <w:spacing w:after="120"/>
        <w:ind w:left="2268" w:right="1134"/>
        <w:jc w:val="both"/>
      </w:pPr>
      <w:r w:rsidRPr="007F67C2">
        <w:t>Islande, Japon, Mexique, Panama, République de Corée</w:t>
      </w:r>
      <w:r w:rsidR="00CC24BC">
        <w:t>.</w:t>
      </w:r>
      <w:r>
        <w:t>]</w:t>
      </w:r>
    </w:p>
    <w:p w:rsidR="003B0A99" w:rsidRPr="00CC24BC" w:rsidRDefault="00CC24BC" w:rsidP="00CC24BC">
      <w:pPr>
        <w:pStyle w:val="SingleTxtG"/>
        <w:spacing w:before="240" w:after="0"/>
        <w:jc w:val="center"/>
        <w:rPr>
          <w:u w:val="single"/>
        </w:rPr>
      </w:pPr>
      <w:r>
        <w:rPr>
          <w:u w:val="single"/>
        </w:rPr>
        <w:tab/>
      </w:r>
      <w:r>
        <w:rPr>
          <w:u w:val="single"/>
        </w:rPr>
        <w:tab/>
      </w:r>
      <w:r>
        <w:rPr>
          <w:u w:val="single"/>
        </w:rPr>
        <w:tab/>
      </w:r>
    </w:p>
    <w:sectPr w:rsidR="003B0A99" w:rsidRPr="00CC24BC" w:rsidSect="0064563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B1" w:rsidRPr="00E972EF" w:rsidRDefault="00122AB1" w:rsidP="00E972EF">
      <w:pPr>
        <w:pStyle w:val="Footer"/>
      </w:pPr>
    </w:p>
  </w:endnote>
  <w:endnote w:type="continuationSeparator" w:id="0">
    <w:p w:rsidR="00122AB1" w:rsidRPr="00E972EF" w:rsidRDefault="00122AB1" w:rsidP="00E972EF">
      <w:pPr>
        <w:pStyle w:val="Footer"/>
      </w:pPr>
    </w:p>
  </w:endnote>
  <w:endnote w:type="continuationNotice" w:id="1">
    <w:p w:rsidR="00122AB1" w:rsidRDefault="00122A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3E" w:rsidRPr="0064563E" w:rsidRDefault="0064563E" w:rsidP="0064563E">
    <w:pPr>
      <w:pStyle w:val="Footer"/>
      <w:tabs>
        <w:tab w:val="right" w:pos="9638"/>
      </w:tabs>
    </w:pPr>
    <w:r w:rsidRPr="0064563E">
      <w:rPr>
        <w:b/>
        <w:sz w:val="18"/>
      </w:rPr>
      <w:fldChar w:fldCharType="begin"/>
    </w:r>
    <w:r w:rsidRPr="0064563E">
      <w:rPr>
        <w:b/>
        <w:sz w:val="18"/>
      </w:rPr>
      <w:instrText xml:space="preserve"> PAGE  \* MERGEFORMAT </w:instrText>
    </w:r>
    <w:r w:rsidRPr="0064563E">
      <w:rPr>
        <w:b/>
        <w:sz w:val="18"/>
      </w:rPr>
      <w:fldChar w:fldCharType="separate"/>
    </w:r>
    <w:r w:rsidR="00192A20">
      <w:rPr>
        <w:b/>
        <w:noProof/>
        <w:sz w:val="18"/>
      </w:rPr>
      <w:t>6</w:t>
    </w:r>
    <w:r w:rsidRPr="0064563E">
      <w:rPr>
        <w:b/>
        <w:sz w:val="18"/>
      </w:rPr>
      <w:fldChar w:fldCharType="end"/>
    </w:r>
    <w:r>
      <w:rPr>
        <w:b/>
        <w:sz w:val="18"/>
      </w:rPr>
      <w:tab/>
    </w:r>
    <w:r>
      <w:t>GE.18-16417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3E" w:rsidRPr="0064563E" w:rsidRDefault="0064563E" w:rsidP="0064563E">
    <w:pPr>
      <w:pStyle w:val="Footer"/>
      <w:tabs>
        <w:tab w:val="right" w:pos="9638"/>
      </w:tabs>
      <w:rPr>
        <w:b/>
        <w:sz w:val="18"/>
      </w:rPr>
    </w:pPr>
    <w:r>
      <w:t>GE.18-16417</w:t>
    </w:r>
    <w:r>
      <w:tab/>
    </w:r>
    <w:r w:rsidRPr="0064563E">
      <w:rPr>
        <w:b/>
        <w:sz w:val="18"/>
      </w:rPr>
      <w:fldChar w:fldCharType="begin"/>
    </w:r>
    <w:r w:rsidRPr="0064563E">
      <w:rPr>
        <w:b/>
        <w:sz w:val="18"/>
      </w:rPr>
      <w:instrText xml:space="preserve"> PAGE  \* MERGEFORMAT </w:instrText>
    </w:r>
    <w:r w:rsidRPr="0064563E">
      <w:rPr>
        <w:b/>
        <w:sz w:val="18"/>
      </w:rPr>
      <w:fldChar w:fldCharType="separate"/>
    </w:r>
    <w:r w:rsidR="00192A20">
      <w:rPr>
        <w:b/>
        <w:noProof/>
        <w:sz w:val="18"/>
      </w:rPr>
      <w:t>5</w:t>
    </w:r>
    <w:r w:rsidRPr="006456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64563E" w:rsidRDefault="0064563E" w:rsidP="0064563E">
    <w:pPr>
      <w:pStyle w:val="Footer"/>
      <w:spacing w:before="120"/>
      <w:rPr>
        <w:sz w:val="20"/>
      </w:rPr>
    </w:pPr>
    <w:r>
      <w:rPr>
        <w:sz w:val="20"/>
      </w:rPr>
      <w:t>GE.</w:t>
    </w:r>
    <w:r w:rsidR="0094352E">
      <w:rPr>
        <w:noProof/>
        <w:lang w:val="en-GB" w:eastAsia="en-GB"/>
      </w:rPr>
      <w:drawing>
        <wp:anchor distT="0" distB="0" distL="114300" distR="114300" simplePos="0" relativeHeight="251660288" behindDoc="0" locked="0" layoutInCell="1" allowOverlap="0" wp14:anchorId="12AE4864" wp14:editId="431BDFB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18-16417  (F)</w:t>
    </w:r>
    <w:r w:rsidR="00F476D2">
      <w:rPr>
        <w:sz w:val="20"/>
      </w:rPr>
      <w:t xml:space="preserve">    081018    081018</w:t>
    </w:r>
    <w:r>
      <w:rPr>
        <w:sz w:val="20"/>
      </w:rPr>
      <w:br/>
    </w:r>
    <w:r w:rsidRPr="0064563E">
      <w:rPr>
        <w:rFonts w:ascii="C39T30Lfz" w:hAnsi="C39T30Lfz"/>
        <w:sz w:val="56"/>
      </w:rPr>
      <w:t></w:t>
    </w:r>
    <w:r w:rsidRPr="0064563E">
      <w:rPr>
        <w:rFonts w:ascii="C39T30Lfz" w:hAnsi="C39T30Lfz"/>
        <w:sz w:val="56"/>
      </w:rPr>
      <w:t></w:t>
    </w:r>
    <w:r w:rsidRPr="0064563E">
      <w:rPr>
        <w:rFonts w:ascii="C39T30Lfz" w:hAnsi="C39T30Lfz"/>
        <w:sz w:val="56"/>
      </w:rPr>
      <w:t></w:t>
    </w:r>
    <w:r w:rsidRPr="0064563E">
      <w:rPr>
        <w:rFonts w:ascii="C39T30Lfz" w:hAnsi="C39T30Lfz"/>
        <w:sz w:val="56"/>
      </w:rPr>
      <w:t></w:t>
    </w:r>
    <w:r w:rsidRPr="0064563E">
      <w:rPr>
        <w:rFonts w:ascii="C39T30Lfz" w:hAnsi="C39T30Lfz"/>
        <w:sz w:val="56"/>
      </w:rPr>
      <w:t></w:t>
    </w:r>
    <w:r w:rsidRPr="0064563E">
      <w:rPr>
        <w:rFonts w:ascii="C39T30Lfz" w:hAnsi="C39T30Lfz"/>
        <w:sz w:val="56"/>
      </w:rPr>
      <w:t></w:t>
    </w:r>
    <w:r w:rsidRPr="0064563E">
      <w:rPr>
        <w:rFonts w:ascii="C39T30Lfz" w:hAnsi="C39T30Lfz"/>
        <w:sz w:val="56"/>
      </w:rPr>
      <w:t></w:t>
    </w:r>
    <w:r w:rsidRPr="0064563E">
      <w:rPr>
        <w:rFonts w:ascii="C39T30Lfz" w:hAnsi="C39T30Lfz"/>
        <w:sz w:val="56"/>
      </w:rPr>
      <w:t></w:t>
    </w:r>
    <w:r w:rsidRPr="0064563E">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RES/39/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9/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B1" w:rsidRPr="00E972EF" w:rsidRDefault="00122AB1" w:rsidP="00E972EF">
      <w:pPr>
        <w:pStyle w:val="Footer"/>
        <w:tabs>
          <w:tab w:val="right" w:pos="2155"/>
        </w:tabs>
        <w:spacing w:after="80" w:line="240" w:lineRule="atLeast"/>
        <w:ind w:left="680"/>
        <w:rPr>
          <w:u w:val="single"/>
        </w:rPr>
      </w:pPr>
      <w:r>
        <w:rPr>
          <w:u w:val="single"/>
        </w:rPr>
        <w:tab/>
      </w:r>
    </w:p>
  </w:footnote>
  <w:footnote w:type="continuationSeparator" w:id="0">
    <w:p w:rsidR="00122AB1" w:rsidRPr="002D61A2" w:rsidRDefault="00122AB1" w:rsidP="002D61A2">
      <w:pPr>
        <w:pStyle w:val="Footer"/>
        <w:tabs>
          <w:tab w:val="right" w:pos="2155"/>
        </w:tabs>
        <w:spacing w:after="80" w:line="240" w:lineRule="atLeast"/>
        <w:ind w:left="680"/>
      </w:pPr>
      <w:r>
        <w:rPr>
          <w:u w:val="single"/>
        </w:rPr>
        <w:tab/>
      </w:r>
    </w:p>
  </w:footnote>
  <w:footnote w:type="continuationNotice" w:id="1">
    <w:p w:rsidR="00122AB1" w:rsidRPr="002D61A2" w:rsidRDefault="00122AB1">
      <w:pPr>
        <w:spacing w:line="240" w:lineRule="auto"/>
        <w:rPr>
          <w:sz w:val="2"/>
          <w:szCs w:val="2"/>
        </w:rPr>
      </w:pPr>
    </w:p>
  </w:footnote>
  <w:footnote w:id="2">
    <w:p w:rsidR="0064563E" w:rsidRPr="0043567D" w:rsidRDefault="0064563E" w:rsidP="0064563E">
      <w:pPr>
        <w:pStyle w:val="FootnoteText"/>
        <w:rPr>
          <w:lang w:val="en-US"/>
        </w:rPr>
      </w:pPr>
      <w:r>
        <w:tab/>
      </w:r>
      <w:r w:rsidRPr="00B8103C">
        <w:rPr>
          <w:rStyle w:val="FootnoteReference"/>
        </w:rPr>
        <w:footnoteRef/>
      </w:r>
      <w:r w:rsidRPr="0043567D">
        <w:rPr>
          <w:lang w:val="en-US"/>
        </w:rPr>
        <w:tab/>
        <w:t>A/HRC/39/18.</w:t>
      </w:r>
    </w:p>
  </w:footnote>
  <w:footnote w:id="3">
    <w:p w:rsidR="0064563E" w:rsidRPr="0043567D" w:rsidRDefault="0064563E" w:rsidP="0064563E">
      <w:pPr>
        <w:pStyle w:val="FootnoteText"/>
        <w:rPr>
          <w:lang w:val="en-US"/>
        </w:rPr>
      </w:pPr>
      <w:r w:rsidRPr="0043567D">
        <w:rPr>
          <w:lang w:val="en-US"/>
        </w:rPr>
        <w:tab/>
      </w:r>
      <w:r w:rsidRPr="00B8103C">
        <w:rPr>
          <w:rStyle w:val="FootnoteReference"/>
        </w:rPr>
        <w:footnoteRef/>
      </w:r>
      <w:r w:rsidRPr="0043567D">
        <w:rPr>
          <w:lang w:val="en-US"/>
        </w:rPr>
        <w:tab/>
      </w:r>
      <w:r w:rsidRPr="00FE4452">
        <w:rPr>
          <w:lang w:val="en-US"/>
        </w:rPr>
        <w:t>A/HRC/39/56.</w:t>
      </w:r>
    </w:p>
  </w:footnote>
  <w:footnote w:id="4">
    <w:p w:rsidR="0064563E" w:rsidRPr="00772D4D" w:rsidRDefault="0064563E" w:rsidP="0064563E">
      <w:pPr>
        <w:pStyle w:val="FootnoteText"/>
        <w:rPr>
          <w:lang w:val="en-US"/>
        </w:rPr>
      </w:pPr>
      <w:r w:rsidRPr="0043567D">
        <w:rPr>
          <w:lang w:val="en-US"/>
        </w:rPr>
        <w:tab/>
      </w:r>
      <w:r w:rsidRPr="00B8103C">
        <w:rPr>
          <w:rStyle w:val="FootnoteReference"/>
        </w:rPr>
        <w:footnoteRef/>
      </w:r>
      <w:r w:rsidRPr="0043567D">
        <w:rPr>
          <w:lang w:val="en-US"/>
        </w:rPr>
        <w:tab/>
        <w:t>Voir E/CN.4/2002/28/Rev.1.</w:t>
      </w:r>
    </w:p>
  </w:footnote>
  <w:footnote w:id="5">
    <w:p w:rsidR="0064563E" w:rsidRPr="0043567D" w:rsidRDefault="0064563E" w:rsidP="0064563E">
      <w:pPr>
        <w:pStyle w:val="FootnoteText"/>
        <w:rPr>
          <w:lang w:val="en-US"/>
        </w:rPr>
      </w:pPr>
      <w:r w:rsidRPr="0043567D">
        <w:rPr>
          <w:lang w:val="en-US"/>
        </w:rPr>
        <w:tab/>
      </w:r>
      <w:r w:rsidRPr="00B8103C">
        <w:rPr>
          <w:rStyle w:val="FootnoteReference"/>
        </w:rPr>
        <w:footnoteRef/>
      </w:r>
      <w:r w:rsidRPr="0043567D">
        <w:rPr>
          <w:lang w:val="en-US"/>
        </w:rPr>
        <w:tab/>
        <w:t>A/HRC/WG.2/17/2.</w:t>
      </w:r>
    </w:p>
  </w:footnote>
  <w:footnote w:id="6">
    <w:p w:rsidR="0064563E" w:rsidRPr="0043567D" w:rsidRDefault="0064563E" w:rsidP="0064563E">
      <w:pPr>
        <w:pStyle w:val="FootnoteText"/>
        <w:rPr>
          <w:lang w:val="en-US"/>
        </w:rPr>
      </w:pPr>
      <w:r w:rsidRPr="0043567D">
        <w:rPr>
          <w:lang w:val="en-US"/>
        </w:rPr>
        <w:tab/>
      </w:r>
      <w:r w:rsidRPr="00B8103C">
        <w:rPr>
          <w:rStyle w:val="FootnoteReference"/>
        </w:rPr>
        <w:footnoteRef/>
      </w:r>
      <w:r w:rsidRPr="0043567D">
        <w:rPr>
          <w:lang w:val="en-US"/>
        </w:rPr>
        <w:tab/>
        <w:t>A/HRC/WG.2/18/CRP.1.</w:t>
      </w:r>
    </w:p>
  </w:footnote>
  <w:footnote w:id="7">
    <w:p w:rsidR="0064563E" w:rsidRPr="0043567D" w:rsidRDefault="0064563E" w:rsidP="0064563E">
      <w:pPr>
        <w:pStyle w:val="FootnoteText"/>
        <w:rPr>
          <w:lang w:val="en-US"/>
        </w:rPr>
      </w:pPr>
      <w:r w:rsidRPr="0043567D">
        <w:rPr>
          <w:lang w:val="en-US"/>
        </w:rPr>
        <w:tab/>
      </w:r>
      <w:r w:rsidRPr="00B8103C">
        <w:rPr>
          <w:rStyle w:val="FootnoteReference"/>
        </w:rPr>
        <w:footnoteRef/>
      </w:r>
      <w:r w:rsidRPr="0043567D">
        <w:rPr>
          <w:lang w:val="en-US"/>
        </w:rPr>
        <w:tab/>
        <w:t>A/HRC/WG.2/18/G/1.</w:t>
      </w:r>
    </w:p>
  </w:footnote>
  <w:footnote w:id="8">
    <w:p w:rsidR="0064563E" w:rsidRPr="000142E0" w:rsidRDefault="0064563E" w:rsidP="0064563E">
      <w:pPr>
        <w:pStyle w:val="FootnoteText"/>
      </w:pPr>
      <w:r w:rsidRPr="0043567D">
        <w:rPr>
          <w:lang w:val="en-US"/>
        </w:rPr>
        <w:tab/>
      </w:r>
      <w:r w:rsidRPr="00B8103C">
        <w:rPr>
          <w:rStyle w:val="FootnoteReference"/>
        </w:rPr>
        <w:footnoteRef/>
      </w:r>
      <w:r w:rsidRPr="000142E0">
        <w:tab/>
        <w:t>Voir A/HRC/WG.2/18/CRP.1.</w:t>
      </w:r>
    </w:p>
  </w:footnote>
  <w:footnote w:id="9">
    <w:p w:rsidR="0064563E" w:rsidRPr="00BE604F" w:rsidRDefault="0064563E" w:rsidP="0064563E">
      <w:pPr>
        <w:pStyle w:val="FootnoteText"/>
      </w:pPr>
      <w:r w:rsidRPr="0043567D">
        <w:tab/>
      </w:r>
      <w:r w:rsidRPr="00B8103C">
        <w:rPr>
          <w:rStyle w:val="FootnoteReference"/>
        </w:rPr>
        <w:footnoteRef/>
      </w:r>
      <w:r>
        <w:tab/>
      </w:r>
      <w:r w:rsidRPr="00174B44">
        <w:rPr>
          <w:rFonts w:eastAsia="Calibri"/>
        </w:rPr>
        <w:t>A</w:t>
      </w:r>
      <w:r>
        <w:t>/HRC/39/51.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3E" w:rsidRPr="0064563E" w:rsidRDefault="00192A20">
    <w:pPr>
      <w:pStyle w:val="Header"/>
    </w:pPr>
    <w:r>
      <w:fldChar w:fldCharType="begin"/>
    </w:r>
    <w:r>
      <w:instrText xml:space="preserve"> TITLE  \* MERGEFO</w:instrText>
    </w:r>
    <w:r>
      <w:instrText xml:space="preserve">RMAT </w:instrText>
    </w:r>
    <w:r>
      <w:fldChar w:fldCharType="separate"/>
    </w:r>
    <w:r w:rsidR="00BF3D16">
      <w:t>A/HRC/RES/39/9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3E" w:rsidRPr="0064563E" w:rsidRDefault="00192A20" w:rsidP="0064563E">
    <w:pPr>
      <w:pStyle w:val="Header"/>
      <w:jc w:val="right"/>
    </w:pPr>
    <w:r>
      <w:fldChar w:fldCharType="begin"/>
    </w:r>
    <w:r>
      <w:instrText xml:space="preserve"> TITLE  \* MERGEFORMAT </w:instrText>
    </w:r>
    <w:r>
      <w:fldChar w:fldCharType="separate"/>
    </w:r>
    <w:r w:rsidR="00BF3D16">
      <w:t>A/HRC/RES/39/9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6DEE3D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8C0C4A9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D94C97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B1"/>
    <w:rsid w:val="00023842"/>
    <w:rsid w:val="00067CC2"/>
    <w:rsid w:val="0007796D"/>
    <w:rsid w:val="000C097F"/>
    <w:rsid w:val="00111F2F"/>
    <w:rsid w:val="00116DC7"/>
    <w:rsid w:val="00121134"/>
    <w:rsid w:val="00122AB1"/>
    <w:rsid w:val="0014365E"/>
    <w:rsid w:val="00176178"/>
    <w:rsid w:val="00192A20"/>
    <w:rsid w:val="001F525A"/>
    <w:rsid w:val="00222171"/>
    <w:rsid w:val="002976F7"/>
    <w:rsid w:val="002D61A2"/>
    <w:rsid w:val="003A4824"/>
    <w:rsid w:val="003B0A99"/>
    <w:rsid w:val="00446FE5"/>
    <w:rsid w:val="00573BE5"/>
    <w:rsid w:val="00586ED3"/>
    <w:rsid w:val="00587A52"/>
    <w:rsid w:val="005B4E23"/>
    <w:rsid w:val="005C2141"/>
    <w:rsid w:val="0064563E"/>
    <w:rsid w:val="006943A5"/>
    <w:rsid w:val="00695AED"/>
    <w:rsid w:val="0071601D"/>
    <w:rsid w:val="0080684C"/>
    <w:rsid w:val="00871C75"/>
    <w:rsid w:val="008776DC"/>
    <w:rsid w:val="0088599A"/>
    <w:rsid w:val="0094352E"/>
    <w:rsid w:val="009705C8"/>
    <w:rsid w:val="00A12E20"/>
    <w:rsid w:val="00AE323C"/>
    <w:rsid w:val="00BD1F3F"/>
    <w:rsid w:val="00BF3D16"/>
    <w:rsid w:val="00C02837"/>
    <w:rsid w:val="00C02897"/>
    <w:rsid w:val="00CC24BC"/>
    <w:rsid w:val="00DB1831"/>
    <w:rsid w:val="00DD3BFD"/>
    <w:rsid w:val="00E07831"/>
    <w:rsid w:val="00E228A8"/>
    <w:rsid w:val="00E972EF"/>
    <w:rsid w:val="00EB0FEE"/>
    <w:rsid w:val="00EC1412"/>
    <w:rsid w:val="00F476D2"/>
    <w:rsid w:val="00F50AB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D0965"/>
  <w15:docId w15:val="{2CE19D8A-D8B7-43E7-892D-F12C7F30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2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3A482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3A482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A482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3A4824"/>
    <w:pPr>
      <w:spacing w:line="240" w:lineRule="auto"/>
    </w:pPr>
    <w:rPr>
      <w:sz w:val="16"/>
    </w:rPr>
  </w:style>
  <w:style w:type="character" w:customStyle="1" w:styleId="FooterChar">
    <w:name w:val="Footer Char"/>
    <w:aliases w:val="3_G Char"/>
    <w:basedOn w:val="DefaultParagraphFont"/>
    <w:link w:val="Footer"/>
    <w:rsid w:val="003A482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A482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A482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A482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A482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A482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A482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A4824"/>
    <w:pPr>
      <w:spacing w:after="120"/>
      <w:ind w:left="1134" w:right="1134"/>
      <w:jc w:val="both"/>
    </w:pPr>
  </w:style>
  <w:style w:type="paragraph" w:customStyle="1" w:styleId="SLG">
    <w:name w:val="__S_L_G"/>
    <w:basedOn w:val="Normal"/>
    <w:next w:val="Normal"/>
    <w:rsid w:val="003A4824"/>
    <w:pPr>
      <w:keepNext/>
      <w:keepLines/>
      <w:spacing w:before="240" w:after="240" w:line="580" w:lineRule="exact"/>
      <w:ind w:left="1134" w:right="1134"/>
    </w:pPr>
    <w:rPr>
      <w:b/>
      <w:sz w:val="56"/>
    </w:rPr>
  </w:style>
  <w:style w:type="paragraph" w:customStyle="1" w:styleId="SMG">
    <w:name w:val="__S_M_G"/>
    <w:basedOn w:val="Normal"/>
    <w:next w:val="Normal"/>
    <w:rsid w:val="003A4824"/>
    <w:pPr>
      <w:keepNext/>
      <w:keepLines/>
      <w:spacing w:before="240" w:after="240" w:line="420" w:lineRule="exact"/>
      <w:ind w:left="1134" w:right="1134"/>
    </w:pPr>
    <w:rPr>
      <w:b/>
      <w:sz w:val="40"/>
    </w:rPr>
  </w:style>
  <w:style w:type="paragraph" w:customStyle="1" w:styleId="SSG">
    <w:name w:val="__S_S_G"/>
    <w:basedOn w:val="Normal"/>
    <w:next w:val="Normal"/>
    <w:rsid w:val="003A4824"/>
    <w:pPr>
      <w:keepNext/>
      <w:keepLines/>
      <w:spacing w:before="240" w:after="240" w:line="300" w:lineRule="exact"/>
      <w:ind w:left="1134" w:right="1134"/>
    </w:pPr>
    <w:rPr>
      <w:b/>
      <w:sz w:val="28"/>
    </w:rPr>
  </w:style>
  <w:style w:type="paragraph" w:customStyle="1" w:styleId="XLargeG">
    <w:name w:val="__XLarge_G"/>
    <w:basedOn w:val="Normal"/>
    <w:next w:val="Normal"/>
    <w:rsid w:val="003A4824"/>
    <w:pPr>
      <w:keepNext/>
      <w:keepLines/>
      <w:spacing w:before="240" w:after="240" w:line="420" w:lineRule="exact"/>
      <w:ind w:left="1134" w:right="1134"/>
    </w:pPr>
    <w:rPr>
      <w:b/>
      <w:sz w:val="40"/>
    </w:rPr>
  </w:style>
  <w:style w:type="paragraph" w:customStyle="1" w:styleId="Bullet1G">
    <w:name w:val="_Bullet 1_G"/>
    <w:basedOn w:val="Normal"/>
    <w:qFormat/>
    <w:rsid w:val="003A4824"/>
    <w:pPr>
      <w:numPr>
        <w:numId w:val="14"/>
      </w:numPr>
      <w:spacing w:after="120"/>
      <w:ind w:right="1134"/>
      <w:jc w:val="both"/>
    </w:pPr>
  </w:style>
  <w:style w:type="paragraph" w:customStyle="1" w:styleId="Bullet2G">
    <w:name w:val="_Bullet 2_G"/>
    <w:basedOn w:val="Normal"/>
    <w:qFormat/>
    <w:rsid w:val="003A4824"/>
    <w:pPr>
      <w:numPr>
        <w:numId w:val="15"/>
      </w:numPr>
      <w:spacing w:after="120"/>
      <w:ind w:right="1134"/>
      <w:jc w:val="both"/>
    </w:pPr>
  </w:style>
  <w:style w:type="paragraph" w:customStyle="1" w:styleId="ParNoG">
    <w:name w:val="_ParNo_G"/>
    <w:basedOn w:val="Normal"/>
    <w:qFormat/>
    <w:rsid w:val="003A482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3A4824"/>
    <w:rPr>
      <w:rFonts w:ascii="Times New Roman" w:hAnsi="Times New Roman"/>
      <w:sz w:val="18"/>
      <w:vertAlign w:val="superscript"/>
      <w:lang w:val="fr-CH"/>
    </w:rPr>
  </w:style>
  <w:style w:type="character" w:styleId="EndnoteReference">
    <w:name w:val="endnote reference"/>
    <w:aliases w:val="1_G"/>
    <w:basedOn w:val="FootnoteReference"/>
    <w:qFormat/>
    <w:rsid w:val="003A4824"/>
    <w:rPr>
      <w:rFonts w:ascii="Times New Roman" w:hAnsi="Times New Roman"/>
      <w:sz w:val="18"/>
      <w:vertAlign w:val="superscript"/>
      <w:lang w:val="fr-CH"/>
    </w:rPr>
  </w:style>
  <w:style w:type="table" w:styleId="TableGrid">
    <w:name w:val="Table Grid"/>
    <w:basedOn w:val="TableNormal"/>
    <w:rsid w:val="003A482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3A4824"/>
    <w:rPr>
      <w:color w:val="0000FF"/>
      <w:u w:val="none"/>
    </w:rPr>
  </w:style>
  <w:style w:type="character" w:styleId="FollowedHyperlink">
    <w:name w:val="FollowedHyperlink"/>
    <w:basedOn w:val="DefaultParagraphFont"/>
    <w:unhideWhenUsed/>
    <w:rsid w:val="003A4824"/>
    <w:rPr>
      <w:color w:val="0000FF"/>
      <w:u w:val="none"/>
    </w:rPr>
  </w:style>
  <w:style w:type="paragraph" w:styleId="FootnoteText">
    <w:name w:val="footnote text"/>
    <w:aliases w:val="5_G"/>
    <w:basedOn w:val="Normal"/>
    <w:link w:val="FootnoteTextChar"/>
    <w:qFormat/>
    <w:rsid w:val="003A482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A482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3A4824"/>
  </w:style>
  <w:style w:type="character" w:customStyle="1" w:styleId="EndnoteTextChar">
    <w:name w:val="Endnote Text Char"/>
    <w:aliases w:val="2_G Char"/>
    <w:basedOn w:val="DefaultParagraphFont"/>
    <w:link w:val="EndnoteText"/>
    <w:rsid w:val="003A482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3A4824"/>
    <w:rPr>
      <w:rFonts w:ascii="Times New Roman" w:hAnsi="Times New Roman"/>
      <w:b/>
      <w:sz w:val="18"/>
      <w:lang w:val="fr-CH"/>
    </w:rPr>
  </w:style>
  <w:style w:type="character" w:customStyle="1" w:styleId="Heading1Char">
    <w:name w:val="Heading 1 Char"/>
    <w:aliases w:val="Table_G Char"/>
    <w:basedOn w:val="DefaultParagraphFont"/>
    <w:link w:val="Heading1"/>
    <w:rsid w:val="003A482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80D8AA-55BF-46DF-92EB-C5819C1576F8}"/>
</file>

<file path=customXml/itemProps2.xml><?xml version="1.0" encoding="utf-8"?>
<ds:datastoreItem xmlns:ds="http://schemas.openxmlformats.org/officeDocument/2006/customXml" ds:itemID="{EC694263-38B2-4B46-BE10-D1AC31E20E3D}"/>
</file>

<file path=customXml/itemProps3.xml><?xml version="1.0" encoding="utf-8"?>
<ds:datastoreItem xmlns:ds="http://schemas.openxmlformats.org/officeDocument/2006/customXml" ds:itemID="{A97698FE-D800-46F8-A1A9-0A6CABB1F1E6}"/>
</file>

<file path=docProps/app.xml><?xml version="1.0" encoding="utf-8"?>
<Properties xmlns="http://schemas.openxmlformats.org/officeDocument/2006/extended-properties" xmlns:vt="http://schemas.openxmlformats.org/officeDocument/2006/docPropsVTypes">
  <Template>A.dotm</Template>
  <TotalTime>1</TotalTime>
  <Pages>6</Pages>
  <Words>3048</Words>
  <Characters>17377</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A/HRC/RES/39/9</vt:lpstr>
      <vt:lpstr>A/HRC/RES/39/9</vt:lpstr>
    </vt:vector>
  </TitlesOfParts>
  <Company>DCM</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A/HRC/RES/39/9</dc:title>
  <dc:subject/>
  <dc:creator>Nath VITTOZ</dc:creator>
  <cp:keywords/>
  <cp:lastModifiedBy>KIRBY Danielle</cp:lastModifiedBy>
  <cp:revision>2</cp:revision>
  <cp:lastPrinted>2018-10-08T07:00:00Z</cp:lastPrinted>
  <dcterms:created xsi:type="dcterms:W3CDTF">2019-06-19T14:44:00Z</dcterms:created>
  <dcterms:modified xsi:type="dcterms:W3CDTF">2019-06-19T14:44:00Z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