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4D7" w:rsidRPr="007F14D7" w:rsidRDefault="00600D80" w:rsidP="007F14D7">
      <w:pPr>
        <w:spacing w:line="240" w:lineRule="auto"/>
        <w:jc w:val="center"/>
        <w:rPr>
          <w:sz w:val="28"/>
          <w:szCs w:val="28"/>
        </w:rPr>
      </w:pPr>
      <w:r w:rsidRPr="007F14D7">
        <w:rPr>
          <w:sz w:val="28"/>
          <w:szCs w:val="28"/>
        </w:rPr>
        <w:t>The negative impact of corruption on the enjoyment of human rights</w:t>
      </w:r>
    </w:p>
    <w:p w:rsidR="00600D80" w:rsidRPr="00864E67" w:rsidRDefault="00600D80" w:rsidP="00A33FC3">
      <w:pPr>
        <w:spacing w:line="240" w:lineRule="auto"/>
        <w:jc w:val="center"/>
        <w:rPr>
          <w:sz w:val="24"/>
          <w:szCs w:val="24"/>
        </w:rPr>
      </w:pPr>
      <w:r w:rsidRPr="00864E67">
        <w:rPr>
          <w:sz w:val="24"/>
          <w:szCs w:val="24"/>
        </w:rPr>
        <w:t>Replies to the questionnaire submitted by</w:t>
      </w:r>
      <w:r w:rsidR="00A33FC3">
        <w:rPr>
          <w:sz w:val="24"/>
          <w:szCs w:val="24"/>
        </w:rPr>
        <w:t xml:space="preserve"> </w:t>
      </w:r>
      <w:bookmarkStart w:id="0" w:name="_GoBack"/>
      <w:bookmarkEnd w:id="0"/>
      <w:r w:rsidRPr="00864E67">
        <w:rPr>
          <w:sz w:val="24"/>
          <w:szCs w:val="24"/>
        </w:rPr>
        <w:t>the Secretariat of the Group of States against Corruption</w:t>
      </w:r>
      <w:r w:rsidR="00D162BC" w:rsidRPr="00864E67">
        <w:rPr>
          <w:sz w:val="24"/>
          <w:szCs w:val="24"/>
        </w:rPr>
        <w:t>, Council of Europe</w:t>
      </w:r>
    </w:p>
    <w:p w:rsidR="00D162BC" w:rsidRPr="00864E67" w:rsidRDefault="00D162BC" w:rsidP="007F14D7">
      <w:pPr>
        <w:spacing w:line="240" w:lineRule="auto"/>
        <w:jc w:val="center"/>
        <w:rPr>
          <w:sz w:val="18"/>
          <w:szCs w:val="18"/>
        </w:rPr>
      </w:pPr>
      <w:r w:rsidRPr="00864E67">
        <w:rPr>
          <w:sz w:val="18"/>
          <w:szCs w:val="18"/>
        </w:rPr>
        <w:sym w:font="Wingdings" w:char="F02A"/>
      </w:r>
      <w:r w:rsidR="00864E67">
        <w:rPr>
          <w:sz w:val="18"/>
          <w:szCs w:val="18"/>
        </w:rPr>
        <w:t xml:space="preserve"> </w:t>
      </w:r>
      <w:hyperlink r:id="rId9" w:history="1">
        <w:r w:rsidR="00864E67" w:rsidRPr="00864E67">
          <w:rPr>
            <w:rStyle w:val="Hyperlink"/>
            <w:sz w:val="18"/>
            <w:szCs w:val="18"/>
            <w:lang w:val="en-US"/>
          </w:rPr>
          <w:t>webmaster.greco@coe.int</w:t>
        </w:r>
      </w:hyperlink>
      <w:r w:rsidR="00864E67" w:rsidRPr="00864E67">
        <w:rPr>
          <w:color w:val="335499"/>
          <w:sz w:val="18"/>
          <w:szCs w:val="18"/>
        </w:rPr>
        <w:t xml:space="preserve"> </w:t>
      </w:r>
      <w:r w:rsidRPr="00864E67">
        <w:rPr>
          <w:sz w:val="18"/>
          <w:szCs w:val="18"/>
        </w:rPr>
        <w:t xml:space="preserve"> </w:t>
      </w:r>
      <w:r w:rsidR="00864E67">
        <w:rPr>
          <w:sz w:val="18"/>
          <w:szCs w:val="18"/>
        </w:rPr>
        <w:t xml:space="preserve">       </w:t>
      </w:r>
      <w:hyperlink r:id="rId10" w:history="1">
        <w:r w:rsidRPr="00864E67">
          <w:rPr>
            <w:rStyle w:val="Hyperlink"/>
            <w:sz w:val="18"/>
            <w:szCs w:val="18"/>
          </w:rPr>
          <w:t>www.coe.int/greco</w:t>
        </w:r>
      </w:hyperlink>
    </w:p>
    <w:p w:rsidR="00600D80" w:rsidRPr="007F14D7" w:rsidRDefault="00CD0CDD" w:rsidP="00864E67">
      <w:pPr>
        <w:spacing w:line="240" w:lineRule="auto"/>
        <w:jc w:val="right"/>
      </w:pPr>
      <w:r>
        <w:t>11</w:t>
      </w:r>
      <w:r w:rsidR="00E76245">
        <w:t xml:space="preserve"> October</w:t>
      </w:r>
      <w:r w:rsidR="007F14D7">
        <w:t xml:space="preserve"> 2013</w:t>
      </w:r>
    </w:p>
    <w:p w:rsidR="00600D80" w:rsidRDefault="00600D80" w:rsidP="00600D80">
      <w:pPr>
        <w:pBdr>
          <w:top w:val="single" w:sz="4" w:space="0" w:color="auto"/>
          <w:left w:val="single" w:sz="4" w:space="4" w:color="auto"/>
          <w:bottom w:val="single" w:sz="4" w:space="1" w:color="auto"/>
          <w:right w:val="single" w:sz="4" w:space="4" w:color="auto"/>
        </w:pBdr>
        <w:rPr>
          <w:b/>
        </w:rPr>
      </w:pPr>
    </w:p>
    <w:p w:rsidR="00600D80" w:rsidRPr="002A65CD" w:rsidRDefault="00600D80" w:rsidP="00600D80">
      <w:pPr>
        <w:pBdr>
          <w:top w:val="single" w:sz="4" w:space="0" w:color="auto"/>
          <w:left w:val="single" w:sz="4" w:space="4" w:color="auto"/>
          <w:bottom w:val="single" w:sz="4" w:space="1" w:color="auto"/>
          <w:right w:val="single" w:sz="4" w:space="4" w:color="auto"/>
        </w:pBdr>
        <w:jc w:val="center"/>
        <w:rPr>
          <w:b/>
          <w:u w:val="single"/>
        </w:rPr>
      </w:pPr>
      <w:r w:rsidRPr="002A65CD">
        <w:rPr>
          <w:b/>
          <w:u w:val="single"/>
        </w:rPr>
        <w:t>THE NEGATIVE IMPACT OF CORRUPTION ON THE ENJOYMENT OF HUMAN RIGHTS</w:t>
      </w:r>
    </w:p>
    <w:p w:rsidR="00600D80" w:rsidRPr="00C22FDB" w:rsidRDefault="00600D80" w:rsidP="00600D80">
      <w:pPr>
        <w:pBdr>
          <w:top w:val="single" w:sz="4" w:space="0" w:color="auto"/>
          <w:left w:val="single" w:sz="4" w:space="4" w:color="auto"/>
          <w:bottom w:val="single" w:sz="4" w:space="1" w:color="auto"/>
          <w:right w:val="single" w:sz="4" w:space="4" w:color="auto"/>
        </w:pBdr>
        <w:jc w:val="center"/>
        <w:rPr>
          <w:b/>
        </w:rPr>
      </w:pPr>
      <w:r w:rsidRPr="00C22FDB">
        <w:rPr>
          <w:b/>
        </w:rPr>
        <w:t xml:space="preserve">QUESTIONNAIRE </w:t>
      </w:r>
    </w:p>
    <w:p w:rsidR="00600D80" w:rsidRPr="00750EFA" w:rsidRDefault="00600D80" w:rsidP="00600D80">
      <w:pPr>
        <w:pBdr>
          <w:top w:val="single" w:sz="4" w:space="0" w:color="auto"/>
          <w:left w:val="single" w:sz="4" w:space="4" w:color="auto"/>
          <w:bottom w:val="single" w:sz="4" w:space="1" w:color="auto"/>
          <w:right w:val="single" w:sz="4" w:space="4" w:color="auto"/>
        </w:pBdr>
        <w:rPr>
          <w:rFonts w:eastAsia="MS Mincho"/>
        </w:rPr>
      </w:pPr>
      <w:r w:rsidRPr="00750EFA">
        <w:t xml:space="preserve">As part of the consultations undertaken by the Human Rights Council Advisory Committee with </w:t>
      </w:r>
      <w:r w:rsidRPr="0070359B">
        <w:rPr>
          <w:b/>
        </w:rPr>
        <w:t xml:space="preserve">International and Regional Organizations dealing with the issue of corruption (in particular the </w:t>
      </w:r>
      <w:r>
        <w:rPr>
          <w:b/>
        </w:rPr>
        <w:t>United Nations Office on Drugs a</w:t>
      </w:r>
      <w:r w:rsidRPr="0070359B">
        <w:rPr>
          <w:b/>
        </w:rPr>
        <w:t>nd Crime, the International Anti-Cor</w:t>
      </w:r>
      <w:r>
        <w:rPr>
          <w:b/>
        </w:rPr>
        <w:t>ruption Academy, the Office of the High Commissioner f</w:t>
      </w:r>
      <w:r w:rsidRPr="0070359B">
        <w:rPr>
          <w:b/>
        </w:rPr>
        <w:t>or Human Rights and others) and academic institutions</w:t>
      </w:r>
      <w:r>
        <w:t>, with a view to preparing</w:t>
      </w:r>
      <w:r w:rsidRPr="00750EFA">
        <w:t xml:space="preserve"> a </w:t>
      </w:r>
      <w:r w:rsidRPr="00750EFA">
        <w:rPr>
          <w:rFonts w:eastAsia="MS Mincho"/>
        </w:rPr>
        <w:t>research-based report on the issue of the negative impact of corruption on the enjoyment of human rights, and to mak</w:t>
      </w:r>
      <w:r>
        <w:rPr>
          <w:rFonts w:eastAsia="MS Mincho"/>
        </w:rPr>
        <w:t>ing</w:t>
      </w:r>
      <w:r w:rsidRPr="00750EFA">
        <w:rPr>
          <w:rFonts w:eastAsia="MS Mincho"/>
        </w:rPr>
        <w:t xml:space="preserve"> recommendations on how the Council and its subsidiary bodies should consider this issue, pursuant to Council resolution 23/9.</w:t>
      </w:r>
    </w:p>
    <w:p w:rsidR="00CF2C43" w:rsidRDefault="00CF2C43" w:rsidP="00CF2C43">
      <w:pPr>
        <w:rPr>
          <w:b/>
        </w:rPr>
      </w:pPr>
      <w:r>
        <w:rPr>
          <w:b/>
        </w:rPr>
        <w:t>Background</w:t>
      </w:r>
    </w:p>
    <w:p w:rsidR="0076416B" w:rsidRDefault="0076416B" w:rsidP="002C34E3">
      <w:pPr>
        <w:pStyle w:val="MediumGrid21"/>
        <w:jc w:val="both"/>
        <w:rPr>
          <w:rFonts w:eastAsia="MS Mincho"/>
        </w:rPr>
      </w:pPr>
      <w:r>
        <w:t xml:space="preserve">In its resolution 23/9, the Human Rights Council took note </w:t>
      </w:r>
      <w:r w:rsidRPr="00750EFA">
        <w:t xml:space="preserve">of the summary report of the Human Rights Council panel discussion on the negative impact of corruption on the enjoyment of human rights </w:t>
      </w:r>
      <w:r>
        <w:t>held during the 22</w:t>
      </w:r>
      <w:r w:rsidRPr="00FF50E1">
        <w:rPr>
          <w:vertAlign w:val="superscript"/>
        </w:rPr>
        <w:t>nd</w:t>
      </w:r>
      <w:r>
        <w:t xml:space="preserve"> session of the Human Rights Council (A/HRC/23/26). In the same resolution, the Council requested the Advisory Committee </w:t>
      </w:r>
      <w:r w:rsidRPr="00644811">
        <w:rPr>
          <w:rFonts w:eastAsia="MS Mincho"/>
        </w:rPr>
        <w:t>to submit</w:t>
      </w:r>
      <w:r w:rsidR="004175D3">
        <w:rPr>
          <w:rFonts w:eastAsia="MS Mincho"/>
        </w:rPr>
        <w:t xml:space="preserve"> to it</w:t>
      </w:r>
      <w:r w:rsidRPr="00644811">
        <w:rPr>
          <w:rFonts w:eastAsia="MS Mincho"/>
        </w:rPr>
        <w:t xml:space="preserve"> a research-based report on the issue of the negative impact of corruption on the enjoyment of human rights and to </w:t>
      </w:r>
      <w:r>
        <w:rPr>
          <w:rFonts w:eastAsia="MS Mincho"/>
        </w:rPr>
        <w:t>make</w:t>
      </w:r>
      <w:r w:rsidRPr="00644811">
        <w:rPr>
          <w:rFonts w:eastAsia="MS Mincho"/>
        </w:rPr>
        <w:t xml:space="preserve"> recommendations on how the Council and its subsidiary bodies should consider this issue</w:t>
      </w:r>
      <w:r>
        <w:rPr>
          <w:rFonts w:eastAsia="MS Mincho"/>
        </w:rPr>
        <w:t>.</w:t>
      </w:r>
    </w:p>
    <w:p w:rsidR="0076416B" w:rsidRDefault="0076416B" w:rsidP="002C34E3">
      <w:pPr>
        <w:pStyle w:val="MediumGrid21"/>
        <w:jc w:val="both"/>
        <w:rPr>
          <w:rFonts w:eastAsia="MS Mincho"/>
        </w:rPr>
      </w:pPr>
    </w:p>
    <w:p w:rsidR="0076416B" w:rsidRDefault="0076416B" w:rsidP="002C34E3">
      <w:pPr>
        <w:pStyle w:val="MediumGrid21"/>
        <w:jc w:val="both"/>
        <w:rPr>
          <w:rFonts w:eastAsia="MS Mincho"/>
        </w:rPr>
      </w:pPr>
      <w:r>
        <w:rPr>
          <w:rFonts w:eastAsia="MS Mincho"/>
        </w:rPr>
        <w:t xml:space="preserve">At its eleventh session in August 2013, the Advisory Committee constituted a drafting group and prepared questionnaires for dissemination to </w:t>
      </w:r>
      <w:r w:rsidRPr="00644811">
        <w:rPr>
          <w:rFonts w:eastAsia="MS Mincho"/>
        </w:rPr>
        <w:t>Member States, relevant international and regional organizations dealing with the issue of corruption, in particular the United Nations Office on Drugs and Crime</w:t>
      </w:r>
      <w:r>
        <w:rPr>
          <w:rFonts w:eastAsia="MS Mincho"/>
        </w:rPr>
        <w:t>, the</w:t>
      </w:r>
      <w:r w:rsidRPr="00644811">
        <w:rPr>
          <w:rFonts w:eastAsia="MS Mincho"/>
        </w:rPr>
        <w:t xml:space="preserve"> International Anti-Corruption Academy</w:t>
      </w:r>
      <w:r>
        <w:rPr>
          <w:rFonts w:eastAsia="MS Mincho"/>
        </w:rPr>
        <w:t xml:space="preserve"> and</w:t>
      </w:r>
      <w:r w:rsidRPr="00644811">
        <w:rPr>
          <w:rFonts w:eastAsia="MS Mincho"/>
        </w:rPr>
        <w:t xml:space="preserve"> the Office of the High Commissioner</w:t>
      </w:r>
      <w:r w:rsidR="004175D3">
        <w:rPr>
          <w:rFonts w:eastAsia="MS Mincho"/>
        </w:rPr>
        <w:t xml:space="preserve"> for Human Rights</w:t>
      </w:r>
      <w:r w:rsidRPr="00644811">
        <w:rPr>
          <w:rFonts w:eastAsia="MS Mincho"/>
        </w:rPr>
        <w:t xml:space="preserve">, as well as </w:t>
      </w:r>
      <w:r>
        <w:rPr>
          <w:rFonts w:eastAsia="MS Mincho"/>
        </w:rPr>
        <w:t>n</w:t>
      </w:r>
      <w:r w:rsidRPr="00644811">
        <w:rPr>
          <w:rFonts w:eastAsia="MS Mincho"/>
        </w:rPr>
        <w:t xml:space="preserve">ational </w:t>
      </w:r>
      <w:r>
        <w:rPr>
          <w:rFonts w:eastAsia="MS Mincho"/>
        </w:rPr>
        <w:t>h</w:t>
      </w:r>
      <w:r w:rsidRPr="00644811">
        <w:rPr>
          <w:rFonts w:eastAsia="MS Mincho"/>
        </w:rPr>
        <w:t xml:space="preserve">uman </w:t>
      </w:r>
      <w:r>
        <w:rPr>
          <w:rFonts w:eastAsia="MS Mincho"/>
        </w:rPr>
        <w:t>r</w:t>
      </w:r>
      <w:r w:rsidRPr="00644811">
        <w:rPr>
          <w:rFonts w:eastAsia="MS Mincho"/>
        </w:rPr>
        <w:t xml:space="preserve">ights </w:t>
      </w:r>
      <w:r>
        <w:rPr>
          <w:rFonts w:eastAsia="MS Mincho"/>
        </w:rPr>
        <w:t>i</w:t>
      </w:r>
      <w:r w:rsidRPr="00644811">
        <w:rPr>
          <w:rFonts w:eastAsia="MS Mincho"/>
        </w:rPr>
        <w:t>nstitutions, civil society and relevant academic institutions</w:t>
      </w:r>
      <w:r>
        <w:rPr>
          <w:rFonts w:eastAsia="MS Mincho"/>
        </w:rPr>
        <w:t>. The drafting group of the Advisory Committee is tasked with drafting a preliminary research-based report for the twelfth session of the Advisory Committee (February 2014).</w:t>
      </w:r>
    </w:p>
    <w:p w:rsidR="0076416B" w:rsidRDefault="0076416B" w:rsidP="002C34E3">
      <w:pPr>
        <w:pStyle w:val="MediumGrid21"/>
        <w:jc w:val="both"/>
        <w:rPr>
          <w:rFonts w:eastAsia="MS Mincho"/>
        </w:rPr>
      </w:pPr>
    </w:p>
    <w:p w:rsidR="003873E6" w:rsidRDefault="003873E6" w:rsidP="00CF2C43"/>
    <w:p w:rsidR="00CF2C43" w:rsidRPr="00C5204E" w:rsidRDefault="00C5204E" w:rsidP="00C5204E">
      <w:pPr>
        <w:rPr>
          <w:b/>
        </w:rPr>
      </w:pPr>
      <w:r w:rsidRPr="00C5204E">
        <w:rPr>
          <w:b/>
        </w:rPr>
        <w:t xml:space="preserve">Question 1: </w:t>
      </w:r>
      <w:r w:rsidR="00CF2C43" w:rsidRPr="00C5204E">
        <w:rPr>
          <w:b/>
        </w:rPr>
        <w:t xml:space="preserve">From your experience, what are the human rights that are most affected by corruption? </w:t>
      </w:r>
    </w:p>
    <w:p w:rsidR="00004D2E" w:rsidRPr="00C5204E" w:rsidRDefault="00600D80" w:rsidP="008C08A7">
      <w:pPr>
        <w:jc w:val="both"/>
      </w:pPr>
      <w:r w:rsidRPr="00600D80">
        <w:rPr>
          <w:u w:val="single"/>
        </w:rPr>
        <w:t>Answer</w:t>
      </w:r>
      <w:r w:rsidRPr="003C681C">
        <w:t>:</w:t>
      </w:r>
      <w:r>
        <w:t xml:space="preserve"> </w:t>
      </w:r>
      <w:r w:rsidR="0066136B" w:rsidRPr="00C5204E">
        <w:t>If one refers to the rights guaranteed by international treaties</w:t>
      </w:r>
      <w:r w:rsidR="00BF2522">
        <w:rPr>
          <w:rStyle w:val="FootnoteReference"/>
        </w:rPr>
        <w:footnoteReference w:id="1"/>
      </w:r>
      <w:r w:rsidR="005F5A33" w:rsidRPr="00C5204E">
        <w:t>,</w:t>
      </w:r>
      <w:r w:rsidR="005F5A33" w:rsidRPr="008C08A7">
        <w:rPr>
          <w:b/>
        </w:rPr>
        <w:t xml:space="preserve"> the vast majority of rights </w:t>
      </w:r>
      <w:r w:rsidR="00B506AB" w:rsidRPr="008C08A7">
        <w:rPr>
          <w:b/>
        </w:rPr>
        <w:t xml:space="preserve">are potentially affected </w:t>
      </w:r>
      <w:r w:rsidR="004F1FEA" w:rsidRPr="008C08A7">
        <w:rPr>
          <w:b/>
        </w:rPr>
        <w:t xml:space="preserve">by corruption </w:t>
      </w:r>
      <w:r w:rsidR="005F5A33" w:rsidRPr="008C08A7">
        <w:rPr>
          <w:b/>
        </w:rPr>
        <w:t>in practice</w:t>
      </w:r>
      <w:r w:rsidR="005F5A33" w:rsidRPr="00C5204E">
        <w:t xml:space="preserve">, depending on </w:t>
      </w:r>
      <w:r w:rsidR="004F1FEA">
        <w:t>factor</w:t>
      </w:r>
      <w:r w:rsidR="0057290C">
        <w:t>s</w:t>
      </w:r>
      <w:r w:rsidR="004F1FEA">
        <w:t xml:space="preserve"> such as </w:t>
      </w:r>
      <w:r w:rsidR="005F5A33" w:rsidRPr="00C5204E">
        <w:t xml:space="preserve">the </w:t>
      </w:r>
      <w:r w:rsidR="007D6159">
        <w:t xml:space="preserve">overall </w:t>
      </w:r>
      <w:r w:rsidR="005F5A33" w:rsidRPr="00C5204E">
        <w:t xml:space="preserve">level of </w:t>
      </w:r>
      <w:r w:rsidR="005F5A33" w:rsidRPr="00C5204E">
        <w:lastRenderedPageBreak/>
        <w:t>corruption in the country</w:t>
      </w:r>
      <w:r w:rsidR="004F1FEA">
        <w:t>, the level of democracy</w:t>
      </w:r>
      <w:r w:rsidR="005F5A33" w:rsidRPr="00C5204E">
        <w:t xml:space="preserve"> </w:t>
      </w:r>
      <w:r w:rsidR="00004D2E" w:rsidRPr="00C5204E">
        <w:t xml:space="preserve">and </w:t>
      </w:r>
      <w:r w:rsidR="004F1FEA">
        <w:t xml:space="preserve">of adherence to the principle of </w:t>
      </w:r>
      <w:r w:rsidR="001C713E">
        <w:t xml:space="preserve">the </w:t>
      </w:r>
      <w:r w:rsidR="00004D2E" w:rsidRPr="00C5204E">
        <w:t>rule of law</w:t>
      </w:r>
      <w:r w:rsidR="00965418">
        <w:t xml:space="preserve">. </w:t>
      </w:r>
    </w:p>
    <w:p w:rsidR="007256EF" w:rsidRDefault="007256EF" w:rsidP="008C08A7">
      <w:pPr>
        <w:jc w:val="both"/>
      </w:pPr>
      <w:r>
        <w:t>“State capture” or “kleptocracy” (where a political or social elite abuses of State institutions including the law-making power to its own benefit) is an extreme example of a phenomenon often referred to as having potential consequences for the effectiveness of all rights, including the most fundamental ones (e.g. equality, freedom and safety, the right to participate in government and free and fair elections, the peaceful enjoyment of property, etc.).</w:t>
      </w:r>
      <w:r w:rsidR="001540A4">
        <w:t xml:space="preserve"> Where such countries benefit from international support</w:t>
      </w:r>
      <w:r w:rsidR="00FF1AA4">
        <w:t xml:space="preserve"> (for humanitarian or general development purposes), the phenomenon of </w:t>
      </w:r>
      <w:r w:rsidR="00FF1AA4" w:rsidRPr="00FF1AA4">
        <w:rPr>
          <w:b/>
        </w:rPr>
        <w:t>embezzlement of aid funds</w:t>
      </w:r>
      <w:r w:rsidR="00FF1AA4">
        <w:t xml:space="preserve"> was also observed</w:t>
      </w:r>
      <w:r w:rsidR="00C8078E">
        <w:t>, thus undermining</w:t>
      </w:r>
      <w:r w:rsidR="00FF1AA4">
        <w:t xml:space="preserve"> </w:t>
      </w:r>
      <w:r w:rsidR="00C8078E">
        <w:t xml:space="preserve">the </w:t>
      </w:r>
      <w:r w:rsidR="00FF1AA4">
        <w:t xml:space="preserve">efforts </w:t>
      </w:r>
      <w:r w:rsidR="00C8078E">
        <w:t xml:space="preserve">of </w:t>
      </w:r>
      <w:r w:rsidR="00FF1AA4">
        <w:t>international</w:t>
      </w:r>
      <w:r w:rsidR="00C8078E">
        <w:t>/foreign</w:t>
      </w:r>
      <w:r w:rsidR="00FF1AA4">
        <w:t xml:space="preserve"> </w:t>
      </w:r>
      <w:r w:rsidR="00C8078E">
        <w:t xml:space="preserve">donors </w:t>
      </w:r>
      <w:r w:rsidR="00FF1AA4">
        <w:t>to secure the effectiveness of minimum human rights standards (access to health, education, water etc.).</w:t>
      </w:r>
      <w:r w:rsidR="00C8078E">
        <w:t xml:space="preserve"> </w:t>
      </w:r>
    </w:p>
    <w:p w:rsidR="009C6AD5" w:rsidRDefault="00BF2522" w:rsidP="008C08A7">
      <w:pPr>
        <w:jc w:val="both"/>
      </w:pPr>
      <w:r w:rsidRPr="00BF2522">
        <w:t>As far as individual rights are concerned,</w:t>
      </w:r>
      <w:r>
        <w:rPr>
          <w:b/>
        </w:rPr>
        <w:t xml:space="preserve"> e</w:t>
      </w:r>
      <w:r w:rsidR="0057290C" w:rsidRPr="008C08A7">
        <w:rPr>
          <w:b/>
        </w:rPr>
        <w:t>quality of citizens deserves a special mention</w:t>
      </w:r>
      <w:r w:rsidR="0057290C">
        <w:t xml:space="preserve"> since it is probably one of the rights most frequently and immediately affected </w:t>
      </w:r>
      <w:r w:rsidR="00D06565">
        <w:t xml:space="preserve">in countries where </w:t>
      </w:r>
      <w:r w:rsidR="00457654">
        <w:t>bribes, kickbacks, gifts</w:t>
      </w:r>
      <w:r w:rsidR="009C6AD5">
        <w:t xml:space="preserve"> and</w:t>
      </w:r>
      <w:r w:rsidR="00457654">
        <w:t xml:space="preserve"> other</w:t>
      </w:r>
      <w:r w:rsidR="009C6AD5">
        <w:t xml:space="preserve"> returning</w:t>
      </w:r>
      <w:r w:rsidR="00457654">
        <w:t xml:space="preserve"> favours</w:t>
      </w:r>
      <w:r w:rsidR="008C08A7">
        <w:t xml:space="preserve"> are </w:t>
      </w:r>
      <w:r w:rsidR="007D6159">
        <w:t>widespread</w:t>
      </w:r>
      <w:r w:rsidR="00D06565">
        <w:t xml:space="preserve">: those who cannot afford </w:t>
      </w:r>
      <w:r w:rsidR="009C6AD5">
        <w:t xml:space="preserve">to pay </w:t>
      </w:r>
      <w:r w:rsidR="00457654">
        <w:t xml:space="preserve">such </w:t>
      </w:r>
      <w:r w:rsidR="009C6AD5">
        <w:t>“</w:t>
      </w:r>
      <w:r w:rsidR="00457654">
        <w:t>extra fees</w:t>
      </w:r>
      <w:r w:rsidR="009C6AD5">
        <w:t>”</w:t>
      </w:r>
      <w:r w:rsidR="00457654">
        <w:t xml:space="preserve"> </w:t>
      </w:r>
      <w:r w:rsidR="00D06565">
        <w:t>(</w:t>
      </w:r>
      <w:r w:rsidR="00886CA9">
        <w:t xml:space="preserve">for </w:t>
      </w:r>
      <w:r w:rsidR="00D06565">
        <w:t>hospital</w:t>
      </w:r>
      <w:r w:rsidR="00886CA9">
        <w:t xml:space="preserve"> treatment</w:t>
      </w:r>
      <w:r w:rsidR="00D06565">
        <w:t xml:space="preserve">, </w:t>
      </w:r>
      <w:r w:rsidR="00886CA9">
        <w:t xml:space="preserve">obtaining a university degree, </w:t>
      </w:r>
      <w:r w:rsidR="009C6AD5">
        <w:t xml:space="preserve">an </w:t>
      </w:r>
      <w:r w:rsidR="00457654">
        <w:t xml:space="preserve">administrative </w:t>
      </w:r>
      <w:r w:rsidR="00D06565">
        <w:t>licence</w:t>
      </w:r>
      <w:r w:rsidR="009117DA">
        <w:t xml:space="preserve"> or permit</w:t>
      </w:r>
      <w:r w:rsidR="00457654">
        <w:t>, access to social housing</w:t>
      </w:r>
      <w:r w:rsidR="009117DA">
        <w:t xml:space="preserve">…) may not </w:t>
      </w:r>
      <w:r w:rsidR="007F14D7">
        <w:t>obtain service</w:t>
      </w:r>
      <w:r w:rsidR="00886CA9">
        <w:t>s</w:t>
      </w:r>
      <w:r w:rsidR="007F14D7">
        <w:t xml:space="preserve"> </w:t>
      </w:r>
      <w:r w:rsidR="009117DA">
        <w:t xml:space="preserve">they </w:t>
      </w:r>
      <w:r w:rsidR="007F14D7">
        <w:t>would normally be entitled to,</w:t>
      </w:r>
      <w:r w:rsidR="009117DA">
        <w:t xml:space="preserve"> </w:t>
      </w:r>
      <w:r w:rsidR="00886CA9">
        <w:t>unlike</w:t>
      </w:r>
      <w:r w:rsidR="00457654">
        <w:t xml:space="preserve"> </w:t>
      </w:r>
      <w:r w:rsidR="009117DA">
        <w:t xml:space="preserve">those who can afford </w:t>
      </w:r>
      <w:r w:rsidR="00457654">
        <w:t xml:space="preserve">to pay </w:t>
      </w:r>
      <w:r w:rsidR="007D6159">
        <w:t xml:space="preserve">and who </w:t>
      </w:r>
      <w:r w:rsidR="00D21B78">
        <w:t>achieve</w:t>
      </w:r>
      <w:r w:rsidR="009117DA">
        <w:t xml:space="preserve"> a </w:t>
      </w:r>
      <w:r w:rsidR="00FB2396">
        <w:t xml:space="preserve">higher </w:t>
      </w:r>
      <w:r w:rsidR="009117DA">
        <w:t>position</w:t>
      </w:r>
      <w:r w:rsidR="009C6AD5">
        <w:t xml:space="preserve"> and better chances in life</w:t>
      </w:r>
      <w:r w:rsidR="009117DA">
        <w:t xml:space="preserve">. </w:t>
      </w:r>
    </w:p>
    <w:p w:rsidR="0057290C" w:rsidRDefault="006E3127" w:rsidP="008C08A7">
      <w:pPr>
        <w:jc w:val="both"/>
      </w:pPr>
      <w:r>
        <w:t>GRECO has sometimes come across “</w:t>
      </w:r>
      <w:r w:rsidR="008E2ADC">
        <w:t>pricelist</w:t>
      </w:r>
      <w:r>
        <w:t>s”</w:t>
      </w:r>
      <w:r w:rsidR="008E2ADC">
        <w:t xml:space="preserve"> </w:t>
      </w:r>
      <w:r>
        <w:t xml:space="preserve">published by </w:t>
      </w:r>
      <w:r w:rsidR="00BC352F">
        <w:t xml:space="preserve">researchers </w:t>
      </w:r>
      <w:r>
        <w:t xml:space="preserve">concerning </w:t>
      </w:r>
      <w:r w:rsidR="008E2ADC">
        <w:t>the most commonly paid bribes</w:t>
      </w:r>
      <w:r>
        <w:t xml:space="preserve">. For instance, in one such list for an EU country, the </w:t>
      </w:r>
      <w:r w:rsidR="00232DC2">
        <w:t>“</w:t>
      </w:r>
      <w:r>
        <w:t>prices</w:t>
      </w:r>
      <w:r w:rsidR="00232DC2">
        <w:t>”</w:t>
      </w:r>
      <w:r>
        <w:t xml:space="preserve"> are as follows: about 30 € for speeding-up </w:t>
      </w:r>
      <w:r w:rsidR="00232DC2">
        <w:t>treatment</w:t>
      </w:r>
      <w:r>
        <w:t xml:space="preserve"> </w:t>
      </w:r>
      <w:r w:rsidR="00BC352F">
        <w:t xml:space="preserve">in a public hospital </w:t>
      </w:r>
      <w:r>
        <w:t xml:space="preserve">and </w:t>
      </w:r>
      <w:r w:rsidR="008E2ADC">
        <w:t>from 100 to 30</w:t>
      </w:r>
      <w:r w:rsidR="0064705E">
        <w:t xml:space="preserve"> </w:t>
      </w:r>
      <w:r w:rsidR="008E2ADC">
        <w:t xml:space="preserve">000 € for a </w:t>
      </w:r>
      <w:r w:rsidR="00232DC2">
        <w:t xml:space="preserve">medical </w:t>
      </w:r>
      <w:r w:rsidR="008E2ADC">
        <w:t>procedure/surgery</w:t>
      </w:r>
      <w:r>
        <w:t xml:space="preserve">; </w:t>
      </w:r>
      <w:r w:rsidR="008E2ADC">
        <w:t>from 100 to 20</w:t>
      </w:r>
      <w:r w:rsidR="0064705E">
        <w:t xml:space="preserve"> </w:t>
      </w:r>
      <w:r w:rsidR="008E2ADC">
        <w:t xml:space="preserve">000 € for </w:t>
      </w:r>
      <w:r>
        <w:t>“</w:t>
      </w:r>
      <w:r w:rsidR="008E2ADC">
        <w:t>arranging</w:t>
      </w:r>
      <w:r>
        <w:t>”</w:t>
      </w:r>
      <w:r w:rsidR="008E2ADC">
        <w:t xml:space="preserve"> a </w:t>
      </w:r>
      <w:r>
        <w:t>tax audit</w:t>
      </w:r>
      <w:r w:rsidR="00BC352F">
        <w:t>; from 200 to 5</w:t>
      </w:r>
      <w:r w:rsidR="0064705E">
        <w:t xml:space="preserve"> </w:t>
      </w:r>
      <w:r w:rsidR="00BC352F">
        <w:t>000 € to obtain a building permit contrary to law and regulations; from 40 to 500 € to obtain a driver’s licence.</w:t>
      </w:r>
    </w:p>
    <w:p w:rsidR="009302A1" w:rsidRDefault="00457654" w:rsidP="008C08A7">
      <w:pPr>
        <w:jc w:val="both"/>
      </w:pPr>
      <w:r>
        <w:t>It should perhaps be mentioned that i</w:t>
      </w:r>
      <w:r w:rsidR="009302A1">
        <w:t xml:space="preserve">n GRECO’s experience, </w:t>
      </w:r>
      <w:r w:rsidR="00D21B78">
        <w:t>a</w:t>
      </w:r>
      <w:r w:rsidR="009302A1">
        <w:t xml:space="preserve"> high level o</w:t>
      </w:r>
      <w:r w:rsidR="00AD1FAB">
        <w:t xml:space="preserve">f corruption in a country </w:t>
      </w:r>
      <w:r>
        <w:t xml:space="preserve">is not </w:t>
      </w:r>
      <w:r w:rsidR="00AD1FAB">
        <w:t>necessarily synonym</w:t>
      </w:r>
      <w:r w:rsidR="0064705E">
        <w:t>ous</w:t>
      </w:r>
      <w:r w:rsidR="00AD1FAB">
        <w:t xml:space="preserve"> </w:t>
      </w:r>
      <w:r w:rsidR="0064705E">
        <w:t xml:space="preserve">with </w:t>
      </w:r>
      <w:r w:rsidR="00AD1FAB">
        <w:t>poverty</w:t>
      </w:r>
      <w:r>
        <w:t>; or</w:t>
      </w:r>
      <w:r w:rsidR="00DD42E5">
        <w:t>, inversely,</w:t>
      </w:r>
      <w:r>
        <w:t xml:space="preserve"> wealthy countries are not necessarily immune to certain forms of corruption</w:t>
      </w:r>
      <w:r w:rsidR="00347093">
        <w:t>, even widespread ones</w:t>
      </w:r>
      <w:r w:rsidR="00DD42E5">
        <w:t xml:space="preserve">.  Indeed, </w:t>
      </w:r>
      <w:r w:rsidR="00AD1FAB">
        <w:t>GRECO has come across situation</w:t>
      </w:r>
      <w:r w:rsidR="00DD42E5">
        <w:t>s</w:t>
      </w:r>
      <w:r w:rsidR="00AD1FAB">
        <w:t xml:space="preserve"> </w:t>
      </w:r>
      <w:r w:rsidR="00DD42E5">
        <w:t xml:space="preserve">in </w:t>
      </w:r>
      <w:r w:rsidR="00D21B78">
        <w:t>prosperous</w:t>
      </w:r>
      <w:r w:rsidR="009302A1">
        <w:t xml:space="preserve"> countries where it is </w:t>
      </w:r>
      <w:r w:rsidR="00D21B78">
        <w:t>widely assumed</w:t>
      </w:r>
      <w:r w:rsidR="009302A1">
        <w:t xml:space="preserve"> that businesses and entrepreneurs who do not support the </w:t>
      </w:r>
      <w:r w:rsidR="008E25D5">
        <w:t xml:space="preserve">leading </w:t>
      </w:r>
      <w:r w:rsidR="009302A1">
        <w:t xml:space="preserve">political parties </w:t>
      </w:r>
      <w:r w:rsidR="00D21B78">
        <w:t xml:space="preserve">financially </w:t>
      </w:r>
      <w:r w:rsidR="00FB2396">
        <w:t xml:space="preserve">will </w:t>
      </w:r>
      <w:r w:rsidR="00D21B78">
        <w:t>simply</w:t>
      </w:r>
      <w:r w:rsidR="00FB2396">
        <w:t xml:space="preserve"> be</w:t>
      </w:r>
      <w:r w:rsidR="00D21B78">
        <w:t xml:space="preserve"> </w:t>
      </w:r>
      <w:r w:rsidR="000D66E4">
        <w:t xml:space="preserve">excluded from </w:t>
      </w:r>
      <w:r w:rsidR="009302A1">
        <w:t xml:space="preserve">public </w:t>
      </w:r>
      <w:r w:rsidR="000D66E4">
        <w:t>tenders</w:t>
      </w:r>
      <w:r w:rsidR="00AD1FAB">
        <w:t>.</w:t>
      </w:r>
    </w:p>
    <w:p w:rsidR="00BF2522" w:rsidRPr="00BF2522" w:rsidRDefault="00C8078E" w:rsidP="008C08A7">
      <w:pPr>
        <w:jc w:val="both"/>
        <w:rPr>
          <w:b/>
        </w:rPr>
      </w:pPr>
      <w:r w:rsidRPr="00C8078E">
        <w:rPr>
          <w:b/>
        </w:rPr>
        <w:t>Collective rights are equally at risk</w:t>
      </w:r>
      <w:r w:rsidR="001540A4" w:rsidRPr="001540A4">
        <w:t>. For instance</w:t>
      </w:r>
      <w:r w:rsidR="001540A4">
        <w:t xml:space="preserve">, cases of bribery of union leaders, whether or not they were involved in concrete negotiations, have been reported. </w:t>
      </w:r>
    </w:p>
    <w:p w:rsidR="007C027B" w:rsidRPr="00C5204E" w:rsidRDefault="007C027B" w:rsidP="001540A4">
      <w:pPr>
        <w:jc w:val="both"/>
        <w:rPr>
          <w:b/>
        </w:rPr>
      </w:pPr>
      <w:r w:rsidRPr="00C5204E">
        <w:rPr>
          <w:b/>
        </w:rPr>
        <w:t xml:space="preserve">What specific negative impact can corruption have on the enjoyment of human rights by vulnerable groups such as women, children, elderly, </w:t>
      </w:r>
      <w:proofErr w:type="gramStart"/>
      <w:r w:rsidRPr="00C5204E">
        <w:rPr>
          <w:b/>
        </w:rPr>
        <w:t>persons</w:t>
      </w:r>
      <w:proofErr w:type="gramEnd"/>
      <w:r w:rsidRPr="00C5204E">
        <w:rPr>
          <w:b/>
        </w:rPr>
        <w:t xml:space="preserve"> with disabilities, indigenous people and others?</w:t>
      </w:r>
    </w:p>
    <w:p w:rsidR="007C027B" w:rsidRDefault="00600D80" w:rsidP="00806059">
      <w:pPr>
        <w:jc w:val="both"/>
      </w:pPr>
      <w:r w:rsidRPr="00600D80">
        <w:rPr>
          <w:u w:val="single"/>
        </w:rPr>
        <w:t>Answer</w:t>
      </w:r>
      <w:r w:rsidRPr="003C681C">
        <w:t>:</w:t>
      </w:r>
      <w:r>
        <w:t xml:space="preserve"> </w:t>
      </w:r>
      <w:r w:rsidR="00D21B78">
        <w:t>These</w:t>
      </w:r>
      <w:r w:rsidR="00B72A7B">
        <w:t xml:space="preserve"> groups </w:t>
      </w:r>
      <w:r w:rsidR="00D21B78">
        <w:t>tend to be</w:t>
      </w:r>
      <w:r w:rsidR="00B72A7B">
        <w:t xml:space="preserve"> </w:t>
      </w:r>
      <w:r w:rsidR="00806059">
        <w:t>vulnerable</w:t>
      </w:r>
      <w:r w:rsidR="00D21B78">
        <w:t xml:space="preserve"> everywhere </w:t>
      </w:r>
      <w:r w:rsidR="00FB2396">
        <w:t xml:space="preserve">- </w:t>
      </w:r>
      <w:r w:rsidR="00D21B78">
        <w:t>and notably</w:t>
      </w:r>
      <w:r w:rsidR="00801E83">
        <w:t xml:space="preserve"> in societies where their social status is </w:t>
      </w:r>
      <w:r w:rsidR="00D21B78">
        <w:t>rather</w:t>
      </w:r>
      <w:r w:rsidR="00801E83">
        <w:t xml:space="preserve"> low</w:t>
      </w:r>
      <w:r w:rsidR="00FB2396">
        <w:t xml:space="preserve"> -</w:t>
      </w:r>
      <w:r w:rsidR="00801E83">
        <w:t xml:space="preserve"> </w:t>
      </w:r>
      <w:r w:rsidR="00806059">
        <w:t xml:space="preserve">not just to </w:t>
      </w:r>
      <w:r w:rsidR="004F1FEA">
        <w:t xml:space="preserve">the consequences of </w:t>
      </w:r>
      <w:r w:rsidR="00806059">
        <w:t>corruption</w:t>
      </w:r>
      <w:r w:rsidR="004F1FEA">
        <w:t xml:space="preserve"> but also </w:t>
      </w:r>
      <w:r w:rsidR="007E0175">
        <w:t>to</w:t>
      </w:r>
      <w:r w:rsidR="004F1FEA">
        <w:t xml:space="preserve"> other </w:t>
      </w:r>
      <w:r w:rsidR="007E0175">
        <w:t xml:space="preserve">types </w:t>
      </w:r>
      <w:r w:rsidR="004F1FEA">
        <w:t xml:space="preserve">of criminal activity, </w:t>
      </w:r>
      <w:r w:rsidR="00965418">
        <w:t xml:space="preserve">economic and financial upheavals, </w:t>
      </w:r>
      <w:r w:rsidR="004F1FEA">
        <w:t>greed, etc.</w:t>
      </w:r>
      <w:r w:rsidR="00806059">
        <w:t xml:space="preserve"> Obviously, </w:t>
      </w:r>
      <w:r w:rsidR="00B72A7B">
        <w:t xml:space="preserve">the </w:t>
      </w:r>
      <w:r w:rsidR="00AD1FAB">
        <w:t xml:space="preserve">greater the </w:t>
      </w:r>
      <w:r>
        <w:t xml:space="preserve">level </w:t>
      </w:r>
      <w:r w:rsidR="00AD1FAB">
        <w:t xml:space="preserve">of </w:t>
      </w:r>
      <w:r w:rsidR="00B72A7B">
        <w:t xml:space="preserve">corruption </w:t>
      </w:r>
      <w:r w:rsidR="00806059">
        <w:t xml:space="preserve">in a country, the more the enjoyment of their fundamental rights </w:t>
      </w:r>
      <w:r w:rsidR="007E0175">
        <w:t>can</w:t>
      </w:r>
      <w:r w:rsidR="00806059">
        <w:t xml:space="preserve"> be jeopardised</w:t>
      </w:r>
      <w:r w:rsidR="007C027B" w:rsidRPr="00C5204E">
        <w:t>.</w:t>
      </w:r>
      <w:r w:rsidR="00806059">
        <w:t xml:space="preserve"> </w:t>
      </w:r>
    </w:p>
    <w:p w:rsidR="00806059" w:rsidRPr="00C5204E" w:rsidRDefault="00806059" w:rsidP="00806059">
      <w:pPr>
        <w:jc w:val="both"/>
      </w:pPr>
      <w:r>
        <w:t xml:space="preserve">These categories of persons, because of their vulnerability, require particular </w:t>
      </w:r>
      <w:r w:rsidR="006F31F1">
        <w:t xml:space="preserve">attention and </w:t>
      </w:r>
      <w:r>
        <w:t xml:space="preserve">support </w:t>
      </w:r>
      <w:r w:rsidR="007E0175">
        <w:t>by</w:t>
      </w:r>
      <w:r>
        <w:t xml:space="preserve"> </w:t>
      </w:r>
      <w:r w:rsidR="000D66E4">
        <w:t xml:space="preserve">public </w:t>
      </w:r>
      <w:r w:rsidR="007E0175">
        <w:t>services/organisations</w:t>
      </w:r>
      <w:r w:rsidR="000D66E4">
        <w:t xml:space="preserve"> </w:t>
      </w:r>
      <w:r>
        <w:t xml:space="preserve">and the law. If the institutions </w:t>
      </w:r>
      <w:r w:rsidR="00411F7B">
        <w:t xml:space="preserve">that are </w:t>
      </w:r>
      <w:r>
        <w:t xml:space="preserve">meant to protect them </w:t>
      </w:r>
      <w:r w:rsidR="000B7CCA">
        <w:t>–</w:t>
      </w:r>
      <w:r w:rsidR="00663EA4">
        <w:t xml:space="preserve"> social </w:t>
      </w:r>
      <w:r w:rsidR="00663EA4" w:rsidRPr="00AA371A">
        <w:t xml:space="preserve">services, </w:t>
      </w:r>
      <w:r w:rsidR="000B7CCA" w:rsidRPr="00AA371A">
        <w:t>public</w:t>
      </w:r>
      <w:r w:rsidR="000B7CCA">
        <w:t xml:space="preserve"> guardianship </w:t>
      </w:r>
      <w:r w:rsidR="00107C04">
        <w:t>mechanisms usually involving the judiciary</w:t>
      </w:r>
      <w:r w:rsidR="000B7CCA">
        <w:t xml:space="preserve">, </w:t>
      </w:r>
      <w:r w:rsidR="00801E83">
        <w:t>other collective or State solidarity mechanisms</w:t>
      </w:r>
      <w:r w:rsidR="00107C04">
        <w:t xml:space="preserve">, the police </w:t>
      </w:r>
      <w:r w:rsidR="000B7CCA">
        <w:t xml:space="preserve">– are </w:t>
      </w:r>
      <w:r w:rsidR="00801E83">
        <w:t xml:space="preserve">affected by </w:t>
      </w:r>
      <w:r w:rsidR="000B7CCA">
        <w:t>corrupt</w:t>
      </w:r>
      <w:r w:rsidR="00801E83">
        <w:t>ion</w:t>
      </w:r>
      <w:r w:rsidR="000B7CCA">
        <w:t xml:space="preserve"> and legal remedies are </w:t>
      </w:r>
      <w:r w:rsidR="000B7CCA">
        <w:lastRenderedPageBreak/>
        <w:t xml:space="preserve">ineffective, </w:t>
      </w:r>
      <w:r w:rsidR="007E0175">
        <w:t>this state of affairs</w:t>
      </w:r>
      <w:r w:rsidR="000B7CCA">
        <w:t xml:space="preserve"> </w:t>
      </w:r>
      <w:r w:rsidR="009117DA">
        <w:t xml:space="preserve">can </w:t>
      </w:r>
      <w:r w:rsidR="00663EA4">
        <w:t>ha</w:t>
      </w:r>
      <w:r w:rsidR="009117DA">
        <w:t>ve</w:t>
      </w:r>
      <w:r w:rsidR="00663EA4">
        <w:t xml:space="preserve"> a </w:t>
      </w:r>
      <w:r w:rsidR="00663EA4" w:rsidRPr="00347093">
        <w:rPr>
          <w:b/>
        </w:rPr>
        <w:t xml:space="preserve">snowball effect on </w:t>
      </w:r>
      <w:r w:rsidR="009117DA" w:rsidRPr="00347093">
        <w:rPr>
          <w:b/>
        </w:rPr>
        <w:t xml:space="preserve">different </w:t>
      </w:r>
      <w:r w:rsidR="00663EA4" w:rsidRPr="00347093">
        <w:rPr>
          <w:b/>
        </w:rPr>
        <w:t>rights</w:t>
      </w:r>
      <w:r w:rsidR="00663EA4">
        <w:t xml:space="preserve">. For instance where an elderly person placed under </w:t>
      </w:r>
      <w:r w:rsidR="009A1A79">
        <w:t xml:space="preserve">guardianship </w:t>
      </w:r>
      <w:r w:rsidR="00663EA4">
        <w:t xml:space="preserve">is the victim of an organised plundering of his/her assets by </w:t>
      </w:r>
      <w:r w:rsidR="00B02161">
        <w:t xml:space="preserve">a </w:t>
      </w:r>
      <w:r w:rsidR="009A1A79">
        <w:t>guardian</w:t>
      </w:r>
      <w:r w:rsidR="00B02161">
        <w:t>, potentially</w:t>
      </w:r>
      <w:r w:rsidR="00663EA4">
        <w:t xml:space="preserve"> with </w:t>
      </w:r>
      <w:r w:rsidR="00B02161">
        <w:t xml:space="preserve">the </w:t>
      </w:r>
      <w:r w:rsidR="00663EA4">
        <w:t>complicity o</w:t>
      </w:r>
      <w:r w:rsidR="000D66E4">
        <w:t xml:space="preserve">f </w:t>
      </w:r>
      <w:r w:rsidR="00107C04">
        <w:t>members of judicial institutions</w:t>
      </w:r>
      <w:r w:rsidR="00663EA4">
        <w:t xml:space="preserve">, </w:t>
      </w:r>
      <w:r w:rsidR="000D66E4">
        <w:t xml:space="preserve">this bears </w:t>
      </w:r>
      <w:r w:rsidR="007E0175">
        <w:t>serious</w:t>
      </w:r>
      <w:r w:rsidR="000D66E4">
        <w:t xml:space="preserve"> consequences for property </w:t>
      </w:r>
      <w:r w:rsidR="004F1FEA">
        <w:t>rights</w:t>
      </w:r>
      <w:r w:rsidR="000D66E4">
        <w:t>,</w:t>
      </w:r>
      <w:r w:rsidR="004F1FEA">
        <w:t xml:space="preserve"> </w:t>
      </w:r>
      <w:r w:rsidR="0094435D">
        <w:t xml:space="preserve">the </w:t>
      </w:r>
      <w:r w:rsidR="0039509F">
        <w:t>right to a fair trial</w:t>
      </w:r>
      <w:r w:rsidR="00CE044A">
        <w:t xml:space="preserve"> and to effective legal remedies</w:t>
      </w:r>
      <w:r w:rsidR="00F033B3">
        <w:t>, the person</w:t>
      </w:r>
      <w:r w:rsidR="00CE044A">
        <w:t>’</w:t>
      </w:r>
      <w:r w:rsidR="00F033B3">
        <w:t xml:space="preserve">s dignity </w:t>
      </w:r>
      <w:r w:rsidR="000D66E4">
        <w:t>and so on</w:t>
      </w:r>
      <w:r w:rsidR="00663EA4">
        <w:t>.</w:t>
      </w:r>
    </w:p>
    <w:p w:rsidR="00CF2C43" w:rsidRPr="00C5204E" w:rsidRDefault="00C5204E" w:rsidP="00C5204E">
      <w:pPr>
        <w:rPr>
          <w:b/>
        </w:rPr>
      </w:pPr>
      <w:r w:rsidRPr="00C5204E">
        <w:rPr>
          <w:b/>
        </w:rPr>
        <w:t xml:space="preserve">Question 2: </w:t>
      </w:r>
      <w:r w:rsidR="00CF2C43" w:rsidRPr="00C5204E">
        <w:rPr>
          <w:b/>
        </w:rPr>
        <w:t>Do you have any experience in integrating a human rights perspective in combating corruption? What are the best practices and what are the challenges in this respect?</w:t>
      </w:r>
    </w:p>
    <w:p w:rsidR="00F673F1" w:rsidRDefault="00600D80" w:rsidP="00E85C3E">
      <w:pPr>
        <w:jc w:val="both"/>
      </w:pPr>
      <w:r w:rsidRPr="00600D80">
        <w:rPr>
          <w:u w:val="single"/>
        </w:rPr>
        <w:t>Answer</w:t>
      </w:r>
      <w:r w:rsidRPr="003C681C">
        <w:t>:</w:t>
      </w:r>
      <w:r>
        <w:t xml:space="preserve"> </w:t>
      </w:r>
      <w:r w:rsidR="00F673F1">
        <w:t xml:space="preserve">The </w:t>
      </w:r>
      <w:r w:rsidR="003F5886">
        <w:t>C</w:t>
      </w:r>
      <w:r w:rsidR="007E0175">
        <w:t>ouncil of Europe</w:t>
      </w:r>
      <w:r w:rsidR="003F5886">
        <w:t xml:space="preserve">’s </w:t>
      </w:r>
      <w:r w:rsidR="00F673F1">
        <w:t>Civil Law Convention on Corruption</w:t>
      </w:r>
      <w:r w:rsidR="003F5886">
        <w:t xml:space="preserve"> </w:t>
      </w:r>
      <w:r w:rsidR="0094435D">
        <w:t xml:space="preserve">(ETS No. 174) </w:t>
      </w:r>
      <w:r w:rsidR="003F5886">
        <w:t xml:space="preserve">of </w:t>
      </w:r>
      <w:r w:rsidR="00F673F1">
        <w:t xml:space="preserve">1999 was drafted with some human rights </w:t>
      </w:r>
      <w:r w:rsidR="00EE242A">
        <w:t xml:space="preserve">concerns </w:t>
      </w:r>
      <w:r w:rsidR="00F673F1">
        <w:t xml:space="preserve">in mind. </w:t>
      </w:r>
      <w:r w:rsidR="003F5886">
        <w:t>In particular</w:t>
      </w:r>
      <w:r w:rsidR="00F673F1">
        <w:t>, article 3 provides that Parties shall provide in their internal law for “</w:t>
      </w:r>
      <w:r w:rsidR="00F673F1" w:rsidRPr="00107C04">
        <w:rPr>
          <w:i/>
        </w:rPr>
        <w:t>persons who have suffered damage as a result of corruption to have the right to initiate an action</w:t>
      </w:r>
      <w:r w:rsidR="00EE242A" w:rsidRPr="00107C04">
        <w:rPr>
          <w:i/>
        </w:rPr>
        <w:t xml:space="preserve"> in order to obtain full compensation for such damage</w:t>
      </w:r>
      <w:r w:rsidR="00EE242A">
        <w:t xml:space="preserve">”. This provision </w:t>
      </w:r>
      <w:r w:rsidR="003F5886">
        <w:t xml:space="preserve">can be seen as </w:t>
      </w:r>
      <w:r w:rsidR="00EE242A">
        <w:t>mirror</w:t>
      </w:r>
      <w:r w:rsidR="003F5886">
        <w:t>ing</w:t>
      </w:r>
      <w:r w:rsidR="00EE242A">
        <w:t xml:space="preserve"> the right to effective remedy (guaranteed under article 13 of the European Convention on Human Rights). The r</w:t>
      </w:r>
      <w:r w:rsidR="00107C04">
        <w:t xml:space="preserve">ationale of this provision is </w:t>
      </w:r>
      <w:r w:rsidR="00EE242A">
        <w:t>also that together with whistleblowers (</w:t>
      </w:r>
      <w:r w:rsidR="00107C04">
        <w:t xml:space="preserve">article 9 of the 1999 Convention </w:t>
      </w:r>
      <w:r w:rsidR="00EE242A">
        <w:t>protect</w:t>
      </w:r>
      <w:r w:rsidR="00107C04">
        <w:t xml:space="preserve">s them </w:t>
      </w:r>
      <w:r w:rsidR="00514BCB">
        <w:t xml:space="preserve">against unfair retaliation </w:t>
      </w:r>
      <w:r w:rsidR="00107C04">
        <w:t>within the employing institution</w:t>
      </w:r>
      <w:r w:rsidR="00514BCB">
        <w:t xml:space="preserve">), victims of corruption can play an important role in the </w:t>
      </w:r>
      <w:r w:rsidR="00107C04">
        <w:t>uncovering of corrupt practices.</w:t>
      </w:r>
    </w:p>
    <w:p w:rsidR="00514BCB" w:rsidRPr="00683421" w:rsidRDefault="00514BCB" w:rsidP="00E85C3E">
      <w:pPr>
        <w:jc w:val="both"/>
        <w:rPr>
          <w:rFonts w:cs="Calibri"/>
          <w:bCs/>
          <w:lang w:eastAsia="fr-FR"/>
        </w:rPr>
      </w:pPr>
      <w:r>
        <w:t>More recently</w:t>
      </w:r>
      <w:r w:rsidR="00700D04">
        <w:t>,</w:t>
      </w:r>
      <w:r w:rsidR="00117C65" w:rsidRPr="00117C65">
        <w:t xml:space="preserve"> </w:t>
      </w:r>
      <w:r w:rsidR="00117C65">
        <w:t>in 2011</w:t>
      </w:r>
      <w:r>
        <w:t xml:space="preserve">, </w:t>
      </w:r>
      <w:r w:rsidR="002509FE">
        <w:t>GRECO</w:t>
      </w:r>
      <w:r>
        <w:t xml:space="preserve"> </w:t>
      </w:r>
      <w:r w:rsidR="00F64171">
        <w:t xml:space="preserve">invited the </w:t>
      </w:r>
      <w:r w:rsidR="009105C4">
        <w:t xml:space="preserve">then </w:t>
      </w:r>
      <w:r w:rsidR="00117C65">
        <w:t>Council of Europe’s</w:t>
      </w:r>
      <w:r w:rsidR="00F64171">
        <w:t xml:space="preserve"> </w:t>
      </w:r>
      <w:r w:rsidR="00117C65">
        <w:t>Commissioner</w:t>
      </w:r>
      <w:r w:rsidR="00F64171">
        <w:t xml:space="preserve"> for Human </w:t>
      </w:r>
      <w:r w:rsidR="00117C65">
        <w:t>R</w:t>
      </w:r>
      <w:r w:rsidR="00F64171">
        <w:t xml:space="preserve">ights </w:t>
      </w:r>
      <w:r w:rsidR="00F64171" w:rsidRPr="00683421">
        <w:rPr>
          <w:rFonts w:cs="Calibri"/>
        </w:rPr>
        <w:t>to share his views on the possible impact of corruption for the effectiveness of human rights</w:t>
      </w:r>
      <w:r w:rsidR="00E85C3E" w:rsidRPr="00683421">
        <w:rPr>
          <w:rFonts w:cs="Calibri"/>
        </w:rPr>
        <w:t>, especially in relation with the functioning of institutions</w:t>
      </w:r>
      <w:r w:rsidR="00F033B3" w:rsidRPr="00683421">
        <w:rPr>
          <w:rFonts w:cs="Calibri"/>
        </w:rPr>
        <w:t xml:space="preserve"> (</w:t>
      </w:r>
      <w:r w:rsidR="00E85C3E" w:rsidRPr="00683421">
        <w:rPr>
          <w:rFonts w:cs="Calibri"/>
        </w:rPr>
        <w:t xml:space="preserve">which is a core component of GRECO’s current </w:t>
      </w:r>
      <w:r w:rsidR="00B4017E" w:rsidRPr="00683421">
        <w:rPr>
          <w:rFonts w:cs="Calibri"/>
        </w:rPr>
        <w:t xml:space="preserve">monitoring </w:t>
      </w:r>
      <w:r w:rsidR="00F033B3" w:rsidRPr="00683421">
        <w:rPr>
          <w:rFonts w:cs="Calibri"/>
        </w:rPr>
        <w:t>agenda)</w:t>
      </w:r>
      <w:r w:rsidR="00F64171" w:rsidRPr="00683421">
        <w:rPr>
          <w:rFonts w:cs="Calibri"/>
        </w:rPr>
        <w:t xml:space="preserve">. </w:t>
      </w:r>
      <w:r w:rsidR="00E85C3E" w:rsidRPr="00683421">
        <w:rPr>
          <w:rFonts w:cs="Calibri"/>
        </w:rPr>
        <w:t xml:space="preserve">Mr Hammarberg </w:t>
      </w:r>
      <w:r w:rsidR="00780F35">
        <w:rPr>
          <w:rFonts w:cs="Calibri"/>
        </w:rPr>
        <w:t>prepared an article in</w:t>
      </w:r>
      <w:r w:rsidR="00B4017E" w:rsidRPr="00683421">
        <w:rPr>
          <w:rFonts w:cs="Calibri"/>
        </w:rPr>
        <w:t xml:space="preserve"> which he </w:t>
      </w:r>
      <w:r w:rsidR="00780F35" w:rsidRPr="00683421">
        <w:rPr>
          <w:rFonts w:cs="Calibri"/>
        </w:rPr>
        <w:t>resume</w:t>
      </w:r>
      <w:r w:rsidR="00780F35">
        <w:rPr>
          <w:rFonts w:cs="Calibri"/>
        </w:rPr>
        <w:t>s</w:t>
      </w:r>
      <w:r w:rsidR="00780F35" w:rsidRPr="00683421">
        <w:rPr>
          <w:rFonts w:cs="Calibri"/>
        </w:rPr>
        <w:t xml:space="preserve"> </w:t>
      </w:r>
      <w:r w:rsidR="00B4017E" w:rsidRPr="00683421">
        <w:rPr>
          <w:rFonts w:cs="Calibri"/>
        </w:rPr>
        <w:t>as follows: “</w:t>
      </w:r>
      <w:r w:rsidR="00E85C3E" w:rsidRPr="00683421">
        <w:rPr>
          <w:rFonts w:cs="Calibri"/>
          <w:bCs/>
          <w:i/>
          <w:lang w:eastAsia="fr-FR"/>
        </w:rPr>
        <w:t>During my service as Commissioner for Human Rights I have visited all 47 member states of the Council of Europe – and repeatedly witnessed the devastating effect that corruption has on human rights. I have often heard complaints on how corruption has affected key components of the justice system: the judiciary, the police and prisons.</w:t>
      </w:r>
      <w:r w:rsidR="00B4017E" w:rsidRPr="00683421">
        <w:rPr>
          <w:rFonts w:cs="Calibri"/>
          <w:bCs/>
          <w:i/>
          <w:lang w:eastAsia="fr-FR"/>
        </w:rPr>
        <w:t>”</w:t>
      </w:r>
      <w:r w:rsidR="00B4017E" w:rsidRPr="00683421">
        <w:rPr>
          <w:rFonts w:cs="Calibri"/>
          <w:bCs/>
          <w:lang w:eastAsia="fr-FR"/>
        </w:rPr>
        <w:t xml:space="preserve"> For the full text </w:t>
      </w:r>
      <w:r w:rsidR="00274E2E" w:rsidRPr="00683421">
        <w:rPr>
          <w:rFonts w:cs="Calibri"/>
          <w:bCs/>
          <w:lang w:eastAsia="fr-FR"/>
        </w:rPr>
        <w:t>and concrete examples</w:t>
      </w:r>
      <w:r w:rsidR="00F033B3" w:rsidRPr="00683421">
        <w:rPr>
          <w:rFonts w:cs="Calibri"/>
          <w:bCs/>
          <w:lang w:eastAsia="fr-FR"/>
        </w:rPr>
        <w:t xml:space="preserve">, such as </w:t>
      </w:r>
      <w:r w:rsidR="00274E2E" w:rsidRPr="00683421">
        <w:rPr>
          <w:rFonts w:cs="Calibri"/>
          <w:bCs/>
          <w:lang w:eastAsia="fr-FR"/>
        </w:rPr>
        <w:t xml:space="preserve">prisoners </w:t>
      </w:r>
      <w:r w:rsidR="00780F35">
        <w:rPr>
          <w:rFonts w:cs="Calibri"/>
          <w:bCs/>
          <w:lang w:eastAsia="fr-FR"/>
        </w:rPr>
        <w:t>being</w:t>
      </w:r>
      <w:r w:rsidR="00F033B3" w:rsidRPr="00683421">
        <w:rPr>
          <w:rFonts w:cs="Calibri"/>
          <w:bCs/>
          <w:lang w:eastAsia="fr-FR"/>
        </w:rPr>
        <w:t xml:space="preserve"> denied </w:t>
      </w:r>
      <w:r w:rsidR="00274E2E" w:rsidRPr="00683421">
        <w:rPr>
          <w:rFonts w:cs="Calibri"/>
          <w:bCs/>
          <w:lang w:eastAsia="fr-FR"/>
        </w:rPr>
        <w:t xml:space="preserve">visits from </w:t>
      </w:r>
      <w:r w:rsidR="00F033B3" w:rsidRPr="00683421">
        <w:rPr>
          <w:rFonts w:cs="Calibri"/>
          <w:bCs/>
          <w:lang w:eastAsia="fr-FR"/>
        </w:rPr>
        <w:t xml:space="preserve">their </w:t>
      </w:r>
      <w:r w:rsidR="00274E2E" w:rsidRPr="00683421">
        <w:rPr>
          <w:rFonts w:cs="Calibri"/>
          <w:bCs/>
          <w:lang w:eastAsia="fr-FR"/>
        </w:rPr>
        <w:t>rel</w:t>
      </w:r>
      <w:r w:rsidR="00F033B3" w:rsidRPr="00683421">
        <w:rPr>
          <w:rFonts w:cs="Calibri"/>
          <w:bCs/>
          <w:lang w:eastAsia="fr-FR"/>
        </w:rPr>
        <w:t xml:space="preserve">atives where the latter cannot afford </w:t>
      </w:r>
      <w:r w:rsidR="007E0175">
        <w:rPr>
          <w:rFonts w:cs="Calibri"/>
          <w:bCs/>
          <w:lang w:eastAsia="fr-FR"/>
        </w:rPr>
        <w:t>to make</w:t>
      </w:r>
      <w:r w:rsidR="00F033B3" w:rsidRPr="00683421">
        <w:rPr>
          <w:rFonts w:cs="Calibri"/>
          <w:bCs/>
          <w:lang w:eastAsia="fr-FR"/>
        </w:rPr>
        <w:t xml:space="preserve"> payments to the prison employees and management</w:t>
      </w:r>
      <w:r w:rsidR="00B4017E" w:rsidRPr="00683421">
        <w:rPr>
          <w:rFonts w:cs="Calibri"/>
          <w:bCs/>
          <w:lang w:eastAsia="fr-FR"/>
        </w:rPr>
        <w:t xml:space="preserve">, see </w:t>
      </w:r>
      <w:hyperlink r:id="rId11" w:history="1">
        <w:r w:rsidR="00B4017E" w:rsidRPr="00683421">
          <w:rPr>
            <w:rStyle w:val="Hyperlink"/>
            <w:rFonts w:cs="Calibri"/>
            <w:bCs/>
            <w:lang w:eastAsia="fr-FR"/>
          </w:rPr>
          <w:t>GRECO’s annual activity report for the year 2011</w:t>
        </w:r>
      </w:hyperlink>
      <w:r w:rsidR="00B4017E" w:rsidRPr="00683421">
        <w:rPr>
          <w:rFonts w:cs="Calibri"/>
          <w:bCs/>
          <w:lang w:eastAsia="fr-FR"/>
        </w:rPr>
        <w:t>, page 16</w:t>
      </w:r>
      <w:r w:rsidR="0054350E">
        <w:rPr>
          <w:rFonts w:cs="Calibri"/>
          <w:bCs/>
          <w:lang w:eastAsia="fr-FR"/>
        </w:rPr>
        <w:t>, and the CPT compilation of extracts of relevant reports appended to the present questionnaire</w:t>
      </w:r>
      <w:r w:rsidRPr="00683421">
        <w:rPr>
          <w:rFonts w:cs="Calibri"/>
          <w:bCs/>
          <w:lang w:eastAsia="fr-FR"/>
        </w:rPr>
        <w:t>.</w:t>
      </w:r>
      <w:r w:rsidR="0054350E">
        <w:rPr>
          <w:rFonts w:cs="Calibri"/>
          <w:bCs/>
          <w:lang w:eastAsia="fr-FR"/>
        </w:rPr>
        <w:t xml:space="preserve"> </w:t>
      </w:r>
    </w:p>
    <w:p w:rsidR="007D438F" w:rsidRPr="007D438F" w:rsidRDefault="007D438F" w:rsidP="007D438F">
      <w:pPr>
        <w:jc w:val="both"/>
      </w:pPr>
      <w:r w:rsidRPr="007D438F">
        <w:rPr>
          <w:lang w:eastAsia="fr-FR"/>
        </w:rPr>
        <w:t xml:space="preserve">Moreover, </w:t>
      </w:r>
      <w:r w:rsidRPr="007D438F">
        <w:t xml:space="preserve">in response to a call by the Committee of Ministers to all Council of Europe bodies to integrate a gender perspective and to mainstream gender equality in their activities, GRECO initiated a process to examine possible links between gender and corruption.  A paper </w:t>
      </w:r>
      <w:r>
        <w:t xml:space="preserve">was </w:t>
      </w:r>
      <w:r w:rsidRPr="007D438F">
        <w:t xml:space="preserve">prepared on the basis of a questionnaire sent to countries as well as open sources analysing the current state of research and statistical data available. Moreover, an additional questionnaire was circulated recently in an attempt to collect gender disaggregated data relevant to GRECO’s Fourth Round focusing on “Corruption prevention in respect of members of Parliament, judges and prosecutors”. The preliminary findings will </w:t>
      </w:r>
      <w:r>
        <w:t xml:space="preserve">be </w:t>
      </w:r>
      <w:r w:rsidRPr="007D438F">
        <w:t xml:space="preserve">presented at a conference on “Gender dimension of corruption” to be held on 13 December 2013 in Prague, organised jointly with the </w:t>
      </w:r>
      <w:r w:rsidR="006C62B6">
        <w:t>authorities</w:t>
      </w:r>
      <w:r w:rsidRPr="007D438F">
        <w:t xml:space="preserve"> of the Czech Republic. For further information on this project, see </w:t>
      </w:r>
      <w:hyperlink r:id="rId12" w:history="1">
        <w:r w:rsidRPr="007D438F">
          <w:rPr>
            <w:rStyle w:val="Hyperlink"/>
          </w:rPr>
          <w:t>GRECO’s annual activity report for the year 2012</w:t>
        </w:r>
      </w:hyperlink>
      <w:r w:rsidRPr="007D438F">
        <w:t>, page 19.</w:t>
      </w:r>
    </w:p>
    <w:p w:rsidR="00FF7073" w:rsidRPr="00683421" w:rsidRDefault="00FF7073" w:rsidP="00E85C3E">
      <w:pPr>
        <w:jc w:val="both"/>
        <w:rPr>
          <w:rFonts w:cs="Calibri"/>
          <w:bCs/>
          <w:lang w:eastAsia="fr-FR"/>
        </w:rPr>
      </w:pPr>
      <w:r w:rsidRPr="00683421">
        <w:rPr>
          <w:rFonts w:cs="Calibri"/>
          <w:bCs/>
          <w:lang w:eastAsia="fr-FR"/>
        </w:rPr>
        <w:t xml:space="preserve">GRECO </w:t>
      </w:r>
      <w:r w:rsidR="00514BCB" w:rsidRPr="00683421">
        <w:rPr>
          <w:rFonts w:cs="Calibri"/>
          <w:bCs/>
          <w:lang w:eastAsia="fr-FR"/>
        </w:rPr>
        <w:t xml:space="preserve">and its </w:t>
      </w:r>
      <w:r w:rsidRPr="00683421">
        <w:rPr>
          <w:rFonts w:cs="Calibri"/>
          <w:bCs/>
          <w:lang w:eastAsia="fr-FR"/>
        </w:rPr>
        <w:t xml:space="preserve">Secretariat </w:t>
      </w:r>
      <w:r w:rsidR="00514BCB" w:rsidRPr="00683421">
        <w:rPr>
          <w:rFonts w:cs="Calibri"/>
          <w:bCs/>
          <w:lang w:eastAsia="fr-FR"/>
        </w:rPr>
        <w:t xml:space="preserve">also </w:t>
      </w:r>
      <w:r w:rsidRPr="00683421">
        <w:rPr>
          <w:rFonts w:cs="Calibri"/>
          <w:bCs/>
          <w:lang w:eastAsia="fr-FR"/>
        </w:rPr>
        <w:t xml:space="preserve">keep </w:t>
      </w:r>
      <w:r w:rsidR="007E0175">
        <w:rPr>
          <w:rFonts w:cs="Calibri"/>
          <w:bCs/>
          <w:lang w:eastAsia="fr-FR"/>
        </w:rPr>
        <w:t>abreast of</w:t>
      </w:r>
      <w:r w:rsidR="0039509F" w:rsidRPr="00683421">
        <w:rPr>
          <w:rFonts w:cs="Calibri"/>
          <w:bCs/>
          <w:lang w:eastAsia="fr-FR"/>
        </w:rPr>
        <w:t xml:space="preserve"> </w:t>
      </w:r>
      <w:r w:rsidRPr="00683421">
        <w:rPr>
          <w:rFonts w:cs="Calibri"/>
          <w:bCs/>
          <w:lang w:eastAsia="fr-FR"/>
        </w:rPr>
        <w:t xml:space="preserve">the activities of other Council of Europe bodies. The European Court of </w:t>
      </w:r>
      <w:r w:rsidR="00417F15">
        <w:rPr>
          <w:rFonts w:cs="Calibri"/>
          <w:bCs/>
          <w:lang w:eastAsia="fr-FR"/>
        </w:rPr>
        <w:t>H</w:t>
      </w:r>
      <w:r w:rsidRPr="00683421">
        <w:rPr>
          <w:rFonts w:cs="Calibri"/>
          <w:bCs/>
          <w:lang w:eastAsia="fr-FR"/>
        </w:rPr>
        <w:t xml:space="preserve">uman Rights deals with cases which sometimes contain facts and information </w:t>
      </w:r>
      <w:r w:rsidR="00411F7B">
        <w:rPr>
          <w:rFonts w:cs="Calibri"/>
          <w:bCs/>
          <w:lang w:eastAsia="fr-FR"/>
        </w:rPr>
        <w:t>that</w:t>
      </w:r>
      <w:r w:rsidR="00411F7B" w:rsidRPr="00683421">
        <w:rPr>
          <w:rFonts w:cs="Calibri"/>
          <w:bCs/>
          <w:lang w:eastAsia="fr-FR"/>
        </w:rPr>
        <w:t xml:space="preserve"> </w:t>
      </w:r>
      <w:r w:rsidRPr="00683421">
        <w:rPr>
          <w:rFonts w:cs="Calibri"/>
          <w:bCs/>
          <w:lang w:eastAsia="fr-FR"/>
        </w:rPr>
        <w:t xml:space="preserve">can be relevant for GRECO’s monitoring work. Likewise, a number of Council of Europe activities </w:t>
      </w:r>
      <w:r w:rsidR="00417F15">
        <w:rPr>
          <w:rFonts w:cs="Calibri"/>
          <w:bCs/>
          <w:lang w:eastAsia="fr-FR"/>
        </w:rPr>
        <w:t>with a human rights focus</w:t>
      </w:r>
      <w:r w:rsidRPr="00683421">
        <w:rPr>
          <w:rFonts w:cs="Calibri"/>
          <w:bCs/>
          <w:lang w:eastAsia="fr-FR"/>
        </w:rPr>
        <w:t xml:space="preserve"> </w:t>
      </w:r>
      <w:r w:rsidR="00B72A7B" w:rsidRPr="00683421">
        <w:rPr>
          <w:rFonts w:cs="Calibri"/>
          <w:bCs/>
          <w:lang w:eastAsia="fr-FR"/>
        </w:rPr>
        <w:t xml:space="preserve">have partnerships with developed </w:t>
      </w:r>
      <w:r w:rsidRPr="00683421">
        <w:rPr>
          <w:rFonts w:cs="Calibri"/>
          <w:bCs/>
          <w:lang w:eastAsia="fr-FR"/>
        </w:rPr>
        <w:t xml:space="preserve">networks of human rights </w:t>
      </w:r>
      <w:r w:rsidR="00B72A7B" w:rsidRPr="00683421">
        <w:rPr>
          <w:rFonts w:cs="Calibri"/>
          <w:bCs/>
          <w:lang w:eastAsia="fr-FR"/>
        </w:rPr>
        <w:t xml:space="preserve">watchdogs </w:t>
      </w:r>
      <w:r w:rsidR="00B72A7B" w:rsidRPr="00683421">
        <w:rPr>
          <w:rFonts w:cs="Calibri"/>
          <w:bCs/>
          <w:lang w:eastAsia="fr-FR"/>
        </w:rPr>
        <w:lastRenderedPageBreak/>
        <w:t>and activists: these activities can be valuable sources of information</w:t>
      </w:r>
      <w:r w:rsidR="00587BBF" w:rsidRPr="00683421">
        <w:rPr>
          <w:rFonts w:cs="Calibri"/>
          <w:bCs/>
          <w:lang w:eastAsia="fr-FR"/>
        </w:rPr>
        <w:t xml:space="preserve"> </w:t>
      </w:r>
      <w:r w:rsidR="00C71C1C">
        <w:rPr>
          <w:rFonts w:cs="Calibri"/>
          <w:bCs/>
          <w:lang w:eastAsia="fr-FR"/>
        </w:rPr>
        <w:t>on</w:t>
      </w:r>
      <w:r w:rsidR="00C71C1C" w:rsidRPr="00683421">
        <w:rPr>
          <w:rFonts w:cs="Calibri"/>
          <w:bCs/>
          <w:lang w:eastAsia="fr-FR"/>
        </w:rPr>
        <w:t xml:space="preserve"> </w:t>
      </w:r>
      <w:r w:rsidR="00587BBF" w:rsidRPr="00683421">
        <w:rPr>
          <w:rFonts w:cs="Calibri"/>
          <w:bCs/>
          <w:lang w:eastAsia="fr-FR"/>
        </w:rPr>
        <w:t xml:space="preserve">the reality and importance of certain problems with </w:t>
      </w:r>
      <w:r w:rsidR="00411F7B">
        <w:rPr>
          <w:rFonts w:cs="Calibri"/>
          <w:bCs/>
          <w:lang w:eastAsia="fr-FR"/>
        </w:rPr>
        <w:t>a</w:t>
      </w:r>
      <w:r w:rsidR="00587BBF" w:rsidRPr="00683421">
        <w:rPr>
          <w:rFonts w:cs="Calibri"/>
          <w:bCs/>
          <w:lang w:eastAsia="fr-FR"/>
        </w:rPr>
        <w:t xml:space="preserve"> corruption</w:t>
      </w:r>
      <w:r w:rsidR="00411F7B">
        <w:rPr>
          <w:rFonts w:cs="Calibri"/>
          <w:bCs/>
          <w:lang w:eastAsia="fr-FR"/>
        </w:rPr>
        <w:t xml:space="preserve"> element</w:t>
      </w:r>
      <w:r w:rsidR="00B72A7B" w:rsidRPr="00683421">
        <w:rPr>
          <w:rFonts w:cs="Calibri"/>
          <w:bCs/>
          <w:lang w:eastAsia="fr-FR"/>
        </w:rPr>
        <w:t>.</w:t>
      </w:r>
    </w:p>
    <w:p w:rsidR="00274E2E" w:rsidRPr="00683421" w:rsidRDefault="00417F15" w:rsidP="00E85C3E">
      <w:pPr>
        <w:jc w:val="both"/>
        <w:rPr>
          <w:rFonts w:cs="Calibri"/>
        </w:rPr>
      </w:pPr>
      <w:r>
        <w:rPr>
          <w:rFonts w:cs="Calibri"/>
        </w:rPr>
        <w:t>T</w:t>
      </w:r>
      <w:r w:rsidR="00950CAB" w:rsidRPr="00683421">
        <w:rPr>
          <w:rFonts w:cs="Calibri"/>
        </w:rPr>
        <w:t xml:space="preserve">he </w:t>
      </w:r>
      <w:r w:rsidR="00950CAB" w:rsidRPr="00683421">
        <w:rPr>
          <w:rFonts w:cs="Calibri"/>
          <w:b/>
        </w:rPr>
        <w:t>protection of victims of corruption, as well as persons who report suspicions of corruption</w:t>
      </w:r>
      <w:r w:rsidR="00950CAB" w:rsidRPr="00683421">
        <w:rPr>
          <w:rFonts w:cs="Calibri"/>
        </w:rPr>
        <w:t xml:space="preserve"> (as mentioned above in relation to the Civil Law Convention of 1999), </w:t>
      </w:r>
      <w:r w:rsidR="007428D7" w:rsidRPr="00683421">
        <w:rPr>
          <w:rFonts w:cs="Calibri"/>
        </w:rPr>
        <w:t xml:space="preserve">should be seen as important </w:t>
      </w:r>
      <w:r w:rsidR="00950CAB" w:rsidRPr="00683421">
        <w:rPr>
          <w:rFonts w:cs="Calibri"/>
        </w:rPr>
        <w:t>tools to promote both human rights and ethical behaviour in any sector of public or business activity.</w:t>
      </w:r>
      <w:r w:rsidR="003655D3" w:rsidRPr="00683421">
        <w:rPr>
          <w:rFonts w:cs="Calibri"/>
        </w:rPr>
        <w:t xml:space="preserve"> The ECHR judgement </w:t>
      </w:r>
      <w:r w:rsidR="003655D3" w:rsidRPr="00683421">
        <w:rPr>
          <w:rFonts w:cs="Calibri"/>
          <w:i/>
        </w:rPr>
        <w:t>Heinisch vs Germany</w:t>
      </w:r>
      <w:r w:rsidR="003655D3" w:rsidRPr="00683421">
        <w:rPr>
          <w:rFonts w:cs="Calibri"/>
        </w:rPr>
        <w:t xml:space="preserve"> (21/07/2011) constitutes an interesting illustration </w:t>
      </w:r>
      <w:r w:rsidR="007605A5">
        <w:rPr>
          <w:rFonts w:cs="Calibri"/>
        </w:rPr>
        <w:t>of</w:t>
      </w:r>
      <w:r w:rsidR="007605A5" w:rsidRPr="00683421">
        <w:rPr>
          <w:rFonts w:cs="Calibri"/>
        </w:rPr>
        <w:t xml:space="preserve"> </w:t>
      </w:r>
      <w:r w:rsidR="003655D3" w:rsidRPr="00683421">
        <w:rPr>
          <w:rFonts w:cs="Calibri"/>
        </w:rPr>
        <w:t>th</w:t>
      </w:r>
      <w:r w:rsidR="005E0839" w:rsidRPr="00683421">
        <w:rPr>
          <w:rFonts w:cs="Calibri"/>
        </w:rPr>
        <w:t>e importance of whistleblowers for the protection of vulnerable persons’ interests</w:t>
      </w:r>
      <w:r w:rsidR="003655D3" w:rsidRPr="00683421">
        <w:rPr>
          <w:rStyle w:val="FootnoteReference"/>
          <w:rFonts w:cs="Calibri"/>
        </w:rPr>
        <w:footnoteReference w:id="2"/>
      </w:r>
      <w:r w:rsidR="003655D3" w:rsidRPr="00683421">
        <w:rPr>
          <w:rFonts w:cs="Calibri"/>
        </w:rPr>
        <w:t xml:space="preserve">. </w:t>
      </w:r>
    </w:p>
    <w:p w:rsidR="00347093" w:rsidRPr="00683421" w:rsidRDefault="00347093" w:rsidP="00E85C3E">
      <w:pPr>
        <w:jc w:val="both"/>
        <w:rPr>
          <w:rFonts w:cs="Calibri"/>
        </w:rPr>
      </w:pPr>
      <w:r w:rsidRPr="00685855">
        <w:rPr>
          <w:rFonts w:cs="Calibri"/>
        </w:rPr>
        <w:t xml:space="preserve">It </w:t>
      </w:r>
      <w:r w:rsidR="00E453C1" w:rsidRPr="00AA371A">
        <w:rPr>
          <w:rFonts w:cs="Calibri"/>
        </w:rPr>
        <w:t xml:space="preserve">would therefore </w:t>
      </w:r>
      <w:r w:rsidRPr="00685855">
        <w:rPr>
          <w:rFonts w:cs="Calibri"/>
        </w:rPr>
        <w:t xml:space="preserve">appear that </w:t>
      </w:r>
      <w:r w:rsidR="00E453C1">
        <w:rPr>
          <w:rFonts w:cs="Calibri"/>
          <w:b/>
        </w:rPr>
        <w:t>exchanges of views between</w:t>
      </w:r>
      <w:r w:rsidR="00E453C1" w:rsidRPr="00347093">
        <w:rPr>
          <w:rFonts w:cs="Calibri"/>
          <w:b/>
        </w:rPr>
        <w:t xml:space="preserve"> </w:t>
      </w:r>
      <w:r w:rsidRPr="00347093">
        <w:rPr>
          <w:rFonts w:cs="Calibri"/>
          <w:b/>
        </w:rPr>
        <w:t>human rights specialists and anti-corruption specialists</w:t>
      </w:r>
      <w:r w:rsidRPr="00347093">
        <w:rPr>
          <w:rFonts w:cs="Calibri"/>
        </w:rPr>
        <w:t xml:space="preserve">, and sharing of information, </w:t>
      </w:r>
      <w:r w:rsidRPr="00685855">
        <w:rPr>
          <w:rFonts w:cs="Calibri"/>
        </w:rPr>
        <w:t>can</w:t>
      </w:r>
      <w:r w:rsidRPr="00347093">
        <w:rPr>
          <w:rFonts w:cs="Calibri"/>
        </w:rPr>
        <w:t xml:space="preserve"> help to better identify, understand and assess phenomena which </w:t>
      </w:r>
      <w:r w:rsidR="00E453C1">
        <w:rPr>
          <w:rFonts w:cs="Calibri"/>
        </w:rPr>
        <w:t xml:space="preserve">might </w:t>
      </w:r>
      <w:r w:rsidR="00417F15">
        <w:rPr>
          <w:rFonts w:cs="Calibri"/>
        </w:rPr>
        <w:t>be a source of mutual concern.</w:t>
      </w:r>
    </w:p>
    <w:p w:rsidR="00C5204E" w:rsidRPr="00C8078E" w:rsidRDefault="00C5204E" w:rsidP="00C5204E">
      <w:pPr>
        <w:rPr>
          <w:b/>
        </w:rPr>
      </w:pPr>
      <w:r w:rsidRPr="00C8078E">
        <w:rPr>
          <w:b/>
        </w:rPr>
        <w:t xml:space="preserve">Questions 3 and 4: </w:t>
      </w:r>
    </w:p>
    <w:p w:rsidR="00CF2C43" w:rsidRPr="00C8078E" w:rsidRDefault="00CF2C43" w:rsidP="000729BA">
      <w:pPr>
        <w:jc w:val="both"/>
        <w:rPr>
          <w:b/>
        </w:rPr>
      </w:pPr>
      <w:r w:rsidRPr="00C8078E">
        <w:rPr>
          <w:b/>
        </w:rPr>
        <w:t>What measures can be taken by the Human Rights Council and its subsidiary bodies or by States to combat corruption with specific consideration of the negative impact of corruption on the enjoyment of human rights?</w:t>
      </w:r>
    </w:p>
    <w:p w:rsidR="00CF2C43" w:rsidRPr="00C5204E" w:rsidRDefault="00CF2C43" w:rsidP="000729BA">
      <w:pPr>
        <w:jc w:val="both"/>
        <w:rPr>
          <w:b/>
        </w:rPr>
      </w:pPr>
      <w:r w:rsidRPr="00C8078E">
        <w:rPr>
          <w:b/>
        </w:rPr>
        <w:t xml:space="preserve">How can the United Nations human rights mechanisms be utilized for anti-corruption efforts?  What other institutional mechanisms could be used to integrate </w:t>
      </w:r>
      <w:r w:rsidR="004175D3" w:rsidRPr="00C8078E">
        <w:rPr>
          <w:b/>
        </w:rPr>
        <w:t xml:space="preserve">a </w:t>
      </w:r>
      <w:r w:rsidRPr="00C8078E">
        <w:rPr>
          <w:b/>
        </w:rPr>
        <w:t>human rights-based approach in combating corruption or vice-versa at both</w:t>
      </w:r>
      <w:r w:rsidR="004175D3" w:rsidRPr="00C8078E">
        <w:rPr>
          <w:b/>
        </w:rPr>
        <w:t>,</w:t>
      </w:r>
      <w:r w:rsidRPr="00C8078E">
        <w:rPr>
          <w:b/>
        </w:rPr>
        <w:t xml:space="preserve"> the international and national level?</w:t>
      </w:r>
      <w:r w:rsidR="008953B6" w:rsidRPr="00C5204E">
        <w:rPr>
          <w:b/>
        </w:rPr>
        <w:t xml:space="preserve"> </w:t>
      </w:r>
    </w:p>
    <w:p w:rsidR="00CB5A00" w:rsidRDefault="00600D80" w:rsidP="002D7D3B">
      <w:pPr>
        <w:jc w:val="both"/>
      </w:pPr>
      <w:r w:rsidRPr="00600D80">
        <w:rPr>
          <w:u w:val="single"/>
        </w:rPr>
        <w:t>Answer</w:t>
      </w:r>
      <w:r w:rsidRPr="003C681C">
        <w:t>:</w:t>
      </w:r>
      <w:r>
        <w:t xml:space="preserve"> </w:t>
      </w:r>
    </w:p>
    <w:p w:rsidR="00CB5A00" w:rsidRDefault="00F976E5" w:rsidP="002D7D3B">
      <w:pPr>
        <w:jc w:val="both"/>
      </w:pPr>
      <w:r>
        <w:t>B</w:t>
      </w:r>
      <w:r w:rsidR="00475996">
        <w:t xml:space="preserve">ack in 2002 and in the context of the drafting of the UN Convention against Corruption, </w:t>
      </w:r>
      <w:r w:rsidR="00971AA7">
        <w:t xml:space="preserve">the </w:t>
      </w:r>
      <w:r w:rsidR="00971AA7" w:rsidRPr="00807592">
        <w:t xml:space="preserve">International Group for Anticorruption Coordination </w:t>
      </w:r>
      <w:r w:rsidR="00971AA7">
        <w:t xml:space="preserve">- </w:t>
      </w:r>
      <w:r w:rsidR="00971AA7" w:rsidRPr="00807592">
        <w:t>IGAC</w:t>
      </w:r>
      <w:r w:rsidR="00971AA7">
        <w:t xml:space="preserve"> was established under the aegis of the UNODC on the initiative of the then UN deputy Secretary General, Ms Louise </w:t>
      </w:r>
      <w:proofErr w:type="spellStart"/>
      <w:r w:rsidR="00971AA7">
        <w:t>Fréchette</w:t>
      </w:r>
      <w:proofErr w:type="spellEnd"/>
      <w:r w:rsidR="00971AA7">
        <w:t xml:space="preserve">. </w:t>
      </w:r>
      <w:r w:rsidR="00475996">
        <w:t>Originally, t</w:t>
      </w:r>
      <w:r w:rsidR="00971AA7">
        <w:t xml:space="preserve">he system was meant to bring together all the UN agencies in order for them to </w:t>
      </w:r>
      <w:r w:rsidR="00475996">
        <w:t>share experience</w:t>
      </w:r>
      <w:r>
        <w:t xml:space="preserve">, </w:t>
      </w:r>
      <w:r w:rsidR="00971AA7">
        <w:t xml:space="preserve">to </w:t>
      </w:r>
      <w:r>
        <w:t xml:space="preserve">develop synergies and </w:t>
      </w:r>
      <w:r w:rsidR="00971AA7">
        <w:t>coordinate their activities</w:t>
      </w:r>
      <w:r w:rsidR="00543072">
        <w:t xml:space="preserve"> having an anti-corruption component</w:t>
      </w:r>
      <w:r w:rsidR="00971AA7">
        <w:t>. A dozen meetings were held</w:t>
      </w:r>
      <w:proofErr w:type="gramStart"/>
      <w:r w:rsidR="000B238C">
        <w:t>,</w:t>
      </w:r>
      <w:proofErr w:type="gramEnd"/>
      <w:r w:rsidR="000B238C">
        <w:t xml:space="preserve"> a website was created</w:t>
      </w:r>
      <w:r>
        <w:t xml:space="preserve"> </w:t>
      </w:r>
      <w:r w:rsidR="000B238C">
        <w:t xml:space="preserve">including a </w:t>
      </w:r>
      <w:r>
        <w:t xml:space="preserve">secured access </w:t>
      </w:r>
      <w:r w:rsidR="000B238C">
        <w:t xml:space="preserve">database compiling </w:t>
      </w:r>
      <w:proofErr w:type="spellStart"/>
      <w:r w:rsidR="000B238C">
        <w:t>i.a</w:t>
      </w:r>
      <w:proofErr w:type="spellEnd"/>
      <w:r w:rsidR="000B238C">
        <w:t>. all the relevant UN activities</w:t>
      </w:r>
      <w:r>
        <w:t xml:space="preserve"> (</w:t>
      </w:r>
      <w:hyperlink r:id="rId13" w:history="1">
        <w:r w:rsidRPr="0056331D">
          <w:rPr>
            <w:rStyle w:val="Hyperlink"/>
          </w:rPr>
          <w:t>www.igac.net</w:t>
        </w:r>
      </w:hyperlink>
      <w:r>
        <w:t xml:space="preserve"> – which seems inactive now)</w:t>
      </w:r>
      <w:r w:rsidR="00971AA7">
        <w:t xml:space="preserve">. </w:t>
      </w:r>
      <w:r w:rsidR="00475996" w:rsidRPr="00475996">
        <w:rPr>
          <w:b/>
        </w:rPr>
        <w:t>S</w:t>
      </w:r>
      <w:r w:rsidR="000B238C" w:rsidRPr="00475996">
        <w:rPr>
          <w:b/>
        </w:rPr>
        <w:t xml:space="preserve">ome </w:t>
      </w:r>
      <w:r w:rsidR="00CB5A00" w:rsidRPr="00475996">
        <w:rPr>
          <w:b/>
        </w:rPr>
        <w:t>UN agencies ha</w:t>
      </w:r>
      <w:r w:rsidR="00475996" w:rsidRPr="00475996">
        <w:rPr>
          <w:b/>
        </w:rPr>
        <w:t xml:space="preserve">ve </w:t>
      </w:r>
      <w:r w:rsidR="00CB5A00" w:rsidRPr="00475996">
        <w:rPr>
          <w:b/>
        </w:rPr>
        <w:t>already incorporat</w:t>
      </w:r>
      <w:r w:rsidR="003C0891">
        <w:rPr>
          <w:b/>
        </w:rPr>
        <w:t xml:space="preserve">ed significant </w:t>
      </w:r>
      <w:r w:rsidR="00CB5A00" w:rsidRPr="00475996">
        <w:rPr>
          <w:b/>
        </w:rPr>
        <w:t xml:space="preserve">anti-corruption </w:t>
      </w:r>
      <w:r w:rsidR="003C0891">
        <w:rPr>
          <w:b/>
        </w:rPr>
        <w:t xml:space="preserve">and integrity-related </w:t>
      </w:r>
      <w:r w:rsidR="00CB5A00" w:rsidRPr="00475996">
        <w:rPr>
          <w:b/>
        </w:rPr>
        <w:t>components</w:t>
      </w:r>
      <w:r w:rsidR="00CB5A00">
        <w:t xml:space="preserve"> in their </w:t>
      </w:r>
      <w:r w:rsidR="00475996">
        <w:t>regular activities</w:t>
      </w:r>
      <w:r w:rsidR="000B238C">
        <w:t>.</w:t>
      </w:r>
      <w:r w:rsidR="00CB5A00">
        <w:t xml:space="preserve"> </w:t>
      </w:r>
      <w:r w:rsidR="00971AA7">
        <w:t>One good example we are aware of is the UNESCO</w:t>
      </w:r>
      <w:r w:rsidR="00971AA7">
        <w:rPr>
          <w:rStyle w:val="FootnoteReference"/>
        </w:rPr>
        <w:footnoteReference w:id="3"/>
      </w:r>
      <w:r w:rsidR="00971AA7">
        <w:t>.</w:t>
      </w:r>
      <w:r>
        <w:t xml:space="preserve"> </w:t>
      </w:r>
    </w:p>
    <w:p w:rsidR="009F63EF" w:rsidRDefault="00F976E5" w:rsidP="002D7D3B">
      <w:pPr>
        <w:jc w:val="both"/>
      </w:pPr>
      <w:r>
        <w:t>As far as the Council of Europe is concerned, f</w:t>
      </w:r>
      <w:r w:rsidR="002A7882">
        <w:t xml:space="preserve">ollowing </w:t>
      </w:r>
      <w:r w:rsidR="00C5204E" w:rsidRPr="00C5204E">
        <w:t xml:space="preserve">the </w:t>
      </w:r>
      <w:r w:rsidR="002A7882">
        <w:t xml:space="preserve">1994 conference of </w:t>
      </w:r>
      <w:r w:rsidR="00C5204E" w:rsidRPr="00C5204E">
        <w:t xml:space="preserve">Ministers of Justice of member States, </w:t>
      </w:r>
      <w:r w:rsidR="002A7882">
        <w:t xml:space="preserve">there was a political agreement to develop ambitious anti-corruption policies and standards under the aegis of this </w:t>
      </w:r>
      <w:r w:rsidR="00D568A3">
        <w:t>Organisation</w:t>
      </w:r>
      <w:r w:rsidR="002A7882">
        <w:t xml:space="preserve">. A mandate was thus given to the </w:t>
      </w:r>
      <w:r w:rsidR="00417F15">
        <w:t>Council of Europe</w:t>
      </w:r>
      <w:r w:rsidR="002A7882">
        <w:t xml:space="preserve"> in this respect, which eventually materialised in a programme of action against corruption – “PAC”, </w:t>
      </w:r>
      <w:r w:rsidR="002A7882">
        <w:lastRenderedPageBreak/>
        <w:t>adopted by the Committee of ministers in 1996. The</w:t>
      </w:r>
      <w:r w:rsidR="00C45AA7">
        <w:t xml:space="preserve"> PAC is a document which 1) analyses the situation of corruption and </w:t>
      </w:r>
      <w:r w:rsidR="002A7882">
        <w:t xml:space="preserve">issues </w:t>
      </w:r>
      <w:r w:rsidR="00C45AA7">
        <w:t>connected thereto, in Europe; 2) identifies policy-making lines of action; 3) categorises these possible actions according to high, me</w:t>
      </w:r>
      <w:r w:rsidR="009105C4">
        <w:t>dium and lower level importance</w:t>
      </w:r>
      <w:r w:rsidR="00C45AA7">
        <w:t xml:space="preserve">. This was followed by a set of complementary activities in the areas of 1) </w:t>
      </w:r>
      <w:r w:rsidR="00C45AA7" w:rsidRPr="002D7D3B">
        <w:rPr>
          <w:u w:val="single"/>
        </w:rPr>
        <w:t>standard setting</w:t>
      </w:r>
      <w:r w:rsidR="002D7D3B">
        <w:t xml:space="preserve"> (which resulted in various conventions and recommendations for action to member States) </w:t>
      </w:r>
      <w:r w:rsidR="00C45AA7">
        <w:t xml:space="preserve">; 2) </w:t>
      </w:r>
      <w:r w:rsidR="00C45AA7" w:rsidRPr="002D7D3B">
        <w:rPr>
          <w:u w:val="single"/>
        </w:rPr>
        <w:t>sharing of experience and technical cooperation</w:t>
      </w:r>
      <w:r w:rsidR="002D7D3B">
        <w:t xml:space="preserve"> (organisation of periodic meetings of anti-corruption specialists, introduction of programmes to finance seminars and study visits for practitioners meant to provide training opportunities and analysis of domestic situations, including identification of desirable reforms)</w:t>
      </w:r>
      <w:r w:rsidR="00C45AA7">
        <w:t xml:space="preserve">; 3) </w:t>
      </w:r>
      <w:r w:rsidR="00C45AA7" w:rsidRPr="002D7D3B">
        <w:rPr>
          <w:u w:val="single"/>
        </w:rPr>
        <w:t>monitoring</w:t>
      </w:r>
      <w:r w:rsidR="002D7D3B">
        <w:t xml:space="preserve">. </w:t>
      </w:r>
    </w:p>
    <w:p w:rsidR="00004D2E" w:rsidRDefault="002D7D3B" w:rsidP="002D7D3B">
      <w:pPr>
        <w:jc w:val="both"/>
      </w:pPr>
      <w:r>
        <w:t xml:space="preserve">We believe that </w:t>
      </w:r>
      <w:r w:rsidR="005C7886">
        <w:t xml:space="preserve">with </w:t>
      </w:r>
      <w:r>
        <w:t xml:space="preserve">this </w:t>
      </w:r>
      <w:r w:rsidRPr="000729BA">
        <w:rPr>
          <w:b/>
        </w:rPr>
        <w:t>progressive step by step approach</w:t>
      </w:r>
      <w:r>
        <w:t xml:space="preserve"> (identifying problems and possible solutions</w:t>
      </w:r>
      <w:r w:rsidR="00AF3DA0">
        <w:t xml:space="preserve"> with the involvement of specialists from different areas – including human rights specialists and anti-corruption </w:t>
      </w:r>
      <w:r w:rsidR="00F63A03">
        <w:t>experts</w:t>
      </w:r>
      <w:r w:rsidR="00AF3DA0">
        <w:t xml:space="preserve"> in the present case</w:t>
      </w:r>
      <w:r>
        <w:t>, devising complementary activities on the medium/long term</w:t>
      </w:r>
      <w:r w:rsidR="00AF3DA0">
        <w:t xml:space="preserve"> etc.</w:t>
      </w:r>
      <w:r>
        <w:t xml:space="preserve">) the </w:t>
      </w:r>
      <w:r w:rsidR="00417F15">
        <w:t>Council of Europe</w:t>
      </w:r>
      <w:r>
        <w:t xml:space="preserve"> has followed a</w:t>
      </w:r>
      <w:r w:rsidR="00967A2A">
        <w:t xml:space="preserve">n ambitious and wise </w:t>
      </w:r>
      <w:r>
        <w:t xml:space="preserve">approach which has </w:t>
      </w:r>
      <w:r w:rsidR="005166EB">
        <w:t xml:space="preserve">contributed to the </w:t>
      </w:r>
      <w:r w:rsidR="005166EB" w:rsidRPr="000729BA">
        <w:rPr>
          <w:b/>
        </w:rPr>
        <w:t>credibility</w:t>
      </w:r>
      <w:r w:rsidR="005166EB">
        <w:t xml:space="preserve"> of the </w:t>
      </w:r>
      <w:r w:rsidR="00417F15">
        <w:t>Council of Europe’s</w:t>
      </w:r>
      <w:r w:rsidR="005166EB">
        <w:t xml:space="preserve"> action in this area</w:t>
      </w:r>
      <w:r w:rsidR="00967A2A">
        <w:t xml:space="preserve">. This has in turn </w:t>
      </w:r>
      <w:r w:rsidR="005166EB">
        <w:t xml:space="preserve">facilitated the acceptance of anti-corruption efforts by </w:t>
      </w:r>
      <w:r w:rsidR="008435FB">
        <w:t xml:space="preserve">the vast majority of </w:t>
      </w:r>
      <w:r w:rsidR="005166EB">
        <w:t>member States</w:t>
      </w:r>
      <w:r>
        <w:t>.</w:t>
      </w:r>
      <w:r w:rsidR="005166EB">
        <w:t xml:space="preserve"> </w:t>
      </w:r>
      <w:r w:rsidR="005166EB" w:rsidRPr="00347093">
        <w:rPr>
          <w:b/>
        </w:rPr>
        <w:t>This approach could inspire the Human Rights Council and UN human rights mechanisms</w:t>
      </w:r>
      <w:r w:rsidR="00641B86" w:rsidRPr="00347093">
        <w:rPr>
          <w:b/>
        </w:rPr>
        <w:t>, as well as national authorities and administrations</w:t>
      </w:r>
      <w:r w:rsidR="00347093">
        <w:t xml:space="preserve"> </w:t>
      </w:r>
      <w:r w:rsidR="00347093" w:rsidRPr="00347093">
        <w:rPr>
          <w:b/>
        </w:rPr>
        <w:t>concerned</w:t>
      </w:r>
      <w:r w:rsidR="00641B86">
        <w:t xml:space="preserve"> </w:t>
      </w:r>
      <w:r w:rsidR="00347093">
        <w:t>(</w:t>
      </w:r>
      <w:r w:rsidR="00641B86">
        <w:t xml:space="preserve">i.a. </w:t>
      </w:r>
      <w:r w:rsidR="00347093" w:rsidRPr="00E453C1">
        <w:t xml:space="preserve">those </w:t>
      </w:r>
      <w:r w:rsidR="00E453C1" w:rsidRPr="00AA371A">
        <w:t xml:space="preserve">dealing </w:t>
      </w:r>
      <w:r w:rsidR="00641B86" w:rsidRPr="00E453C1">
        <w:t>with health a</w:t>
      </w:r>
      <w:r w:rsidR="00641B86">
        <w:t xml:space="preserve">nd social security, education, gender issues, </w:t>
      </w:r>
      <w:r w:rsidR="000729BA">
        <w:t xml:space="preserve">development </w:t>
      </w:r>
      <w:r w:rsidR="00417F15">
        <w:t>etc.</w:t>
      </w:r>
      <w:r w:rsidR="00347093">
        <w:t>)</w:t>
      </w:r>
      <w:r w:rsidR="00641B86">
        <w:t xml:space="preserve">. </w:t>
      </w:r>
      <w:r w:rsidR="008435FB">
        <w:t xml:space="preserve">In its country evaluation reports, </w:t>
      </w:r>
      <w:r w:rsidR="00641B86">
        <w:t>GRECO has often recommended to countries engaging in anti-corruption policies to analyse the</w:t>
      </w:r>
      <w:r w:rsidR="000729BA">
        <w:t xml:space="preserve"> phenomenon of domestic corruption</w:t>
      </w:r>
      <w:r w:rsidR="00641B86">
        <w:t xml:space="preserve">, to elaborate strategies </w:t>
      </w:r>
      <w:r w:rsidR="000729BA">
        <w:t xml:space="preserve">for reform </w:t>
      </w:r>
      <w:r w:rsidR="00641B86">
        <w:t>with a multifaceted</w:t>
      </w:r>
      <w:r w:rsidR="000729BA">
        <w:t>/multidisciplinary</w:t>
      </w:r>
      <w:r w:rsidR="00641B86">
        <w:t xml:space="preserve"> approach, to follow-up on the implementation of </w:t>
      </w:r>
      <w:r w:rsidR="000729BA">
        <w:t xml:space="preserve">such </w:t>
      </w:r>
      <w:r w:rsidR="00641B86">
        <w:t>reforms</w:t>
      </w:r>
      <w:r w:rsidR="008435FB">
        <w:t xml:space="preserve"> and </w:t>
      </w:r>
      <w:r w:rsidR="00641B86">
        <w:t>to ensure the effectiveness of new measures (training, awareness-raising etc.).</w:t>
      </w:r>
    </w:p>
    <w:p w:rsidR="007428D7" w:rsidRDefault="00983C45" w:rsidP="002D7D3B">
      <w:pPr>
        <w:jc w:val="both"/>
      </w:pPr>
      <w:r w:rsidRPr="00347093">
        <w:rPr>
          <w:b/>
        </w:rPr>
        <w:t>I</w:t>
      </w:r>
      <w:r w:rsidR="007428D7" w:rsidRPr="00347093">
        <w:rPr>
          <w:b/>
        </w:rPr>
        <w:t xml:space="preserve">nternational Human Rights bodies could support the </w:t>
      </w:r>
      <w:r w:rsidR="00FA7D5A" w:rsidRPr="00347093">
        <w:rPr>
          <w:b/>
        </w:rPr>
        <w:t>full adherence of member States to anti-corruption standards</w:t>
      </w:r>
      <w:r w:rsidR="00FA7D5A">
        <w:t xml:space="preserve"> by a) encouraging </w:t>
      </w:r>
      <w:r w:rsidR="007428D7">
        <w:t xml:space="preserve">rapid accession of all </w:t>
      </w:r>
      <w:r w:rsidR="00417F15">
        <w:t>States</w:t>
      </w:r>
      <w:r w:rsidR="007428D7">
        <w:t xml:space="preserve"> to the relevant anti-corruption instruments</w:t>
      </w:r>
      <w:r>
        <w:t>:</w:t>
      </w:r>
      <w:r w:rsidR="00FA7D5A">
        <w:t xml:space="preserve"> </w:t>
      </w:r>
      <w:r>
        <w:t xml:space="preserve">for instance, </w:t>
      </w:r>
      <w:r w:rsidR="00FA7D5A">
        <w:t xml:space="preserve">some countries have still not ratified the </w:t>
      </w:r>
      <w:r w:rsidR="00417F15">
        <w:t>Council of Europe’s</w:t>
      </w:r>
      <w:r>
        <w:t xml:space="preserve"> </w:t>
      </w:r>
      <w:r w:rsidR="00FA7D5A">
        <w:t>Civil Law Convention on Corruption</w:t>
      </w:r>
      <w:r w:rsidR="009541A0">
        <w:t xml:space="preserve"> (ETS No. 174)</w:t>
      </w:r>
      <w:r w:rsidR="00FA7D5A">
        <w:t>;</w:t>
      </w:r>
      <w:r w:rsidR="007428D7">
        <w:t xml:space="preserve"> </w:t>
      </w:r>
      <w:r w:rsidR="00FA7D5A">
        <w:t xml:space="preserve">b) supporting and contributing to </w:t>
      </w:r>
      <w:r w:rsidR="007428D7">
        <w:t xml:space="preserve">the </w:t>
      </w:r>
      <w:r w:rsidR="00FA7D5A">
        <w:t xml:space="preserve">effective </w:t>
      </w:r>
      <w:r w:rsidR="007428D7">
        <w:t xml:space="preserve">implementation of those standards </w:t>
      </w:r>
      <w:r w:rsidR="00221E1A">
        <w:t>at domestic level</w:t>
      </w:r>
      <w:r>
        <w:t xml:space="preserve"> (including support to action recommended in international anti-corruption evaluations)</w:t>
      </w:r>
      <w:r w:rsidR="009F3D60">
        <w:t>.</w:t>
      </w:r>
    </w:p>
    <w:p w:rsidR="009F3D60" w:rsidRDefault="00804D2D" w:rsidP="002D7D3B">
      <w:pPr>
        <w:jc w:val="both"/>
      </w:pPr>
      <w:r>
        <w:t>Finally, i</w:t>
      </w:r>
      <w:r w:rsidR="009F3D60">
        <w:t xml:space="preserve">nternational Human Rights bodies and their partners such as human rights and </w:t>
      </w:r>
      <w:r w:rsidR="009541A0">
        <w:t xml:space="preserve">civil society </w:t>
      </w:r>
      <w:r w:rsidR="009F3D60">
        <w:t xml:space="preserve">organisations could </w:t>
      </w:r>
      <w:r w:rsidR="009F3D60" w:rsidRPr="000729BA">
        <w:rPr>
          <w:b/>
        </w:rPr>
        <w:t>bring more systematically to the attention of anti-corruption monitoring bodies like GRECO, corrupt practices</w:t>
      </w:r>
      <w:r w:rsidR="009F3D60">
        <w:t xml:space="preserve"> that they become aware of in the course of their activities.</w:t>
      </w:r>
      <w:r w:rsidR="00BE4537">
        <w:t xml:space="preserve"> </w:t>
      </w:r>
    </w:p>
    <w:p w:rsidR="008953B6" w:rsidRPr="000729BA" w:rsidRDefault="00C5204E" w:rsidP="000729BA">
      <w:pPr>
        <w:jc w:val="both"/>
        <w:rPr>
          <w:b/>
          <w:u w:val="single"/>
        </w:rPr>
      </w:pPr>
      <w:r w:rsidRPr="000729BA">
        <w:rPr>
          <w:b/>
          <w:u w:val="single"/>
        </w:rPr>
        <w:t xml:space="preserve">Question 5: </w:t>
      </w:r>
      <w:r w:rsidR="008953B6" w:rsidRPr="000729BA">
        <w:rPr>
          <w:b/>
          <w:u w:val="single"/>
        </w:rPr>
        <w:t>Are there any other observations</w:t>
      </w:r>
      <w:r w:rsidR="0023378D" w:rsidRPr="000729BA">
        <w:rPr>
          <w:b/>
          <w:u w:val="single"/>
        </w:rPr>
        <w:t xml:space="preserve"> or suggestions</w:t>
      </w:r>
      <w:r w:rsidR="008953B6" w:rsidRPr="000729BA">
        <w:rPr>
          <w:b/>
          <w:u w:val="single"/>
        </w:rPr>
        <w:t xml:space="preserve"> you wish to </w:t>
      </w:r>
      <w:r w:rsidR="008A1F18" w:rsidRPr="000729BA">
        <w:rPr>
          <w:b/>
          <w:u w:val="single"/>
        </w:rPr>
        <w:t>provide</w:t>
      </w:r>
      <w:r w:rsidR="008953B6" w:rsidRPr="000729BA">
        <w:rPr>
          <w:b/>
          <w:u w:val="single"/>
        </w:rPr>
        <w:t xml:space="preserve"> regarding the</w:t>
      </w:r>
      <w:r w:rsidR="00116326" w:rsidRPr="000729BA">
        <w:rPr>
          <w:b/>
          <w:u w:val="single"/>
        </w:rPr>
        <w:t xml:space="preserve"> topic</w:t>
      </w:r>
      <w:r w:rsidR="008953B6" w:rsidRPr="000729BA">
        <w:rPr>
          <w:b/>
          <w:u w:val="single"/>
        </w:rPr>
        <w:t>?</w:t>
      </w:r>
    </w:p>
    <w:p w:rsidR="00A212DF" w:rsidRDefault="00600D80" w:rsidP="000729BA">
      <w:pPr>
        <w:jc w:val="both"/>
      </w:pPr>
      <w:r w:rsidRPr="00600D80">
        <w:rPr>
          <w:u w:val="single"/>
        </w:rPr>
        <w:t>Answer</w:t>
      </w:r>
      <w:r w:rsidRPr="003C681C">
        <w:t>:</w:t>
      </w:r>
      <w:r>
        <w:t xml:space="preserve"> </w:t>
      </w:r>
      <w:r w:rsidR="00A212DF">
        <w:t xml:space="preserve">Until the 1990s, corruption-related expenditure (e.g. bribes and kickbacks paid to officials by business entities) </w:t>
      </w:r>
      <w:r w:rsidR="009277D7">
        <w:t xml:space="preserve">was </w:t>
      </w:r>
      <w:r w:rsidR="009105C4">
        <w:t>tax deductible in a</w:t>
      </w:r>
      <w:r w:rsidR="00A212DF">
        <w:t xml:space="preserve"> majority of countries, i.e. </w:t>
      </w:r>
      <w:r w:rsidR="007F14D7">
        <w:t xml:space="preserve">indirectly </w:t>
      </w:r>
      <w:r w:rsidR="00A212DF">
        <w:t>legitimised</w:t>
      </w:r>
      <w:r w:rsidR="007F14D7">
        <w:t xml:space="preserve"> by the State</w:t>
      </w:r>
      <w:r w:rsidR="00A212DF">
        <w:t xml:space="preserve">. </w:t>
      </w:r>
      <w:r w:rsidR="005166EB">
        <w:t xml:space="preserve">It is clear that </w:t>
      </w:r>
      <w:r w:rsidR="00A212DF">
        <w:t xml:space="preserve">reversing </w:t>
      </w:r>
      <w:r w:rsidR="007F14D7">
        <w:t xml:space="preserve">such </w:t>
      </w:r>
      <w:r w:rsidR="00A212DF">
        <w:t xml:space="preserve">practices and rooting out corruption from human societies </w:t>
      </w:r>
      <w:r w:rsidR="007F14D7">
        <w:t>cannot be a short term objective or action</w:t>
      </w:r>
      <w:r w:rsidR="00A212DF">
        <w:t xml:space="preserve">. </w:t>
      </w:r>
      <w:r w:rsidR="00BB4703">
        <w:t>The more actors are involved, the greater the chances of suc</w:t>
      </w:r>
      <w:r w:rsidR="00B119EA">
        <w:t xml:space="preserve">cess: governments, parliaments, </w:t>
      </w:r>
      <w:r w:rsidR="006F31F1">
        <w:t>sectorial</w:t>
      </w:r>
      <w:r w:rsidR="00B119EA">
        <w:t xml:space="preserve"> administrations, </w:t>
      </w:r>
      <w:r w:rsidR="00BB4703">
        <w:t xml:space="preserve">local and regional authorities, civil society organisations, unions, media, the business community and last but not least, the international community both regionally and globally. Experience shows that </w:t>
      </w:r>
      <w:r w:rsidR="00BB4703" w:rsidRPr="000729BA">
        <w:rPr>
          <w:b/>
        </w:rPr>
        <w:t>concerted efforts towards similar clear objectives are needed to trigger change</w:t>
      </w:r>
      <w:r w:rsidR="00BB4703">
        <w:t>; if multipl</w:t>
      </w:r>
      <w:r w:rsidR="00B119EA">
        <w:t xml:space="preserve">e </w:t>
      </w:r>
      <w:r w:rsidR="00BB4703">
        <w:t>actors deliver contradictory or inconsistent diagnoses and recommendations for improvement</w:t>
      </w:r>
      <w:r w:rsidR="00B119EA">
        <w:t xml:space="preserve"> to the countries and </w:t>
      </w:r>
      <w:r w:rsidR="00702499">
        <w:t xml:space="preserve">their </w:t>
      </w:r>
      <w:r w:rsidR="00B119EA">
        <w:t>institutions</w:t>
      </w:r>
      <w:r w:rsidR="00BB4703">
        <w:t>, the impact is inevitably much lower</w:t>
      </w:r>
      <w:r w:rsidR="00B119EA">
        <w:t xml:space="preserve"> and ultimately, it affects the credibility of </w:t>
      </w:r>
      <w:r w:rsidR="00B119EA">
        <w:lastRenderedPageBreak/>
        <w:t>anti-corruption policies</w:t>
      </w:r>
      <w:r w:rsidR="00BB4703">
        <w:t>.</w:t>
      </w:r>
      <w:r w:rsidR="00CC7101">
        <w:t xml:space="preserve"> This is all the more important in respect of sectors or countries strongly affected by corruption.</w:t>
      </w:r>
      <w:r w:rsidR="00CB2DBD">
        <w:t xml:space="preserve"> </w:t>
      </w:r>
    </w:p>
    <w:p w:rsidR="0066136B" w:rsidRDefault="00B119EA" w:rsidP="005166EB">
      <w:pPr>
        <w:jc w:val="both"/>
      </w:pPr>
      <w:r>
        <w:t xml:space="preserve">At the same time, </w:t>
      </w:r>
      <w:r w:rsidR="00CC7101">
        <w:t xml:space="preserve">other factors are to be borne in mind, in particular </w:t>
      </w:r>
      <w:r w:rsidRPr="000729BA">
        <w:rPr>
          <w:b/>
        </w:rPr>
        <w:t>q</w:t>
      </w:r>
      <w:r w:rsidR="00EB4A38" w:rsidRPr="000729BA">
        <w:rPr>
          <w:b/>
        </w:rPr>
        <w:t>uestionnaire</w:t>
      </w:r>
      <w:r w:rsidR="00417F15">
        <w:rPr>
          <w:b/>
        </w:rPr>
        <w:t>/monitoring</w:t>
      </w:r>
      <w:r w:rsidR="00EB4A38" w:rsidRPr="000729BA">
        <w:rPr>
          <w:b/>
        </w:rPr>
        <w:t xml:space="preserve"> fatigue of national institutions dealing with anti-corruption policies</w:t>
      </w:r>
      <w:r w:rsidR="00EB4A38" w:rsidRPr="00C5204E">
        <w:t xml:space="preserve"> </w:t>
      </w:r>
      <w:r>
        <w:t xml:space="preserve">has become a </w:t>
      </w:r>
      <w:r w:rsidR="00EB4A38" w:rsidRPr="00C5204E">
        <w:t>real</w:t>
      </w:r>
      <w:r>
        <w:t>ity in some parts of the world</w:t>
      </w:r>
      <w:r w:rsidR="00CC7101">
        <w:rPr>
          <w:rStyle w:val="FootnoteReference"/>
        </w:rPr>
        <w:footnoteReference w:id="4"/>
      </w:r>
      <w:r w:rsidR="00CC7101">
        <w:t xml:space="preserve">, and shrinking resources </w:t>
      </w:r>
      <w:r w:rsidR="00702499">
        <w:t>-</w:t>
      </w:r>
      <w:r w:rsidR="00CC7101">
        <w:t xml:space="preserve">including for international organisations (which calls for an unprecedented rationalisation of action and expenditure). </w:t>
      </w:r>
    </w:p>
    <w:p w:rsidR="00AF3DA0" w:rsidRDefault="009940DF" w:rsidP="005166EB">
      <w:pPr>
        <w:jc w:val="both"/>
      </w:pPr>
      <w:r>
        <w:t>I</w:t>
      </w:r>
      <w:r w:rsidR="00AF3DA0">
        <w:t xml:space="preserve">nternational organisations such as the UNODC, Council of Europe, </w:t>
      </w:r>
      <w:proofErr w:type="gramStart"/>
      <w:r w:rsidR="00AF3DA0">
        <w:t>OECD</w:t>
      </w:r>
      <w:proofErr w:type="gramEnd"/>
      <w:r w:rsidR="00AF3DA0">
        <w:t xml:space="preserve">, World Bank etc. have already </w:t>
      </w:r>
      <w:r w:rsidR="009105C4">
        <w:t>issue</w:t>
      </w:r>
      <w:r w:rsidR="00AF3DA0">
        <w:t xml:space="preserve">d a </w:t>
      </w:r>
      <w:r w:rsidR="009105C4">
        <w:t xml:space="preserve">large </w:t>
      </w:r>
      <w:r w:rsidR="00AF3DA0">
        <w:t xml:space="preserve">number of country </w:t>
      </w:r>
      <w:r w:rsidR="00FA7D5A">
        <w:t xml:space="preserve">evaluation </w:t>
      </w:r>
      <w:r w:rsidR="00AF3DA0">
        <w:t xml:space="preserve">reports. </w:t>
      </w:r>
      <w:r w:rsidR="00CC02E4">
        <w:t xml:space="preserve">There are also more and more </w:t>
      </w:r>
      <w:r w:rsidR="00702499">
        <w:t>surveys based on</w:t>
      </w:r>
      <w:r w:rsidR="00CC02E4">
        <w:t xml:space="preserve"> increasingly </w:t>
      </w:r>
      <w:r w:rsidR="00E501D7">
        <w:t xml:space="preserve">accurate research, </w:t>
      </w:r>
      <w:r w:rsidR="00CC02E4">
        <w:t>including on personal experience</w:t>
      </w:r>
      <w:r w:rsidR="00E501D7">
        <w:t>s</w:t>
      </w:r>
      <w:r w:rsidR="00CC02E4">
        <w:t xml:space="preserve"> with bribery in certain sectors. </w:t>
      </w:r>
      <w:r w:rsidR="00417F15">
        <w:t xml:space="preserve">The result is a </w:t>
      </w:r>
      <w:r w:rsidR="00417F15" w:rsidRPr="00417F15">
        <w:rPr>
          <w:b/>
        </w:rPr>
        <w:t>wealth</w:t>
      </w:r>
      <w:r w:rsidR="00417F15">
        <w:t xml:space="preserve"> </w:t>
      </w:r>
      <w:r w:rsidR="00417F15" w:rsidRPr="00417F15">
        <w:rPr>
          <w:b/>
        </w:rPr>
        <w:t>of</w:t>
      </w:r>
      <w:r w:rsidR="00CC02E4" w:rsidRPr="000729BA">
        <w:rPr>
          <w:b/>
        </w:rPr>
        <w:t xml:space="preserve"> reference material </w:t>
      </w:r>
      <w:r w:rsidR="00AF3DA0" w:rsidRPr="000729BA">
        <w:rPr>
          <w:b/>
        </w:rPr>
        <w:t>on which human rights bodies could build upon</w:t>
      </w:r>
      <w:r w:rsidR="00CC02E4">
        <w:t xml:space="preserve"> and to which they could connect their own concerns. This would add support to reforms already initiated or where </w:t>
      </w:r>
      <w:r w:rsidR="00702499">
        <w:t xml:space="preserve">the </w:t>
      </w:r>
      <w:r>
        <w:t>response</w:t>
      </w:r>
      <w:r w:rsidR="00702499">
        <w:t xml:space="preserve"> of countries</w:t>
      </w:r>
      <w:r>
        <w:t xml:space="preserve"> remains insufficient and it would help </w:t>
      </w:r>
      <w:r w:rsidR="00C43BB1">
        <w:t>to render</w:t>
      </w:r>
      <w:r w:rsidR="00CC02E4">
        <w:t xml:space="preserve"> </w:t>
      </w:r>
      <w:r w:rsidR="00FA7D5A">
        <w:t xml:space="preserve">such </w:t>
      </w:r>
      <w:r>
        <w:t>reforms</w:t>
      </w:r>
      <w:r w:rsidR="00C43BB1">
        <w:t xml:space="preserve"> more efficient</w:t>
      </w:r>
      <w:r>
        <w:t>.</w:t>
      </w:r>
      <w:r w:rsidR="008176DB">
        <w:t xml:space="preserve"> </w:t>
      </w:r>
    </w:p>
    <w:p w:rsidR="007A36EE" w:rsidRDefault="007A36EE" w:rsidP="009940DF">
      <w:pPr>
        <w:jc w:val="both"/>
      </w:pPr>
      <w:r w:rsidRPr="007A36EE">
        <w:rPr>
          <w:b/>
        </w:rPr>
        <w:t>Human rights</w:t>
      </w:r>
      <w:r w:rsidR="00F63A03">
        <w:rPr>
          <w:b/>
        </w:rPr>
        <w:t xml:space="preserve">-oriented </w:t>
      </w:r>
      <w:r w:rsidRPr="007A36EE">
        <w:rPr>
          <w:b/>
        </w:rPr>
        <w:t>organisations are also exposed to risks of corruption</w:t>
      </w:r>
      <w:r w:rsidR="00251313">
        <w:rPr>
          <w:b/>
        </w:rPr>
        <w:t xml:space="preserve"> and misuse</w:t>
      </w:r>
      <w:r>
        <w:t xml:space="preserve">. </w:t>
      </w:r>
      <w:r w:rsidR="00F50146">
        <w:t>There have been n</w:t>
      </w:r>
      <w:r w:rsidR="00422E01">
        <w:t xml:space="preserve">umerous </w:t>
      </w:r>
      <w:r w:rsidR="00F50146">
        <w:t xml:space="preserve">cases </w:t>
      </w:r>
      <w:r>
        <w:t>where managers of charities</w:t>
      </w:r>
      <w:r w:rsidR="00422E01">
        <w:t>, non-profit making</w:t>
      </w:r>
      <w:r w:rsidR="00DF3E05">
        <w:t xml:space="preserve"> organisations, religious</w:t>
      </w:r>
      <w:r w:rsidR="00422E01">
        <w:t xml:space="preserve"> and other </w:t>
      </w:r>
      <w:r w:rsidR="00DF3E05">
        <w:t xml:space="preserve">institutions dealing with aid were </w:t>
      </w:r>
      <w:r>
        <w:t xml:space="preserve">involved in </w:t>
      </w:r>
      <w:r w:rsidR="00FF597A">
        <w:t xml:space="preserve">bribery schemes or </w:t>
      </w:r>
      <w:r>
        <w:t xml:space="preserve">embezzlement </w:t>
      </w:r>
      <w:r w:rsidR="007748E6">
        <w:t>of assets</w:t>
      </w:r>
      <w:r>
        <w:t>.</w:t>
      </w:r>
      <w:r w:rsidR="007748E6">
        <w:t xml:space="preserve"> </w:t>
      </w:r>
      <w:r w:rsidR="00F50146">
        <w:t>Furthermore, n</w:t>
      </w:r>
      <w:r w:rsidR="007748E6">
        <w:t>on-profit organisations</w:t>
      </w:r>
      <w:r w:rsidR="001F30B4">
        <w:t xml:space="preserve"> (NPOs)</w:t>
      </w:r>
      <w:r w:rsidR="007748E6">
        <w:t xml:space="preserve"> </w:t>
      </w:r>
      <w:r w:rsidR="00F50146">
        <w:t xml:space="preserve">can </w:t>
      </w:r>
      <w:r w:rsidR="007748E6">
        <w:t xml:space="preserve">be </w:t>
      </w:r>
      <w:r w:rsidR="008176DB">
        <w:t>(</w:t>
      </w:r>
      <w:proofErr w:type="spellStart"/>
      <w:r w:rsidR="007748E6">
        <w:t>mis</w:t>
      </w:r>
      <w:proofErr w:type="spellEnd"/>
      <w:r w:rsidR="008176DB">
        <w:t>)</w:t>
      </w:r>
      <w:r w:rsidR="007748E6">
        <w:t>used for purposes other than those stated officially</w:t>
      </w:r>
      <w:r w:rsidR="00251313">
        <w:rPr>
          <w:rStyle w:val="FootnoteReference"/>
        </w:rPr>
        <w:footnoteReference w:id="5"/>
      </w:r>
      <w:r w:rsidR="007748E6">
        <w:t>.</w:t>
      </w:r>
      <w:r w:rsidR="001F30B4">
        <w:t xml:space="preserve"> It should also be mentioned that in practice, </w:t>
      </w:r>
      <w:r w:rsidR="00D750C3">
        <w:t xml:space="preserve">domestic laws </w:t>
      </w:r>
      <w:r w:rsidR="001F30B4">
        <w:t xml:space="preserve">do not necessarily allow to </w:t>
      </w:r>
      <w:r w:rsidR="00DF3E05">
        <w:t xml:space="preserve">deal with </w:t>
      </w:r>
      <w:r w:rsidR="001F30B4">
        <w:t xml:space="preserve">criminal activities involving non-profit organisations </w:t>
      </w:r>
      <w:r w:rsidR="00D750C3">
        <w:t xml:space="preserve">the way </w:t>
      </w:r>
      <w:r w:rsidR="00FF597A">
        <w:t xml:space="preserve">they </w:t>
      </w:r>
      <w:r w:rsidR="00D750C3">
        <w:t xml:space="preserve">do </w:t>
      </w:r>
      <w:r w:rsidR="001F30B4">
        <w:t xml:space="preserve">for </w:t>
      </w:r>
      <w:r w:rsidR="00D750C3">
        <w:t>cases involving public officials or business entities</w:t>
      </w:r>
      <w:r w:rsidR="00F50146">
        <w:t>.</w:t>
      </w:r>
      <w:r w:rsidR="0021578B">
        <w:t xml:space="preserve"> </w:t>
      </w:r>
      <w:r w:rsidR="00F50146">
        <w:t xml:space="preserve">In particular, </w:t>
      </w:r>
      <w:r w:rsidR="0021578B">
        <w:t xml:space="preserve">one needs to bear in mind that </w:t>
      </w:r>
      <w:r w:rsidR="00D750C3">
        <w:t>international anti-corruption instruments</w:t>
      </w:r>
      <w:r w:rsidR="0021578B">
        <w:t xml:space="preserve"> require the introduction of liability mechanisms for public and sometimes for private (i.e. business) sector corruption, but not for </w:t>
      </w:r>
      <w:r w:rsidR="00DF3E05">
        <w:t xml:space="preserve">corruption involving </w:t>
      </w:r>
      <w:r w:rsidR="0021578B">
        <w:t>the non-profit sector.</w:t>
      </w:r>
      <w:r w:rsidR="007748E6">
        <w:t xml:space="preserve"> </w:t>
      </w:r>
      <w:r w:rsidR="00DF3E05">
        <w:t xml:space="preserve">Against the above background, </w:t>
      </w:r>
      <w:r w:rsidR="00251313">
        <w:t>the various actors involved in human rights activities (</w:t>
      </w:r>
      <w:r w:rsidR="00DF3E05">
        <w:t xml:space="preserve">international organisations, </w:t>
      </w:r>
      <w:r w:rsidR="00251313">
        <w:t>donors,</w:t>
      </w:r>
      <w:r w:rsidR="001F30B4">
        <w:t xml:space="preserve"> NPOs</w:t>
      </w:r>
      <w:r w:rsidR="00372C91">
        <w:t>, beneficiary institutions and countries</w:t>
      </w:r>
      <w:r w:rsidR="001F30B4">
        <w:t>)</w:t>
      </w:r>
      <w:r w:rsidR="00251313">
        <w:t xml:space="preserve"> </w:t>
      </w:r>
      <w:r w:rsidR="008176DB">
        <w:t xml:space="preserve">review as necessary </w:t>
      </w:r>
      <w:r w:rsidR="001F30B4">
        <w:t xml:space="preserve">the existing </w:t>
      </w:r>
      <w:r w:rsidR="00251313">
        <w:t xml:space="preserve">cooperation </w:t>
      </w:r>
      <w:r w:rsidR="001F30B4">
        <w:t>arrangements and their internal policies to limit those reputational, financial, legal and other risks.</w:t>
      </w:r>
    </w:p>
    <w:p w:rsidR="009105C4" w:rsidRDefault="009105C4" w:rsidP="009105C4">
      <w:pPr>
        <w:pStyle w:val="NoSpacing"/>
      </w:pPr>
      <w:r>
        <w:t xml:space="preserve">Contact: </w:t>
      </w:r>
    </w:p>
    <w:p w:rsidR="007F14D7" w:rsidRDefault="009105C4" w:rsidP="009105C4">
      <w:pPr>
        <w:pStyle w:val="NoSpacing"/>
      </w:pPr>
      <w:r>
        <w:t>GRECO Secretariat</w:t>
      </w:r>
    </w:p>
    <w:p w:rsidR="009105C4" w:rsidRDefault="00E15548" w:rsidP="009105C4">
      <w:pPr>
        <w:pStyle w:val="NoSpacing"/>
      </w:pPr>
      <w:r>
        <w:t>Directorate General of Human Rights and Rule of Law</w:t>
      </w:r>
    </w:p>
    <w:p w:rsidR="00E15548" w:rsidRDefault="00E15548" w:rsidP="009105C4">
      <w:pPr>
        <w:pStyle w:val="NoSpacing"/>
      </w:pPr>
      <w:r>
        <w:t>Council of Europe</w:t>
      </w:r>
    </w:p>
    <w:p w:rsidR="00E15548" w:rsidRDefault="00E15548" w:rsidP="009105C4">
      <w:pPr>
        <w:pStyle w:val="NoSpacing"/>
      </w:pPr>
      <w:r>
        <w:t>F-67075 Strasbourg, France</w:t>
      </w:r>
    </w:p>
    <w:p w:rsidR="00E15548" w:rsidRPr="00E15548" w:rsidRDefault="00E15548" w:rsidP="00E15548">
      <w:pPr>
        <w:spacing w:line="240" w:lineRule="auto"/>
        <w:rPr>
          <w:color w:val="0000FF"/>
          <w:sz w:val="18"/>
          <w:szCs w:val="18"/>
          <w:u w:val="single"/>
          <w:lang w:val="en-US"/>
        </w:rPr>
      </w:pPr>
      <w:r w:rsidRPr="00864E67">
        <w:rPr>
          <w:sz w:val="18"/>
          <w:szCs w:val="18"/>
        </w:rPr>
        <w:sym w:font="Wingdings" w:char="F02A"/>
      </w:r>
      <w:r>
        <w:rPr>
          <w:sz w:val="18"/>
          <w:szCs w:val="18"/>
        </w:rPr>
        <w:t xml:space="preserve"> </w:t>
      </w:r>
      <w:hyperlink r:id="rId14" w:history="1">
        <w:r w:rsidRPr="00864E67">
          <w:rPr>
            <w:rStyle w:val="Hyperlink"/>
            <w:sz w:val="18"/>
            <w:szCs w:val="18"/>
            <w:lang w:val="en-US"/>
          </w:rPr>
          <w:t>webmaster.greco@coe.int</w:t>
        </w:r>
      </w:hyperlink>
      <w:r>
        <w:rPr>
          <w:rStyle w:val="Hyperlink"/>
          <w:sz w:val="18"/>
          <w:szCs w:val="18"/>
          <w:lang w:val="en-US"/>
        </w:rPr>
        <w:br/>
      </w:r>
      <w:hyperlink r:id="rId15" w:history="1">
        <w:r w:rsidRPr="00864E67">
          <w:rPr>
            <w:rStyle w:val="Hyperlink"/>
            <w:sz w:val="18"/>
            <w:szCs w:val="18"/>
          </w:rPr>
          <w:t>www.coe.int/greco</w:t>
        </w:r>
      </w:hyperlink>
    </w:p>
    <w:p w:rsidR="00E15548" w:rsidRPr="00E15548" w:rsidRDefault="00E15548" w:rsidP="009105C4">
      <w:pPr>
        <w:pStyle w:val="NoSpacing"/>
        <w:rPr>
          <w:lang w:val="en-US"/>
        </w:rPr>
      </w:pPr>
    </w:p>
    <w:p w:rsidR="007F14D7" w:rsidRDefault="007F14D7" w:rsidP="009067F7">
      <w:pPr>
        <w:pStyle w:val="NoSpacing"/>
        <w:jc w:val="center"/>
      </w:pPr>
    </w:p>
    <w:p w:rsidR="007F14D7" w:rsidRDefault="007F14D7" w:rsidP="009067F7">
      <w:pPr>
        <w:pStyle w:val="NoSpacing"/>
        <w:jc w:val="center"/>
      </w:pPr>
    </w:p>
    <w:p w:rsidR="009067F7" w:rsidRDefault="00097498" w:rsidP="009067F7">
      <w:pPr>
        <w:pStyle w:val="NoSpacing"/>
        <w:jc w:val="center"/>
      </w:pPr>
      <w:r>
        <w:t>To be returned by 31</w:t>
      </w:r>
      <w:r w:rsidR="009067F7">
        <w:t xml:space="preserve"> October 2013</w:t>
      </w:r>
    </w:p>
    <w:p w:rsidR="009067F7" w:rsidRPr="002308AF" w:rsidRDefault="009067F7" w:rsidP="009067F7">
      <w:pPr>
        <w:pStyle w:val="NoSpacing"/>
        <w:jc w:val="center"/>
      </w:pPr>
      <w:r>
        <w:t>hrcadvisorycommittee@ohchr.org</w:t>
      </w:r>
    </w:p>
    <w:p w:rsidR="0076416B" w:rsidRDefault="0076416B" w:rsidP="0076416B">
      <w:pPr>
        <w:pStyle w:val="NoSpacing"/>
        <w:jc w:val="center"/>
      </w:pPr>
      <w:r>
        <w:t>or</w:t>
      </w:r>
    </w:p>
    <w:p w:rsidR="0076416B" w:rsidRDefault="0076416B" w:rsidP="0076416B">
      <w:pPr>
        <w:pStyle w:val="NoSpacing"/>
        <w:jc w:val="center"/>
      </w:pPr>
      <w:r>
        <w:t>Council Advisory Committee,</w:t>
      </w:r>
    </w:p>
    <w:p w:rsidR="0076416B" w:rsidRPr="0076416B" w:rsidRDefault="0076416B" w:rsidP="0076416B">
      <w:pPr>
        <w:pStyle w:val="NoSpacing"/>
        <w:jc w:val="center"/>
      </w:pPr>
      <w:r w:rsidRPr="0076416B">
        <w:t>c/o Ms. Dina Rossbacher</w:t>
      </w:r>
    </w:p>
    <w:p w:rsidR="0076416B" w:rsidRDefault="0076416B" w:rsidP="0076416B">
      <w:pPr>
        <w:pStyle w:val="NoSpacing"/>
        <w:jc w:val="center"/>
      </w:pPr>
      <w:r>
        <w:t>Office of the United Nations High Commissioner for Human Rights,</w:t>
      </w:r>
    </w:p>
    <w:p w:rsidR="0076416B" w:rsidRDefault="0076416B" w:rsidP="0076416B">
      <w:pPr>
        <w:pStyle w:val="NoSpacing"/>
        <w:jc w:val="center"/>
      </w:pPr>
      <w:r>
        <w:t>Palais Wilson, Room 4-065, United Nations Office at Geneva,</w:t>
      </w:r>
    </w:p>
    <w:p w:rsidR="00F75E97" w:rsidRDefault="0076416B" w:rsidP="0076416B">
      <w:pPr>
        <w:jc w:val="center"/>
      </w:pPr>
      <w:r>
        <w:t>CH-1211, Geneva 10, Switzerland</w:t>
      </w:r>
    </w:p>
    <w:sectPr w:rsidR="00F75E97" w:rsidSect="00600D80">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A64" w:rsidRDefault="00330A64" w:rsidP="00C91EEF">
      <w:pPr>
        <w:spacing w:after="0" w:line="240" w:lineRule="auto"/>
      </w:pPr>
      <w:r>
        <w:separator/>
      </w:r>
    </w:p>
  </w:endnote>
  <w:endnote w:type="continuationSeparator" w:id="0">
    <w:p w:rsidR="00330A64" w:rsidRDefault="00330A64" w:rsidP="00C91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A64" w:rsidRDefault="00330A64" w:rsidP="00C91EEF">
      <w:pPr>
        <w:spacing w:after="0" w:line="240" w:lineRule="auto"/>
      </w:pPr>
      <w:r>
        <w:separator/>
      </w:r>
    </w:p>
  </w:footnote>
  <w:footnote w:type="continuationSeparator" w:id="0">
    <w:p w:rsidR="00330A64" w:rsidRDefault="00330A64" w:rsidP="00C91EEF">
      <w:pPr>
        <w:spacing w:after="0" w:line="240" w:lineRule="auto"/>
      </w:pPr>
      <w:r>
        <w:continuationSeparator/>
      </w:r>
    </w:p>
  </w:footnote>
  <w:footnote w:id="1">
    <w:p w:rsidR="00BF2522" w:rsidRPr="00BF2522" w:rsidRDefault="00BF2522" w:rsidP="00BF2522">
      <w:pPr>
        <w:pStyle w:val="FootnoteText"/>
        <w:jc w:val="both"/>
      </w:pPr>
      <w:r>
        <w:rPr>
          <w:rStyle w:val="FootnoteReference"/>
        </w:rPr>
        <w:footnoteRef/>
      </w:r>
      <w:r>
        <w:t xml:space="preserve"> S</w:t>
      </w:r>
      <w:r w:rsidRPr="00C5204E">
        <w:t>uch as the Universal Declaration of Human Rights</w:t>
      </w:r>
      <w:r>
        <w:t xml:space="preserve">, the UN Human rights Covenants of 1966 on civil and political rights, and on economic, social and cultural rights, </w:t>
      </w:r>
      <w:r w:rsidRPr="00C5204E">
        <w:t xml:space="preserve">or </w:t>
      </w:r>
      <w:r>
        <w:t xml:space="preserve">regionally by </w:t>
      </w:r>
      <w:r w:rsidRPr="00C5204E">
        <w:t>the European Convention on Human Rights and Fundamental Freedoms</w:t>
      </w:r>
      <w:r>
        <w:t>, and the European Social Charter, to name just a few</w:t>
      </w:r>
      <w:r w:rsidR="009105C4">
        <w:t>.</w:t>
      </w:r>
    </w:p>
  </w:footnote>
  <w:footnote w:id="2">
    <w:p w:rsidR="003655D3" w:rsidRPr="003655D3" w:rsidRDefault="003655D3" w:rsidP="005E0839">
      <w:pPr>
        <w:pStyle w:val="FootnoteText"/>
        <w:jc w:val="both"/>
      </w:pPr>
      <w:r>
        <w:rPr>
          <w:rStyle w:val="FootnoteReference"/>
        </w:rPr>
        <w:footnoteRef/>
      </w:r>
      <w:r>
        <w:t xml:space="preserve"> </w:t>
      </w:r>
      <w:hyperlink r:id="rId1" w:anchor="{&quot;itemid&quot;:[&quot;002-446&quot;]}" w:history="1">
        <w:r w:rsidRPr="007774B0">
          <w:rPr>
            <w:rStyle w:val="Hyperlink"/>
          </w:rPr>
          <w:t>http://hudoc.echr.coe.int/sites/eng/pages/search.aspx#{"itemid":["002-446"]}</w:t>
        </w:r>
      </w:hyperlink>
      <w:r w:rsidR="005E0839">
        <w:t xml:space="preserve">: the applicant was </w:t>
      </w:r>
      <w:r>
        <w:t>a nurse</w:t>
      </w:r>
      <w:r w:rsidR="005E0839">
        <w:t xml:space="preserve"> employed in a geriatric institution majority-owned</w:t>
      </w:r>
      <w:r>
        <w:t xml:space="preserve"> </w:t>
      </w:r>
      <w:r w:rsidR="005E0839">
        <w:t xml:space="preserve">by a public entity; she had been </w:t>
      </w:r>
      <w:r>
        <w:t>dismissed after filing a criminal complaint against her employer for not delivering the geriatric services expected</w:t>
      </w:r>
      <w:r w:rsidR="005E0839">
        <w:t>; the ECHR considered that t</w:t>
      </w:r>
      <w:r w:rsidR="005E0839">
        <w:rPr>
          <w:rStyle w:val="sfbbfee58"/>
        </w:rPr>
        <w:t>he applicant’s dismissal without notice had therefore been disproportionate and the domestic courts had failed to strike a fair balance between the need to protect the employer’s reputation and the need to protect the applicant’s right to freedom of expression.</w:t>
      </w:r>
    </w:p>
  </w:footnote>
  <w:footnote w:id="3">
    <w:p w:rsidR="00971AA7" w:rsidRPr="001A6B2E" w:rsidRDefault="00971AA7" w:rsidP="00475996">
      <w:pPr>
        <w:pStyle w:val="FootnoteText"/>
        <w:jc w:val="both"/>
      </w:pPr>
      <w:r>
        <w:rPr>
          <w:rStyle w:val="FootnoteReference"/>
        </w:rPr>
        <w:footnoteRef/>
      </w:r>
      <w:hyperlink r:id="rId2" w:history="1">
        <w:r w:rsidR="00475996" w:rsidRPr="0056331D">
          <w:rPr>
            <w:rStyle w:val="Hyperlink"/>
          </w:rPr>
          <w:t>http://www.iiep.unesco.org/en/information-services/publications/search-iiep-publications/ethics-and-corruption.html</w:t>
        </w:r>
      </w:hyperlink>
      <w:r w:rsidR="00475996">
        <w:t xml:space="preserve"> </w:t>
      </w:r>
    </w:p>
  </w:footnote>
  <w:footnote w:id="4">
    <w:p w:rsidR="00107C04" w:rsidRPr="00CC7101" w:rsidRDefault="00107C04" w:rsidP="00CC7101">
      <w:pPr>
        <w:pStyle w:val="FootnoteText"/>
        <w:jc w:val="both"/>
      </w:pPr>
      <w:r>
        <w:rPr>
          <w:rStyle w:val="FootnoteReference"/>
        </w:rPr>
        <w:footnoteRef/>
      </w:r>
      <w:r>
        <w:t xml:space="preserve"> This is at least the case in </w:t>
      </w:r>
      <w:r w:rsidRPr="00C5204E">
        <w:t xml:space="preserve">Europe </w:t>
      </w:r>
      <w:r>
        <w:t xml:space="preserve">where </w:t>
      </w:r>
      <w:r w:rsidRPr="00C5204E">
        <w:t xml:space="preserve">countries </w:t>
      </w:r>
      <w:r>
        <w:t xml:space="preserve">are regularly </w:t>
      </w:r>
      <w:r w:rsidR="00C43BB1">
        <w:t>subject to different types of monitoring</w:t>
      </w:r>
      <w:r w:rsidRPr="00C5204E">
        <w:t xml:space="preserve"> by </w:t>
      </w:r>
      <w:r>
        <w:t xml:space="preserve">several of the following actors: </w:t>
      </w:r>
      <w:r w:rsidRPr="00C5204E">
        <w:t xml:space="preserve">Council of Europe, </w:t>
      </w:r>
      <w:r>
        <w:t xml:space="preserve">European union, </w:t>
      </w:r>
      <w:r w:rsidRPr="00C5204E">
        <w:t>IMF</w:t>
      </w:r>
      <w:r>
        <w:t xml:space="preserve">, </w:t>
      </w:r>
      <w:r w:rsidRPr="00C5204E">
        <w:t>OECD, UNODC, World Bank</w:t>
      </w:r>
      <w:r>
        <w:t xml:space="preserve"> not to mention </w:t>
      </w:r>
      <w:r w:rsidRPr="00C5204E">
        <w:t>sub-regional mechanisms</w:t>
      </w:r>
      <w:r>
        <w:t xml:space="preserve"> (such as for south-eastern Europe specifically) as well as domestic watchdogs (for instance NGOs like Transparency International).</w:t>
      </w:r>
    </w:p>
  </w:footnote>
  <w:footnote w:id="5">
    <w:p w:rsidR="00251313" w:rsidRPr="00251313" w:rsidRDefault="00251313" w:rsidP="00F50146">
      <w:pPr>
        <w:pStyle w:val="FootnoteText"/>
        <w:jc w:val="both"/>
      </w:pPr>
      <w:r>
        <w:rPr>
          <w:rStyle w:val="FootnoteReference"/>
        </w:rPr>
        <w:footnoteRef/>
      </w:r>
      <w:r>
        <w:t xml:space="preserve"> </w:t>
      </w:r>
      <w:r w:rsidR="00F50146">
        <w:t>As regards risks of terrorist financing</w:t>
      </w:r>
      <w:r w:rsidR="008176DB">
        <w:t xml:space="preserve"> and money laundering</w:t>
      </w:r>
      <w:r w:rsidR="00F50146">
        <w:t xml:space="preserve"> in particular, the Financial Action Task Force (FATF) has issued specific international standards and guidance documents</w:t>
      </w:r>
      <w:r w:rsidR="008176DB">
        <w:t>.</w:t>
      </w:r>
      <w:r w:rsidR="00F50146" w:rsidRPr="00251313">
        <w:t xml:space="preserve"> </w:t>
      </w:r>
      <w:r w:rsidRPr="00251313">
        <w:t xml:space="preserve">See Special Recommendation 8 and </w:t>
      </w:r>
      <w:r>
        <w:t xml:space="preserve">the </w:t>
      </w:r>
      <w:r w:rsidRPr="00251313">
        <w:t xml:space="preserve">accompanying </w:t>
      </w:r>
      <w:r>
        <w:t xml:space="preserve">guidance </w:t>
      </w:r>
      <w:r w:rsidRPr="00251313">
        <w:t>documents such as the best practice paper on this subject</w:t>
      </w:r>
      <w:r>
        <w:t xml:space="preserve"> </w:t>
      </w:r>
      <w:hyperlink r:id="rId3" w:history="1">
        <w:r w:rsidRPr="0056331D">
          <w:rPr>
            <w:rStyle w:val="Hyperlink"/>
          </w:rPr>
          <w:t>http://www.fatf-gafi.org/topics/fatfrecommendations/documents/bpp-npo-2013.html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E701D"/>
    <w:multiLevelType w:val="hybridMultilevel"/>
    <w:tmpl w:val="D2860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C43"/>
    <w:rsid w:val="00004D2E"/>
    <w:rsid w:val="000143D0"/>
    <w:rsid w:val="0002344D"/>
    <w:rsid w:val="00040006"/>
    <w:rsid w:val="000711F0"/>
    <w:rsid w:val="000729BA"/>
    <w:rsid w:val="00093083"/>
    <w:rsid w:val="00097498"/>
    <w:rsid w:val="000B238C"/>
    <w:rsid w:val="000B7CCA"/>
    <w:rsid w:val="000C1D31"/>
    <w:rsid w:val="000C5082"/>
    <w:rsid w:val="000D66E4"/>
    <w:rsid w:val="000F1CB7"/>
    <w:rsid w:val="00106238"/>
    <w:rsid w:val="00107C04"/>
    <w:rsid w:val="00116326"/>
    <w:rsid w:val="00117C65"/>
    <w:rsid w:val="00130C5D"/>
    <w:rsid w:val="001414E2"/>
    <w:rsid w:val="00153B19"/>
    <w:rsid w:val="001540A4"/>
    <w:rsid w:val="001A6B2E"/>
    <w:rsid w:val="001C713E"/>
    <w:rsid w:val="001C799D"/>
    <w:rsid w:val="001D374F"/>
    <w:rsid w:val="001F30B4"/>
    <w:rsid w:val="0021578B"/>
    <w:rsid w:val="00221E1A"/>
    <w:rsid w:val="00232DC2"/>
    <w:rsid w:val="0023378D"/>
    <w:rsid w:val="002509FE"/>
    <w:rsid w:val="00251313"/>
    <w:rsid w:val="00274E2E"/>
    <w:rsid w:val="002A65CD"/>
    <w:rsid w:val="002A7882"/>
    <w:rsid w:val="002C34E3"/>
    <w:rsid w:val="002D7D3B"/>
    <w:rsid w:val="00330A64"/>
    <w:rsid w:val="00347093"/>
    <w:rsid w:val="003655D3"/>
    <w:rsid w:val="00372C91"/>
    <w:rsid w:val="003873E6"/>
    <w:rsid w:val="0039509F"/>
    <w:rsid w:val="003A097C"/>
    <w:rsid w:val="003C0891"/>
    <w:rsid w:val="003C681C"/>
    <w:rsid w:val="003E32A1"/>
    <w:rsid w:val="003F5886"/>
    <w:rsid w:val="00400141"/>
    <w:rsid w:val="00411F7B"/>
    <w:rsid w:val="00415D54"/>
    <w:rsid w:val="004175D3"/>
    <w:rsid w:val="00417F15"/>
    <w:rsid w:val="00422E01"/>
    <w:rsid w:val="004324BF"/>
    <w:rsid w:val="00457654"/>
    <w:rsid w:val="00475996"/>
    <w:rsid w:val="004C31D9"/>
    <w:rsid w:val="004F1FEA"/>
    <w:rsid w:val="00514BCB"/>
    <w:rsid w:val="005166EB"/>
    <w:rsid w:val="0053082D"/>
    <w:rsid w:val="00543072"/>
    <w:rsid w:val="0054350E"/>
    <w:rsid w:val="0057290C"/>
    <w:rsid w:val="00587BBF"/>
    <w:rsid w:val="00591067"/>
    <w:rsid w:val="005C7886"/>
    <w:rsid w:val="005D7104"/>
    <w:rsid w:val="005E0839"/>
    <w:rsid w:val="005E519E"/>
    <w:rsid w:val="005F5A33"/>
    <w:rsid w:val="00600D80"/>
    <w:rsid w:val="0061074E"/>
    <w:rsid w:val="00641B86"/>
    <w:rsid w:val="0064705E"/>
    <w:rsid w:val="0066136B"/>
    <w:rsid w:val="00663EA4"/>
    <w:rsid w:val="00683421"/>
    <w:rsid w:val="00685855"/>
    <w:rsid w:val="00691A84"/>
    <w:rsid w:val="006C62B6"/>
    <w:rsid w:val="006D4552"/>
    <w:rsid w:val="006E3127"/>
    <w:rsid w:val="006F31F1"/>
    <w:rsid w:val="00700D04"/>
    <w:rsid w:val="00702499"/>
    <w:rsid w:val="0070359B"/>
    <w:rsid w:val="0071477A"/>
    <w:rsid w:val="007256EF"/>
    <w:rsid w:val="007428D7"/>
    <w:rsid w:val="007605A5"/>
    <w:rsid w:val="0076416B"/>
    <w:rsid w:val="007748E6"/>
    <w:rsid w:val="00780F35"/>
    <w:rsid w:val="007A36EE"/>
    <w:rsid w:val="007C027B"/>
    <w:rsid w:val="007D366D"/>
    <w:rsid w:val="007D438F"/>
    <w:rsid w:val="007D6159"/>
    <w:rsid w:val="007E0175"/>
    <w:rsid w:val="007F14D7"/>
    <w:rsid w:val="00801E83"/>
    <w:rsid w:val="00804D2D"/>
    <w:rsid w:val="00806059"/>
    <w:rsid w:val="00807592"/>
    <w:rsid w:val="008176DB"/>
    <w:rsid w:val="008435FB"/>
    <w:rsid w:val="00855370"/>
    <w:rsid w:val="00864E67"/>
    <w:rsid w:val="00886CA9"/>
    <w:rsid w:val="008953B6"/>
    <w:rsid w:val="008A1F18"/>
    <w:rsid w:val="008C08A7"/>
    <w:rsid w:val="008E25D5"/>
    <w:rsid w:val="008E2ADC"/>
    <w:rsid w:val="009067F7"/>
    <w:rsid w:val="009105C4"/>
    <w:rsid w:val="009117DA"/>
    <w:rsid w:val="009277D7"/>
    <w:rsid w:val="009302A1"/>
    <w:rsid w:val="0094435D"/>
    <w:rsid w:val="00950CAB"/>
    <w:rsid w:val="009541A0"/>
    <w:rsid w:val="00965418"/>
    <w:rsid w:val="00967A2A"/>
    <w:rsid w:val="00971AA7"/>
    <w:rsid w:val="00976CDD"/>
    <w:rsid w:val="00983C45"/>
    <w:rsid w:val="009940DF"/>
    <w:rsid w:val="009957BE"/>
    <w:rsid w:val="009A140E"/>
    <w:rsid w:val="009A1A79"/>
    <w:rsid w:val="009C6AD5"/>
    <w:rsid w:val="009F3D60"/>
    <w:rsid w:val="009F63EF"/>
    <w:rsid w:val="00A212DF"/>
    <w:rsid w:val="00A33FC3"/>
    <w:rsid w:val="00A46EB2"/>
    <w:rsid w:val="00A64B1B"/>
    <w:rsid w:val="00AA371A"/>
    <w:rsid w:val="00AD1FAB"/>
    <w:rsid w:val="00AF3DA0"/>
    <w:rsid w:val="00B02161"/>
    <w:rsid w:val="00B119EA"/>
    <w:rsid w:val="00B4017E"/>
    <w:rsid w:val="00B506AB"/>
    <w:rsid w:val="00B72A7B"/>
    <w:rsid w:val="00B8676D"/>
    <w:rsid w:val="00BB4703"/>
    <w:rsid w:val="00BC352F"/>
    <w:rsid w:val="00BD0DCA"/>
    <w:rsid w:val="00BE4537"/>
    <w:rsid w:val="00BF2522"/>
    <w:rsid w:val="00C24F91"/>
    <w:rsid w:val="00C437DF"/>
    <w:rsid w:val="00C43BB1"/>
    <w:rsid w:val="00C45AA7"/>
    <w:rsid w:val="00C519DC"/>
    <w:rsid w:val="00C5204E"/>
    <w:rsid w:val="00C71C1C"/>
    <w:rsid w:val="00C8078E"/>
    <w:rsid w:val="00C91EEF"/>
    <w:rsid w:val="00CB2DBD"/>
    <w:rsid w:val="00CB5A00"/>
    <w:rsid w:val="00CC02E4"/>
    <w:rsid w:val="00CC455C"/>
    <w:rsid w:val="00CC7101"/>
    <w:rsid w:val="00CD0CDD"/>
    <w:rsid w:val="00CE044A"/>
    <w:rsid w:val="00CF2C43"/>
    <w:rsid w:val="00D06565"/>
    <w:rsid w:val="00D1581C"/>
    <w:rsid w:val="00D162BC"/>
    <w:rsid w:val="00D21B78"/>
    <w:rsid w:val="00D24CD9"/>
    <w:rsid w:val="00D44951"/>
    <w:rsid w:val="00D568A3"/>
    <w:rsid w:val="00D57620"/>
    <w:rsid w:val="00D62C3D"/>
    <w:rsid w:val="00D750C3"/>
    <w:rsid w:val="00DA21DC"/>
    <w:rsid w:val="00DB25FA"/>
    <w:rsid w:val="00DD42E5"/>
    <w:rsid w:val="00DD562E"/>
    <w:rsid w:val="00DF16DE"/>
    <w:rsid w:val="00DF3E05"/>
    <w:rsid w:val="00E03C91"/>
    <w:rsid w:val="00E15548"/>
    <w:rsid w:val="00E1643B"/>
    <w:rsid w:val="00E2519E"/>
    <w:rsid w:val="00E453C1"/>
    <w:rsid w:val="00E501D7"/>
    <w:rsid w:val="00E5187F"/>
    <w:rsid w:val="00E51EAA"/>
    <w:rsid w:val="00E5286F"/>
    <w:rsid w:val="00E71FAB"/>
    <w:rsid w:val="00E76245"/>
    <w:rsid w:val="00E85C3E"/>
    <w:rsid w:val="00EA6D9E"/>
    <w:rsid w:val="00EB1EA4"/>
    <w:rsid w:val="00EB4A38"/>
    <w:rsid w:val="00ED6F95"/>
    <w:rsid w:val="00ED7FCC"/>
    <w:rsid w:val="00EE242A"/>
    <w:rsid w:val="00F033B3"/>
    <w:rsid w:val="00F12B4C"/>
    <w:rsid w:val="00F3788D"/>
    <w:rsid w:val="00F44E13"/>
    <w:rsid w:val="00F50146"/>
    <w:rsid w:val="00F57473"/>
    <w:rsid w:val="00F63A03"/>
    <w:rsid w:val="00F64171"/>
    <w:rsid w:val="00F64D28"/>
    <w:rsid w:val="00F673F1"/>
    <w:rsid w:val="00F75E97"/>
    <w:rsid w:val="00F976E5"/>
    <w:rsid w:val="00FA58F3"/>
    <w:rsid w:val="00FA7D5A"/>
    <w:rsid w:val="00FB2396"/>
    <w:rsid w:val="00FF1AA4"/>
    <w:rsid w:val="00FF597A"/>
    <w:rsid w:val="00FF5F2F"/>
    <w:rsid w:val="00FF7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54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EEF"/>
    <w:pPr>
      <w:tabs>
        <w:tab w:val="center" w:pos="4513"/>
        <w:tab w:val="right" w:pos="9026"/>
      </w:tabs>
    </w:pPr>
    <w:rPr>
      <w:lang w:val="x-none"/>
    </w:rPr>
  </w:style>
  <w:style w:type="character" w:customStyle="1" w:styleId="HeaderChar">
    <w:name w:val="Header Char"/>
    <w:link w:val="Header"/>
    <w:uiPriority w:val="99"/>
    <w:rsid w:val="00C91EEF"/>
    <w:rPr>
      <w:sz w:val="22"/>
      <w:szCs w:val="22"/>
      <w:lang w:eastAsia="en-US"/>
    </w:rPr>
  </w:style>
  <w:style w:type="paragraph" w:styleId="Footer">
    <w:name w:val="footer"/>
    <w:basedOn w:val="Normal"/>
    <w:link w:val="FooterChar"/>
    <w:uiPriority w:val="99"/>
    <w:unhideWhenUsed/>
    <w:rsid w:val="00C91EEF"/>
    <w:pPr>
      <w:tabs>
        <w:tab w:val="center" w:pos="4513"/>
        <w:tab w:val="right" w:pos="9026"/>
      </w:tabs>
    </w:pPr>
    <w:rPr>
      <w:lang w:val="x-none"/>
    </w:rPr>
  </w:style>
  <w:style w:type="character" w:customStyle="1" w:styleId="FooterChar">
    <w:name w:val="Footer Char"/>
    <w:link w:val="Footer"/>
    <w:uiPriority w:val="99"/>
    <w:rsid w:val="00C91EEF"/>
    <w:rPr>
      <w:sz w:val="22"/>
      <w:szCs w:val="22"/>
      <w:lang w:eastAsia="en-US"/>
    </w:rPr>
  </w:style>
  <w:style w:type="paragraph" w:styleId="NoSpacing">
    <w:name w:val="No Spacing"/>
    <w:uiPriority w:val="1"/>
    <w:qFormat/>
    <w:rsid w:val="009067F7"/>
    <w:rPr>
      <w:sz w:val="22"/>
      <w:szCs w:val="22"/>
      <w:lang w:eastAsia="en-US"/>
    </w:rPr>
  </w:style>
  <w:style w:type="paragraph" w:styleId="BalloonText">
    <w:name w:val="Balloon Text"/>
    <w:basedOn w:val="Normal"/>
    <w:link w:val="BalloonTextChar"/>
    <w:uiPriority w:val="99"/>
    <w:semiHidden/>
    <w:unhideWhenUsed/>
    <w:rsid w:val="003873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873E6"/>
    <w:rPr>
      <w:rFonts w:ascii="Tahoma" w:hAnsi="Tahoma" w:cs="Tahoma"/>
      <w:sz w:val="16"/>
      <w:szCs w:val="16"/>
      <w:lang w:val="en-GB"/>
    </w:rPr>
  </w:style>
  <w:style w:type="paragraph" w:customStyle="1" w:styleId="MediumGrid21">
    <w:name w:val="Medium Grid 21"/>
    <w:uiPriority w:val="1"/>
    <w:qFormat/>
    <w:rsid w:val="003873E6"/>
    <w:rPr>
      <w:sz w:val="22"/>
      <w:szCs w:val="22"/>
      <w:lang w:eastAsia="en-US"/>
    </w:rPr>
  </w:style>
  <w:style w:type="paragraph" w:styleId="FootnoteText">
    <w:name w:val="footnote text"/>
    <w:basedOn w:val="Normal"/>
    <w:link w:val="FootnoteTextChar"/>
    <w:uiPriority w:val="99"/>
    <w:semiHidden/>
    <w:unhideWhenUsed/>
    <w:rsid w:val="00CC7101"/>
    <w:rPr>
      <w:sz w:val="20"/>
      <w:szCs w:val="20"/>
    </w:rPr>
  </w:style>
  <w:style w:type="character" w:customStyle="1" w:styleId="FootnoteTextChar">
    <w:name w:val="Footnote Text Char"/>
    <w:link w:val="FootnoteText"/>
    <w:uiPriority w:val="99"/>
    <w:semiHidden/>
    <w:rsid w:val="00CC7101"/>
    <w:rPr>
      <w:lang w:val="en-GB" w:eastAsia="en-US"/>
    </w:rPr>
  </w:style>
  <w:style w:type="character" w:styleId="FootnoteReference">
    <w:name w:val="footnote reference"/>
    <w:uiPriority w:val="99"/>
    <w:semiHidden/>
    <w:unhideWhenUsed/>
    <w:rsid w:val="00CC7101"/>
    <w:rPr>
      <w:vertAlign w:val="superscript"/>
    </w:rPr>
  </w:style>
  <w:style w:type="character" w:styleId="Hyperlink">
    <w:name w:val="Hyperlink"/>
    <w:uiPriority w:val="99"/>
    <w:unhideWhenUsed/>
    <w:rsid w:val="00F64171"/>
    <w:rPr>
      <w:color w:val="0000FF"/>
      <w:u w:val="single"/>
    </w:rPr>
  </w:style>
  <w:style w:type="character" w:styleId="FollowedHyperlink">
    <w:name w:val="FollowedHyperlink"/>
    <w:uiPriority w:val="99"/>
    <w:semiHidden/>
    <w:unhideWhenUsed/>
    <w:rsid w:val="00B4017E"/>
    <w:rPr>
      <w:color w:val="800080"/>
      <w:u w:val="single"/>
    </w:rPr>
  </w:style>
  <w:style w:type="character" w:customStyle="1" w:styleId="sfbbfee58">
    <w:name w:val="sfbbfee58"/>
    <w:rsid w:val="005E08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54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EEF"/>
    <w:pPr>
      <w:tabs>
        <w:tab w:val="center" w:pos="4513"/>
        <w:tab w:val="right" w:pos="9026"/>
      </w:tabs>
    </w:pPr>
    <w:rPr>
      <w:lang w:val="x-none"/>
    </w:rPr>
  </w:style>
  <w:style w:type="character" w:customStyle="1" w:styleId="HeaderChar">
    <w:name w:val="Header Char"/>
    <w:link w:val="Header"/>
    <w:uiPriority w:val="99"/>
    <w:rsid w:val="00C91EEF"/>
    <w:rPr>
      <w:sz w:val="22"/>
      <w:szCs w:val="22"/>
      <w:lang w:eastAsia="en-US"/>
    </w:rPr>
  </w:style>
  <w:style w:type="paragraph" w:styleId="Footer">
    <w:name w:val="footer"/>
    <w:basedOn w:val="Normal"/>
    <w:link w:val="FooterChar"/>
    <w:uiPriority w:val="99"/>
    <w:unhideWhenUsed/>
    <w:rsid w:val="00C91EEF"/>
    <w:pPr>
      <w:tabs>
        <w:tab w:val="center" w:pos="4513"/>
        <w:tab w:val="right" w:pos="9026"/>
      </w:tabs>
    </w:pPr>
    <w:rPr>
      <w:lang w:val="x-none"/>
    </w:rPr>
  </w:style>
  <w:style w:type="character" w:customStyle="1" w:styleId="FooterChar">
    <w:name w:val="Footer Char"/>
    <w:link w:val="Footer"/>
    <w:uiPriority w:val="99"/>
    <w:rsid w:val="00C91EEF"/>
    <w:rPr>
      <w:sz w:val="22"/>
      <w:szCs w:val="22"/>
      <w:lang w:eastAsia="en-US"/>
    </w:rPr>
  </w:style>
  <w:style w:type="paragraph" w:styleId="NoSpacing">
    <w:name w:val="No Spacing"/>
    <w:uiPriority w:val="1"/>
    <w:qFormat/>
    <w:rsid w:val="009067F7"/>
    <w:rPr>
      <w:sz w:val="22"/>
      <w:szCs w:val="22"/>
      <w:lang w:eastAsia="en-US"/>
    </w:rPr>
  </w:style>
  <w:style w:type="paragraph" w:styleId="BalloonText">
    <w:name w:val="Balloon Text"/>
    <w:basedOn w:val="Normal"/>
    <w:link w:val="BalloonTextChar"/>
    <w:uiPriority w:val="99"/>
    <w:semiHidden/>
    <w:unhideWhenUsed/>
    <w:rsid w:val="003873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873E6"/>
    <w:rPr>
      <w:rFonts w:ascii="Tahoma" w:hAnsi="Tahoma" w:cs="Tahoma"/>
      <w:sz w:val="16"/>
      <w:szCs w:val="16"/>
      <w:lang w:val="en-GB"/>
    </w:rPr>
  </w:style>
  <w:style w:type="paragraph" w:customStyle="1" w:styleId="MediumGrid21">
    <w:name w:val="Medium Grid 21"/>
    <w:uiPriority w:val="1"/>
    <w:qFormat/>
    <w:rsid w:val="003873E6"/>
    <w:rPr>
      <w:sz w:val="22"/>
      <w:szCs w:val="22"/>
      <w:lang w:eastAsia="en-US"/>
    </w:rPr>
  </w:style>
  <w:style w:type="paragraph" w:styleId="FootnoteText">
    <w:name w:val="footnote text"/>
    <w:basedOn w:val="Normal"/>
    <w:link w:val="FootnoteTextChar"/>
    <w:uiPriority w:val="99"/>
    <w:semiHidden/>
    <w:unhideWhenUsed/>
    <w:rsid w:val="00CC7101"/>
    <w:rPr>
      <w:sz w:val="20"/>
      <w:szCs w:val="20"/>
    </w:rPr>
  </w:style>
  <w:style w:type="character" w:customStyle="1" w:styleId="FootnoteTextChar">
    <w:name w:val="Footnote Text Char"/>
    <w:link w:val="FootnoteText"/>
    <w:uiPriority w:val="99"/>
    <w:semiHidden/>
    <w:rsid w:val="00CC7101"/>
    <w:rPr>
      <w:lang w:val="en-GB" w:eastAsia="en-US"/>
    </w:rPr>
  </w:style>
  <w:style w:type="character" w:styleId="FootnoteReference">
    <w:name w:val="footnote reference"/>
    <w:uiPriority w:val="99"/>
    <w:semiHidden/>
    <w:unhideWhenUsed/>
    <w:rsid w:val="00CC7101"/>
    <w:rPr>
      <w:vertAlign w:val="superscript"/>
    </w:rPr>
  </w:style>
  <w:style w:type="character" w:styleId="Hyperlink">
    <w:name w:val="Hyperlink"/>
    <w:uiPriority w:val="99"/>
    <w:unhideWhenUsed/>
    <w:rsid w:val="00F64171"/>
    <w:rPr>
      <w:color w:val="0000FF"/>
      <w:u w:val="single"/>
    </w:rPr>
  </w:style>
  <w:style w:type="character" w:styleId="FollowedHyperlink">
    <w:name w:val="FollowedHyperlink"/>
    <w:uiPriority w:val="99"/>
    <w:semiHidden/>
    <w:unhideWhenUsed/>
    <w:rsid w:val="00B4017E"/>
    <w:rPr>
      <w:color w:val="800080"/>
      <w:u w:val="single"/>
    </w:rPr>
  </w:style>
  <w:style w:type="character" w:customStyle="1" w:styleId="sfbbfee58">
    <w:name w:val="sfbbfee58"/>
    <w:rsid w:val="005E0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21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gac.net"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e.int/t/dghl/monitoring/greco/documents/2013/Greco(2013)1_Gen.Act.Report2012_E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e.int/t/dghl/monitoring/greco/documents/2012/Greco(2012)1_GenActReport2011_EN.pdf" TargetMode="External"/><Relationship Id="rId5" Type="http://schemas.openxmlformats.org/officeDocument/2006/relationships/settings" Target="settings.xml"/><Relationship Id="rId15" Type="http://schemas.openxmlformats.org/officeDocument/2006/relationships/hyperlink" Target="http://www.coe.int/greco" TargetMode="External"/><Relationship Id="rId10" Type="http://schemas.openxmlformats.org/officeDocument/2006/relationships/hyperlink" Target="http://www.coe.int/greco"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mailto:webmaster.greco@coe.int" TargetMode="External"/><Relationship Id="rId14" Type="http://schemas.openxmlformats.org/officeDocument/2006/relationships/hyperlink" Target="mailto:webmaster.greco@coe.i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atf-gafi.org/topics/fatfrecommendations/documents/bpp-npo-2013.html" TargetMode="External"/><Relationship Id="rId2" Type="http://schemas.openxmlformats.org/officeDocument/2006/relationships/hyperlink" Target="http://www.iiep.unesco.org/en/information-services/publications/search-iiep-publications/ethics-and-corruption.html" TargetMode="External"/><Relationship Id="rId1" Type="http://schemas.openxmlformats.org/officeDocument/2006/relationships/hyperlink" Target="http://hudoc.echr.coe.int/sites/eng/pages/searc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48520-C236-4304-A3D9-66FF09779AD5}"/>
</file>

<file path=customXml/itemProps2.xml><?xml version="1.0" encoding="utf-8"?>
<ds:datastoreItem xmlns:ds="http://schemas.openxmlformats.org/officeDocument/2006/customXml" ds:itemID="{FD55ED11-8A1F-4098-9E4C-EE682EA0BE76}"/>
</file>

<file path=customXml/itemProps3.xml><?xml version="1.0" encoding="utf-8"?>
<ds:datastoreItem xmlns:ds="http://schemas.openxmlformats.org/officeDocument/2006/customXml" ds:itemID="{DCCE2A10-CF23-4EEF-BCAD-E8242DF3B590}"/>
</file>

<file path=customXml/itemProps4.xml><?xml version="1.0" encoding="utf-8"?>
<ds:datastoreItem xmlns:ds="http://schemas.openxmlformats.org/officeDocument/2006/customXml" ds:itemID="{F73A1D1D-3950-4E83-80E8-FF251AA4A6DD}"/>
</file>

<file path=docProps/app.xml><?xml version="1.0" encoding="utf-8"?>
<Properties xmlns="http://schemas.openxmlformats.org/officeDocument/2006/extended-properties" xmlns:vt="http://schemas.openxmlformats.org/officeDocument/2006/docPropsVTypes">
  <Template>Normal</Template>
  <TotalTime>1</TotalTime>
  <Pages>7</Pages>
  <Words>2943</Words>
  <Characters>16776</Characters>
  <Application>Microsoft Office Word</Application>
  <DocSecurity>0</DocSecurity>
  <Lines>139</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19680</CharactersWithSpaces>
  <SharedDoc>false</SharedDoc>
  <HLinks>
    <vt:vector size="18" baseType="variant">
      <vt:variant>
        <vt:i4>7667812</vt:i4>
      </vt:variant>
      <vt:variant>
        <vt:i4>3</vt:i4>
      </vt:variant>
      <vt:variant>
        <vt:i4>0</vt:i4>
      </vt:variant>
      <vt:variant>
        <vt:i4>5</vt:i4>
      </vt:variant>
      <vt:variant>
        <vt:lpwstr>http://www.coe.int/t/dghl/monitoring/greco/documents/2013/Greco(2013)1_Gen.Act.Report2012_EN.pdf</vt:lpwstr>
      </vt:variant>
      <vt:variant>
        <vt:lpwstr/>
      </vt:variant>
      <vt:variant>
        <vt:i4>131088</vt:i4>
      </vt:variant>
      <vt:variant>
        <vt:i4>0</vt:i4>
      </vt:variant>
      <vt:variant>
        <vt:i4>0</vt:i4>
      </vt:variant>
      <vt:variant>
        <vt:i4>5</vt:i4>
      </vt:variant>
      <vt:variant>
        <vt:lpwstr>http://www.coe.int/t/dghl/monitoring/greco/documents/2012/Greco(2012)1_GenActReport2011_EN.pdf</vt:lpwstr>
      </vt:variant>
      <vt:variant>
        <vt:lpwstr/>
      </vt:variant>
      <vt:variant>
        <vt:i4>7405619</vt:i4>
      </vt:variant>
      <vt:variant>
        <vt:i4>0</vt:i4>
      </vt:variant>
      <vt:variant>
        <vt:i4>0</vt:i4>
      </vt:variant>
      <vt:variant>
        <vt:i4>5</vt:i4>
      </vt:variant>
      <vt:variant>
        <vt:lpwstr>http://hudoc.echr.coe.int/sites/eng/pages/search.aspx</vt:lpwstr>
      </vt:variant>
      <vt:variant>
        <vt:lpwstr>{"itemid":["002-446"]}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Vivar Aguirre</dc:creator>
  <cp:lastModifiedBy>Murielle Tchouwo</cp:lastModifiedBy>
  <cp:revision>2</cp:revision>
  <cp:lastPrinted>2013-10-11T08:15:00Z</cp:lastPrinted>
  <dcterms:created xsi:type="dcterms:W3CDTF">2013-10-25T12:11:00Z</dcterms:created>
  <dcterms:modified xsi:type="dcterms:W3CDTF">2013-10-25T12:11:00Z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2251400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