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5A9C" w14:textId="3ADDF04B" w:rsidR="00B63615" w:rsidRPr="00DC299F" w:rsidRDefault="00B63615" w:rsidP="00871ECB">
      <w:pPr>
        <w:pStyle w:val="HChG"/>
      </w:pPr>
      <w:r w:rsidRPr="00DC299F">
        <w:tab/>
      </w:r>
      <w:proofErr w:type="spellStart"/>
      <w:r w:rsidRPr="00DC299F">
        <w:t>Dheerujlall</w:t>
      </w:r>
      <w:proofErr w:type="spellEnd"/>
      <w:r w:rsidRPr="00DC299F">
        <w:t xml:space="preserve"> </w:t>
      </w:r>
      <w:proofErr w:type="spellStart"/>
      <w:r w:rsidRPr="00DC299F">
        <w:t>Baramlall</w:t>
      </w:r>
      <w:proofErr w:type="spellEnd"/>
      <w:r w:rsidRPr="00DC299F">
        <w:t xml:space="preserve"> </w:t>
      </w:r>
      <w:proofErr w:type="spellStart"/>
      <w:r w:rsidRPr="00DC299F">
        <w:t>Seetulsingh</w:t>
      </w:r>
      <w:proofErr w:type="spellEnd"/>
      <w:r w:rsidRPr="00DC299F">
        <w:t xml:space="preserve"> (Mauritius)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935"/>
        <w:gridCol w:w="3167"/>
      </w:tblGrid>
      <w:tr w:rsidR="00B63615" w:rsidRPr="00871ECB" w14:paraId="7D607E49" w14:textId="77777777" w:rsidTr="00871ECB">
        <w:trPr>
          <w:trHeight w:hRule="exact" w:val="113"/>
        </w:trPr>
        <w:tc>
          <w:tcPr>
            <w:tcW w:w="2268" w:type="dxa"/>
            <w:tcBorders>
              <w:top w:val="nil"/>
              <w:bottom w:val="nil"/>
            </w:tcBorders>
            <w:shd w:val="clear" w:color="auto" w:fill="auto"/>
          </w:tcPr>
          <w:p w14:paraId="55EEE52B" w14:textId="77777777" w:rsidR="00B63615" w:rsidRPr="00871ECB" w:rsidRDefault="00B63615" w:rsidP="00871ECB">
            <w:pPr>
              <w:pStyle w:val="SingleTxtG"/>
              <w:spacing w:before="40" w:line="220" w:lineRule="exact"/>
              <w:ind w:left="0" w:right="113"/>
              <w:jc w:val="left"/>
            </w:pPr>
          </w:p>
        </w:tc>
        <w:tc>
          <w:tcPr>
            <w:tcW w:w="1935" w:type="dxa"/>
            <w:tcBorders>
              <w:top w:val="nil"/>
              <w:bottom w:val="nil"/>
            </w:tcBorders>
            <w:shd w:val="clear" w:color="auto" w:fill="auto"/>
          </w:tcPr>
          <w:p w14:paraId="48DA7BEF" w14:textId="77777777" w:rsidR="00B63615" w:rsidRPr="00871ECB" w:rsidRDefault="00B63615" w:rsidP="00871ECB">
            <w:pPr>
              <w:pStyle w:val="SingleTxtG"/>
              <w:spacing w:before="40" w:line="220" w:lineRule="exact"/>
              <w:ind w:left="0" w:right="113"/>
              <w:jc w:val="left"/>
            </w:pPr>
          </w:p>
        </w:tc>
        <w:tc>
          <w:tcPr>
            <w:tcW w:w="3167" w:type="dxa"/>
            <w:tcBorders>
              <w:top w:val="nil"/>
              <w:bottom w:val="nil"/>
            </w:tcBorders>
            <w:shd w:val="clear" w:color="auto" w:fill="auto"/>
          </w:tcPr>
          <w:p w14:paraId="00D16D73" w14:textId="77777777" w:rsidR="00B63615" w:rsidRPr="00871ECB" w:rsidRDefault="00B63615" w:rsidP="00871ECB">
            <w:pPr>
              <w:pStyle w:val="SingleTxtG"/>
              <w:spacing w:before="40" w:line="220" w:lineRule="exact"/>
              <w:ind w:left="0" w:right="113"/>
              <w:jc w:val="left"/>
            </w:pPr>
          </w:p>
        </w:tc>
      </w:tr>
      <w:tr w:rsidR="00B63615" w:rsidRPr="00871ECB" w14:paraId="75CA7243" w14:textId="77777777" w:rsidTr="00871ECB">
        <w:tc>
          <w:tcPr>
            <w:tcW w:w="2268" w:type="dxa"/>
            <w:tcBorders>
              <w:top w:val="nil"/>
            </w:tcBorders>
            <w:shd w:val="clear" w:color="auto" w:fill="auto"/>
          </w:tcPr>
          <w:p w14:paraId="79D9A87C" w14:textId="77777777" w:rsidR="00B63615" w:rsidRPr="00871ECB" w:rsidRDefault="00B63615" w:rsidP="00871ECB">
            <w:pPr>
              <w:pStyle w:val="SingleTxtG"/>
              <w:spacing w:before="40" w:line="220" w:lineRule="exact"/>
              <w:ind w:left="0" w:right="113"/>
              <w:jc w:val="left"/>
              <w:rPr>
                <w:b/>
                <w:bCs/>
              </w:rPr>
            </w:pPr>
            <w:r w:rsidRPr="00871ECB">
              <w:rPr>
                <w:b/>
                <w:bCs/>
                <w:sz w:val="24"/>
                <w:szCs w:val="24"/>
              </w:rPr>
              <w:t>Current Position</w:t>
            </w:r>
          </w:p>
        </w:tc>
        <w:tc>
          <w:tcPr>
            <w:tcW w:w="1935" w:type="dxa"/>
            <w:tcBorders>
              <w:top w:val="nil"/>
            </w:tcBorders>
            <w:shd w:val="clear" w:color="auto" w:fill="auto"/>
          </w:tcPr>
          <w:p w14:paraId="2E218D11" w14:textId="77777777" w:rsidR="00B63615" w:rsidRPr="00871ECB" w:rsidRDefault="00B63615" w:rsidP="00871ECB">
            <w:pPr>
              <w:pStyle w:val="SingleTxtG"/>
              <w:spacing w:before="40" w:line="220" w:lineRule="exact"/>
              <w:ind w:left="0" w:right="113"/>
              <w:jc w:val="left"/>
            </w:pPr>
            <w:r w:rsidRPr="00871ECB">
              <w:t>Chairperson</w:t>
            </w:r>
          </w:p>
          <w:p w14:paraId="582D8DEE" w14:textId="77777777" w:rsidR="00B63615" w:rsidRPr="00871ECB" w:rsidRDefault="00B63615" w:rsidP="00871ECB">
            <w:pPr>
              <w:pStyle w:val="SingleTxtG"/>
              <w:spacing w:before="40" w:line="220" w:lineRule="exact"/>
              <w:ind w:left="0" w:right="113"/>
              <w:jc w:val="left"/>
            </w:pPr>
          </w:p>
          <w:p w14:paraId="66AACB9C" w14:textId="77777777" w:rsidR="00B63615" w:rsidRPr="00871ECB" w:rsidRDefault="00B63615" w:rsidP="00871ECB">
            <w:pPr>
              <w:pStyle w:val="SingleTxtG"/>
              <w:spacing w:before="40" w:line="220" w:lineRule="exact"/>
              <w:ind w:left="0" w:right="113"/>
              <w:jc w:val="left"/>
            </w:pPr>
          </w:p>
          <w:p w14:paraId="41520BF2" w14:textId="77777777" w:rsidR="00B63615" w:rsidRPr="00871ECB" w:rsidRDefault="00B63615" w:rsidP="00871ECB">
            <w:pPr>
              <w:pStyle w:val="SingleTxtG"/>
              <w:spacing w:before="40" w:line="220" w:lineRule="exact"/>
              <w:ind w:left="0" w:right="113"/>
              <w:jc w:val="left"/>
            </w:pPr>
            <w:r w:rsidRPr="00871ECB">
              <w:t>Member</w:t>
            </w:r>
          </w:p>
          <w:p w14:paraId="03A10874" w14:textId="77777777" w:rsidR="00B63615" w:rsidRPr="00871ECB" w:rsidRDefault="00B63615" w:rsidP="00871ECB">
            <w:pPr>
              <w:pStyle w:val="SingleTxtG"/>
              <w:spacing w:before="40" w:line="220" w:lineRule="exact"/>
              <w:ind w:left="0" w:right="113"/>
              <w:jc w:val="left"/>
            </w:pPr>
          </w:p>
        </w:tc>
        <w:tc>
          <w:tcPr>
            <w:tcW w:w="3167" w:type="dxa"/>
            <w:tcBorders>
              <w:top w:val="nil"/>
            </w:tcBorders>
            <w:shd w:val="clear" w:color="auto" w:fill="auto"/>
          </w:tcPr>
          <w:p w14:paraId="53CDECD5" w14:textId="77777777" w:rsidR="00B63615" w:rsidRPr="00871ECB" w:rsidRDefault="00B63615" w:rsidP="00871ECB">
            <w:pPr>
              <w:pStyle w:val="SingleTxtG"/>
              <w:spacing w:before="40" w:line="220" w:lineRule="exact"/>
              <w:ind w:left="0" w:right="113"/>
              <w:jc w:val="left"/>
            </w:pPr>
            <w:r w:rsidRPr="00871ECB">
              <w:t>National Human Rights Commission, Mauritius since April 2001</w:t>
            </w:r>
          </w:p>
          <w:p w14:paraId="1E03850B" w14:textId="77777777" w:rsidR="00B63615" w:rsidRPr="00871ECB" w:rsidRDefault="00B63615" w:rsidP="00871ECB">
            <w:pPr>
              <w:pStyle w:val="SingleTxtG"/>
              <w:spacing w:before="40" w:line="220" w:lineRule="exact"/>
              <w:ind w:left="0" w:right="113"/>
              <w:jc w:val="left"/>
            </w:pPr>
          </w:p>
          <w:p w14:paraId="0813AC6C" w14:textId="77777777" w:rsidR="00B63615" w:rsidRPr="00871ECB" w:rsidRDefault="00B63615" w:rsidP="00871ECB">
            <w:pPr>
              <w:pStyle w:val="SingleTxtG"/>
              <w:spacing w:before="40" w:line="220" w:lineRule="exact"/>
              <w:ind w:left="0" w:right="113"/>
              <w:jc w:val="left"/>
            </w:pPr>
            <w:r w:rsidRPr="00871ECB">
              <w:t>Human Rights Council Advisory Committee 2018 to 2020</w:t>
            </w:r>
          </w:p>
        </w:tc>
      </w:tr>
      <w:tr w:rsidR="00B63615" w:rsidRPr="00871ECB" w14:paraId="28ABB85B" w14:textId="77777777" w:rsidTr="00871ECB">
        <w:tc>
          <w:tcPr>
            <w:tcW w:w="2268" w:type="dxa"/>
            <w:shd w:val="clear" w:color="auto" w:fill="auto"/>
          </w:tcPr>
          <w:p w14:paraId="728E7C08" w14:textId="77777777" w:rsidR="00B63615" w:rsidRPr="00871ECB" w:rsidRDefault="00B63615" w:rsidP="00871ECB">
            <w:pPr>
              <w:pStyle w:val="SingleTxtG"/>
              <w:spacing w:before="40" w:line="220" w:lineRule="exact"/>
              <w:ind w:left="0" w:right="113"/>
              <w:jc w:val="left"/>
              <w:rPr>
                <w:b/>
                <w:bCs/>
              </w:rPr>
            </w:pPr>
            <w:r w:rsidRPr="00871ECB">
              <w:rPr>
                <w:b/>
                <w:bCs/>
                <w:sz w:val="24"/>
                <w:szCs w:val="24"/>
              </w:rPr>
              <w:t>Previous Positions</w:t>
            </w:r>
          </w:p>
        </w:tc>
        <w:tc>
          <w:tcPr>
            <w:tcW w:w="1935" w:type="dxa"/>
            <w:shd w:val="clear" w:color="auto" w:fill="auto"/>
          </w:tcPr>
          <w:p w14:paraId="5F393D4F" w14:textId="77777777" w:rsidR="00B63615" w:rsidRPr="00871ECB" w:rsidRDefault="00B63615" w:rsidP="00871ECB">
            <w:pPr>
              <w:pStyle w:val="SingleTxtG"/>
              <w:spacing w:before="40" w:line="220" w:lineRule="exact"/>
              <w:ind w:left="0" w:right="113"/>
              <w:jc w:val="left"/>
            </w:pPr>
            <w:r w:rsidRPr="00871ECB">
              <w:t>Member and Vice President</w:t>
            </w:r>
          </w:p>
        </w:tc>
        <w:tc>
          <w:tcPr>
            <w:tcW w:w="3167" w:type="dxa"/>
            <w:shd w:val="clear" w:color="auto" w:fill="auto"/>
          </w:tcPr>
          <w:p w14:paraId="31F1EA06" w14:textId="77777777" w:rsidR="00B63615" w:rsidRPr="00871ECB" w:rsidRDefault="00B63615" w:rsidP="00871ECB">
            <w:pPr>
              <w:pStyle w:val="SingleTxtG"/>
              <w:spacing w:before="40" w:line="220" w:lineRule="exact"/>
              <w:ind w:left="0" w:right="113"/>
              <w:jc w:val="left"/>
            </w:pPr>
            <w:r w:rsidRPr="00871ECB">
              <w:t>Human Rights Committee, Geneva International Covenant on Civil and Political Rights June 2014</w:t>
            </w:r>
            <w:r w:rsidR="00F96DA5" w:rsidRPr="00871ECB">
              <w:t>–</w:t>
            </w:r>
            <w:r w:rsidRPr="00871ECB">
              <w:t>End 2016</w:t>
            </w:r>
          </w:p>
        </w:tc>
      </w:tr>
      <w:tr w:rsidR="00B63615" w:rsidRPr="00871ECB" w14:paraId="53B1312E" w14:textId="77777777" w:rsidTr="00871ECB">
        <w:tc>
          <w:tcPr>
            <w:tcW w:w="2268" w:type="dxa"/>
            <w:shd w:val="clear" w:color="auto" w:fill="auto"/>
          </w:tcPr>
          <w:p w14:paraId="5ECC3C2B"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5C2D37E7" w14:textId="77777777" w:rsidR="00B63615" w:rsidRPr="00871ECB" w:rsidRDefault="00B63615" w:rsidP="00871ECB">
            <w:pPr>
              <w:pStyle w:val="SingleTxtG"/>
              <w:spacing w:before="40" w:line="220" w:lineRule="exact"/>
              <w:ind w:left="0" w:right="113"/>
              <w:jc w:val="left"/>
            </w:pPr>
            <w:r w:rsidRPr="00871ECB">
              <w:t>Member</w:t>
            </w:r>
          </w:p>
        </w:tc>
        <w:tc>
          <w:tcPr>
            <w:tcW w:w="3167" w:type="dxa"/>
            <w:shd w:val="clear" w:color="auto" w:fill="auto"/>
          </w:tcPr>
          <w:p w14:paraId="4DC6838A" w14:textId="77777777" w:rsidR="00B63615" w:rsidRPr="00871ECB" w:rsidRDefault="00B63615" w:rsidP="00871ECB">
            <w:pPr>
              <w:pStyle w:val="SingleTxtG"/>
              <w:spacing w:before="40" w:line="220" w:lineRule="exact"/>
              <w:ind w:left="0" w:right="113"/>
              <w:jc w:val="left"/>
            </w:pPr>
            <w:r w:rsidRPr="00871ECB">
              <w:t>Human Rights Council Advisory Committee 2008</w:t>
            </w:r>
            <w:r w:rsidR="00F96DA5" w:rsidRPr="00871ECB">
              <w:t>–</w:t>
            </w:r>
            <w:r w:rsidRPr="00871ECB">
              <w:t>2014</w:t>
            </w:r>
          </w:p>
        </w:tc>
      </w:tr>
      <w:tr w:rsidR="00B63615" w:rsidRPr="00871ECB" w14:paraId="35B135BA" w14:textId="77777777" w:rsidTr="00871ECB">
        <w:tc>
          <w:tcPr>
            <w:tcW w:w="2268" w:type="dxa"/>
            <w:shd w:val="clear" w:color="auto" w:fill="auto"/>
          </w:tcPr>
          <w:p w14:paraId="4FB888B4"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756136CE" w14:textId="77777777" w:rsidR="00B63615" w:rsidRPr="00871ECB" w:rsidRDefault="00B63615" w:rsidP="00871ECB">
            <w:pPr>
              <w:pStyle w:val="SingleTxtG"/>
              <w:spacing w:before="40" w:line="220" w:lineRule="exact"/>
              <w:ind w:left="0" w:right="113"/>
              <w:jc w:val="left"/>
            </w:pPr>
            <w:r w:rsidRPr="00871ECB">
              <w:t>Judge</w:t>
            </w:r>
          </w:p>
        </w:tc>
        <w:tc>
          <w:tcPr>
            <w:tcW w:w="3167" w:type="dxa"/>
            <w:shd w:val="clear" w:color="auto" w:fill="auto"/>
          </w:tcPr>
          <w:p w14:paraId="2D807FBD" w14:textId="0955B75A" w:rsidR="00B63615" w:rsidRPr="00871ECB" w:rsidRDefault="00B63615" w:rsidP="00871ECB">
            <w:pPr>
              <w:pStyle w:val="SingleTxtG"/>
              <w:spacing w:before="40" w:line="220" w:lineRule="exact"/>
              <w:ind w:left="0" w:right="113"/>
              <w:jc w:val="left"/>
            </w:pPr>
            <w:r w:rsidRPr="00871ECB">
              <w:t>Supreme Court, Mauritius (1998</w:t>
            </w:r>
            <w:r w:rsidR="00F96DA5" w:rsidRPr="00871ECB">
              <w:t>–</w:t>
            </w:r>
            <w:r w:rsidRPr="00871ECB">
              <w:t>2001)</w:t>
            </w:r>
          </w:p>
        </w:tc>
      </w:tr>
      <w:tr w:rsidR="00B63615" w:rsidRPr="00871ECB" w14:paraId="14F14F44" w14:textId="77777777" w:rsidTr="00871ECB">
        <w:tc>
          <w:tcPr>
            <w:tcW w:w="2268" w:type="dxa"/>
            <w:shd w:val="clear" w:color="auto" w:fill="auto"/>
          </w:tcPr>
          <w:p w14:paraId="6A66DFA8"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079F2DFD" w14:textId="77777777" w:rsidR="00B63615" w:rsidRPr="00871ECB" w:rsidRDefault="00B63615" w:rsidP="00871ECB">
            <w:pPr>
              <w:pStyle w:val="SingleTxtG"/>
              <w:spacing w:before="40" w:line="220" w:lineRule="exact"/>
              <w:ind w:left="0" w:right="113"/>
              <w:jc w:val="left"/>
            </w:pPr>
            <w:r w:rsidRPr="00871ECB">
              <w:t>Solicitor General</w:t>
            </w:r>
          </w:p>
        </w:tc>
        <w:tc>
          <w:tcPr>
            <w:tcW w:w="3167" w:type="dxa"/>
            <w:shd w:val="clear" w:color="auto" w:fill="auto"/>
          </w:tcPr>
          <w:p w14:paraId="00B4035A" w14:textId="77777777" w:rsidR="00B63615" w:rsidRPr="00871ECB" w:rsidRDefault="00B63615" w:rsidP="00871ECB">
            <w:pPr>
              <w:pStyle w:val="SingleTxtG"/>
              <w:spacing w:before="40" w:line="220" w:lineRule="exact"/>
              <w:ind w:left="0" w:right="113"/>
              <w:jc w:val="left"/>
            </w:pPr>
            <w:r w:rsidRPr="00871ECB">
              <w:t>Ministry of Justice and Attorney</w:t>
            </w:r>
            <w:r w:rsidR="00CB3B85">
              <w:t>’</w:t>
            </w:r>
            <w:r w:rsidRPr="00871ECB">
              <w:t>s General</w:t>
            </w:r>
            <w:r w:rsidR="00CB3B85">
              <w:t>’</w:t>
            </w:r>
            <w:r w:rsidRPr="00871ECB">
              <w:t>s Office (1994</w:t>
            </w:r>
            <w:r w:rsidR="00F96DA5" w:rsidRPr="00871ECB">
              <w:t>–</w:t>
            </w:r>
            <w:r w:rsidRPr="00871ECB">
              <w:t>1998)</w:t>
            </w:r>
          </w:p>
        </w:tc>
      </w:tr>
      <w:tr w:rsidR="00B63615" w:rsidRPr="00871ECB" w14:paraId="538577A6" w14:textId="77777777" w:rsidTr="00871ECB">
        <w:tc>
          <w:tcPr>
            <w:tcW w:w="2268" w:type="dxa"/>
            <w:shd w:val="clear" w:color="auto" w:fill="auto"/>
          </w:tcPr>
          <w:p w14:paraId="087AA6B2"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6459A21D" w14:textId="77777777" w:rsidR="00B63615" w:rsidRPr="00871ECB" w:rsidRDefault="00B63615" w:rsidP="00871ECB">
            <w:pPr>
              <w:pStyle w:val="SingleTxtG"/>
              <w:spacing w:before="40" w:line="220" w:lineRule="exact"/>
              <w:ind w:left="0" w:right="113"/>
              <w:jc w:val="left"/>
            </w:pPr>
            <w:r w:rsidRPr="00871ECB">
              <w:t>Chairman</w:t>
            </w:r>
          </w:p>
        </w:tc>
        <w:tc>
          <w:tcPr>
            <w:tcW w:w="3167" w:type="dxa"/>
            <w:shd w:val="clear" w:color="auto" w:fill="auto"/>
          </w:tcPr>
          <w:p w14:paraId="5DAD1181" w14:textId="77777777" w:rsidR="00B63615" w:rsidRPr="00871ECB" w:rsidRDefault="00B63615" w:rsidP="00871ECB">
            <w:pPr>
              <w:pStyle w:val="SingleTxtG"/>
              <w:spacing w:before="40" w:line="220" w:lineRule="exact"/>
              <w:ind w:left="0" w:right="113"/>
              <w:jc w:val="left"/>
            </w:pPr>
            <w:r w:rsidRPr="00871ECB">
              <w:t>Tax Appeal Tribunal (1984</w:t>
            </w:r>
            <w:r w:rsidR="00F96DA5" w:rsidRPr="00871ECB">
              <w:t>–</w:t>
            </w:r>
            <w:r w:rsidRPr="00871ECB">
              <w:t>1994) and Termination of Contracts of Service Board</w:t>
            </w:r>
          </w:p>
        </w:tc>
      </w:tr>
      <w:tr w:rsidR="00B63615" w:rsidRPr="00871ECB" w14:paraId="50F3655C" w14:textId="77777777" w:rsidTr="00871ECB">
        <w:tc>
          <w:tcPr>
            <w:tcW w:w="2268" w:type="dxa"/>
            <w:shd w:val="clear" w:color="auto" w:fill="auto"/>
          </w:tcPr>
          <w:p w14:paraId="424C09D3"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7A21BA6B" w14:textId="77777777" w:rsidR="00B63615" w:rsidRPr="00871ECB" w:rsidRDefault="00B63615" w:rsidP="00871ECB">
            <w:pPr>
              <w:pStyle w:val="SingleTxtG"/>
              <w:spacing w:before="40" w:line="220" w:lineRule="exact"/>
              <w:ind w:left="0" w:right="113"/>
              <w:jc w:val="left"/>
            </w:pPr>
            <w:r w:rsidRPr="00871ECB">
              <w:t>Member of Council and Chairman of Staff Committee</w:t>
            </w:r>
          </w:p>
        </w:tc>
        <w:tc>
          <w:tcPr>
            <w:tcW w:w="3167" w:type="dxa"/>
            <w:shd w:val="clear" w:color="auto" w:fill="auto"/>
          </w:tcPr>
          <w:p w14:paraId="7AF981BF" w14:textId="77777777" w:rsidR="00B63615" w:rsidRPr="00871ECB" w:rsidRDefault="00B63615" w:rsidP="00871ECB">
            <w:pPr>
              <w:pStyle w:val="SingleTxtG"/>
              <w:spacing w:before="40" w:line="220" w:lineRule="exact"/>
              <w:ind w:left="0" w:right="113"/>
              <w:jc w:val="left"/>
            </w:pPr>
            <w:r w:rsidRPr="00871ECB">
              <w:t>University of Mauritius (1984</w:t>
            </w:r>
            <w:r w:rsidR="00F96DA5" w:rsidRPr="00871ECB">
              <w:t>–</w:t>
            </w:r>
            <w:r w:rsidRPr="00871ECB">
              <w:t>1994)</w:t>
            </w:r>
          </w:p>
        </w:tc>
      </w:tr>
      <w:tr w:rsidR="00B63615" w:rsidRPr="00871ECB" w14:paraId="31254ACA" w14:textId="77777777" w:rsidTr="00871ECB">
        <w:tc>
          <w:tcPr>
            <w:tcW w:w="2268" w:type="dxa"/>
            <w:shd w:val="clear" w:color="auto" w:fill="auto"/>
          </w:tcPr>
          <w:p w14:paraId="248466B2"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06648034" w14:textId="77777777" w:rsidR="00B63615" w:rsidRPr="00871ECB" w:rsidRDefault="00B63615" w:rsidP="00871ECB">
            <w:pPr>
              <w:pStyle w:val="SingleTxtG"/>
              <w:spacing w:before="40" w:line="220" w:lineRule="exact"/>
              <w:ind w:left="0" w:right="113"/>
              <w:jc w:val="left"/>
            </w:pPr>
            <w:r w:rsidRPr="00871ECB">
              <w:t>Part Time Chairman</w:t>
            </w:r>
          </w:p>
        </w:tc>
        <w:tc>
          <w:tcPr>
            <w:tcW w:w="3167" w:type="dxa"/>
            <w:shd w:val="clear" w:color="auto" w:fill="auto"/>
          </w:tcPr>
          <w:p w14:paraId="5896ED95" w14:textId="77777777" w:rsidR="00B63615" w:rsidRPr="00871ECB" w:rsidRDefault="00B63615" w:rsidP="00871ECB">
            <w:pPr>
              <w:pStyle w:val="SingleTxtG"/>
              <w:spacing w:before="40" w:line="220" w:lineRule="exact"/>
              <w:ind w:left="0" w:right="113"/>
              <w:jc w:val="left"/>
            </w:pPr>
            <w:r w:rsidRPr="00871ECB">
              <w:t>Stock Exchange Commission</w:t>
            </w:r>
          </w:p>
        </w:tc>
      </w:tr>
      <w:tr w:rsidR="00B63615" w:rsidRPr="00871ECB" w14:paraId="2C5BEEFD" w14:textId="77777777" w:rsidTr="00871ECB">
        <w:tc>
          <w:tcPr>
            <w:tcW w:w="2268" w:type="dxa"/>
            <w:shd w:val="clear" w:color="auto" w:fill="auto"/>
          </w:tcPr>
          <w:p w14:paraId="7EB3032B"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348D7604" w14:textId="77777777" w:rsidR="00B63615" w:rsidRPr="00871ECB" w:rsidRDefault="00B63615" w:rsidP="00871ECB">
            <w:pPr>
              <w:pStyle w:val="SingleTxtG"/>
              <w:spacing w:before="40" w:line="220" w:lineRule="exact"/>
              <w:ind w:left="0" w:right="113"/>
              <w:jc w:val="left"/>
            </w:pPr>
            <w:r w:rsidRPr="00871ECB">
              <w:t>Head of Department of Law</w:t>
            </w:r>
          </w:p>
        </w:tc>
        <w:tc>
          <w:tcPr>
            <w:tcW w:w="3167" w:type="dxa"/>
            <w:shd w:val="clear" w:color="auto" w:fill="auto"/>
          </w:tcPr>
          <w:p w14:paraId="31F558C9" w14:textId="77777777" w:rsidR="00B63615" w:rsidRPr="00871ECB" w:rsidRDefault="00B63615" w:rsidP="00871ECB">
            <w:pPr>
              <w:pStyle w:val="SingleTxtG"/>
              <w:spacing w:before="40" w:line="220" w:lineRule="exact"/>
              <w:ind w:left="0" w:right="113"/>
              <w:jc w:val="left"/>
            </w:pPr>
            <w:r w:rsidRPr="00871ECB">
              <w:t>University of Mauritius (1992</w:t>
            </w:r>
            <w:r w:rsidR="00F96DA5" w:rsidRPr="00871ECB">
              <w:t>–</w:t>
            </w:r>
            <w:r w:rsidRPr="00871ECB">
              <w:t>1994)</w:t>
            </w:r>
          </w:p>
        </w:tc>
      </w:tr>
      <w:tr w:rsidR="00B63615" w:rsidRPr="00871ECB" w14:paraId="59176E15" w14:textId="77777777" w:rsidTr="00871ECB">
        <w:tc>
          <w:tcPr>
            <w:tcW w:w="2268" w:type="dxa"/>
            <w:shd w:val="clear" w:color="auto" w:fill="auto"/>
          </w:tcPr>
          <w:p w14:paraId="5DEC1CD3"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461ABE57" w14:textId="77777777" w:rsidR="00B63615" w:rsidRPr="00871ECB" w:rsidRDefault="00B63615" w:rsidP="00871ECB">
            <w:pPr>
              <w:pStyle w:val="SingleTxtG"/>
              <w:spacing w:before="40" w:line="220" w:lineRule="exact"/>
              <w:ind w:left="0" w:right="113"/>
              <w:jc w:val="left"/>
            </w:pPr>
            <w:r w:rsidRPr="00871ECB">
              <w:t>Visiting Lecturer</w:t>
            </w:r>
          </w:p>
        </w:tc>
        <w:tc>
          <w:tcPr>
            <w:tcW w:w="3167" w:type="dxa"/>
            <w:shd w:val="clear" w:color="auto" w:fill="auto"/>
          </w:tcPr>
          <w:p w14:paraId="0B04FAD5" w14:textId="77777777" w:rsidR="00B63615" w:rsidRPr="00871ECB" w:rsidRDefault="00B63615" w:rsidP="00871ECB">
            <w:pPr>
              <w:pStyle w:val="SingleTxtG"/>
              <w:spacing w:before="40" w:line="220" w:lineRule="exact"/>
              <w:ind w:left="0" w:right="113"/>
              <w:jc w:val="left"/>
            </w:pPr>
            <w:r w:rsidRPr="00871ECB">
              <w:t xml:space="preserve">University of Aix </w:t>
            </w:r>
            <w:proofErr w:type="spellStart"/>
            <w:r w:rsidRPr="00871ECB">
              <w:t>en</w:t>
            </w:r>
            <w:proofErr w:type="spellEnd"/>
            <w:r w:rsidRPr="00871ECB">
              <w:t xml:space="preserve"> Provence, France</w:t>
            </w:r>
          </w:p>
        </w:tc>
      </w:tr>
      <w:tr w:rsidR="00B63615" w:rsidRPr="00871ECB" w14:paraId="66806DD6" w14:textId="77777777" w:rsidTr="00871ECB">
        <w:tc>
          <w:tcPr>
            <w:tcW w:w="2268" w:type="dxa"/>
            <w:shd w:val="clear" w:color="auto" w:fill="auto"/>
          </w:tcPr>
          <w:p w14:paraId="72E6F803"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21C589DF" w14:textId="77777777" w:rsidR="00B63615" w:rsidRPr="00871ECB" w:rsidRDefault="00B63615" w:rsidP="00871ECB">
            <w:pPr>
              <w:pStyle w:val="SingleTxtG"/>
              <w:spacing w:before="40" w:line="220" w:lineRule="exact"/>
              <w:ind w:left="0" w:right="113"/>
              <w:jc w:val="left"/>
            </w:pPr>
            <w:r w:rsidRPr="00871ECB">
              <w:t>Member</w:t>
            </w:r>
          </w:p>
        </w:tc>
        <w:tc>
          <w:tcPr>
            <w:tcW w:w="3167" w:type="dxa"/>
            <w:shd w:val="clear" w:color="auto" w:fill="auto"/>
          </w:tcPr>
          <w:p w14:paraId="3246F060" w14:textId="77777777" w:rsidR="00B63615" w:rsidRPr="00871ECB" w:rsidRDefault="00B63615" w:rsidP="00871ECB">
            <w:pPr>
              <w:pStyle w:val="SingleTxtG"/>
              <w:spacing w:before="40" w:line="220" w:lineRule="exact"/>
              <w:ind w:left="0" w:right="113"/>
              <w:jc w:val="left"/>
            </w:pPr>
            <w:r w:rsidRPr="00871ECB">
              <w:t>Law Reform Commission</w:t>
            </w:r>
          </w:p>
        </w:tc>
      </w:tr>
      <w:tr w:rsidR="00B63615" w:rsidRPr="00871ECB" w14:paraId="78B74FA2" w14:textId="77777777" w:rsidTr="00871ECB">
        <w:tc>
          <w:tcPr>
            <w:tcW w:w="2268" w:type="dxa"/>
            <w:shd w:val="clear" w:color="auto" w:fill="auto"/>
          </w:tcPr>
          <w:p w14:paraId="68029836"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469637EB" w14:textId="77777777" w:rsidR="00B63615" w:rsidRPr="00871ECB" w:rsidRDefault="00B63615" w:rsidP="00871ECB">
            <w:pPr>
              <w:pStyle w:val="SingleTxtG"/>
              <w:spacing w:before="40" w:line="220" w:lineRule="exact"/>
              <w:ind w:left="0" w:right="113"/>
              <w:jc w:val="left"/>
            </w:pPr>
            <w:r w:rsidRPr="00871ECB">
              <w:t>Member</w:t>
            </w:r>
          </w:p>
        </w:tc>
        <w:tc>
          <w:tcPr>
            <w:tcW w:w="3167" w:type="dxa"/>
            <w:shd w:val="clear" w:color="auto" w:fill="auto"/>
          </w:tcPr>
          <w:p w14:paraId="0BEC0638" w14:textId="77777777" w:rsidR="00B63615" w:rsidRPr="00871ECB" w:rsidRDefault="00B63615" w:rsidP="00871ECB">
            <w:pPr>
              <w:pStyle w:val="SingleTxtG"/>
              <w:spacing w:before="40" w:line="220" w:lineRule="exact"/>
              <w:ind w:left="0" w:right="113"/>
              <w:jc w:val="left"/>
            </w:pPr>
            <w:r w:rsidRPr="00871ECB">
              <w:t>Council of Legal Education</w:t>
            </w:r>
          </w:p>
        </w:tc>
      </w:tr>
      <w:tr w:rsidR="00B63615" w:rsidRPr="00871ECB" w14:paraId="0CAA5D72" w14:textId="77777777" w:rsidTr="00871ECB">
        <w:tc>
          <w:tcPr>
            <w:tcW w:w="2268" w:type="dxa"/>
            <w:shd w:val="clear" w:color="auto" w:fill="auto"/>
          </w:tcPr>
          <w:p w14:paraId="2B76EA05" w14:textId="77777777" w:rsidR="00B63615" w:rsidRPr="00871ECB" w:rsidRDefault="00B63615" w:rsidP="00871ECB">
            <w:pPr>
              <w:pStyle w:val="SingleTxtG"/>
              <w:spacing w:before="40" w:line="220" w:lineRule="exact"/>
              <w:ind w:left="0" w:right="113"/>
              <w:jc w:val="left"/>
            </w:pPr>
          </w:p>
        </w:tc>
        <w:tc>
          <w:tcPr>
            <w:tcW w:w="1935" w:type="dxa"/>
            <w:shd w:val="clear" w:color="auto" w:fill="auto"/>
          </w:tcPr>
          <w:p w14:paraId="0BFC9883" w14:textId="77777777" w:rsidR="00B63615" w:rsidRPr="00871ECB" w:rsidRDefault="00B63615" w:rsidP="00871ECB">
            <w:pPr>
              <w:pStyle w:val="SingleTxtG"/>
              <w:spacing w:before="40" w:line="220" w:lineRule="exact"/>
              <w:ind w:left="0" w:right="113"/>
              <w:jc w:val="left"/>
            </w:pPr>
            <w:r w:rsidRPr="00871ECB">
              <w:t>From State Counsel to Principal State Counsel</w:t>
            </w:r>
          </w:p>
        </w:tc>
        <w:tc>
          <w:tcPr>
            <w:tcW w:w="3167" w:type="dxa"/>
            <w:shd w:val="clear" w:color="auto" w:fill="auto"/>
          </w:tcPr>
          <w:p w14:paraId="74739322" w14:textId="77777777" w:rsidR="00B63615" w:rsidRPr="00871ECB" w:rsidRDefault="00B63615" w:rsidP="00871ECB">
            <w:pPr>
              <w:pStyle w:val="SingleTxtG"/>
              <w:spacing w:before="40" w:line="220" w:lineRule="exact"/>
              <w:ind w:left="0" w:right="113"/>
              <w:jc w:val="left"/>
            </w:pPr>
            <w:r w:rsidRPr="00871ECB">
              <w:t>Attorney General</w:t>
            </w:r>
            <w:r w:rsidR="00CB3B85">
              <w:t>’</w:t>
            </w:r>
            <w:r w:rsidRPr="00871ECB">
              <w:t>s Office and Office of Director of Public Prosecutions</w:t>
            </w:r>
          </w:p>
          <w:p w14:paraId="10E06C60" w14:textId="77777777" w:rsidR="00B63615" w:rsidRPr="00871ECB" w:rsidRDefault="00B63615" w:rsidP="00871ECB">
            <w:pPr>
              <w:pStyle w:val="SingleTxtG"/>
              <w:spacing w:before="40" w:line="220" w:lineRule="exact"/>
              <w:ind w:left="0" w:right="113"/>
              <w:jc w:val="left"/>
            </w:pPr>
            <w:r w:rsidRPr="00871ECB">
              <w:t>(1974</w:t>
            </w:r>
            <w:r w:rsidR="00F96DA5" w:rsidRPr="00871ECB">
              <w:t>–</w:t>
            </w:r>
            <w:r w:rsidRPr="00871ECB">
              <w:t>1984)</w:t>
            </w:r>
          </w:p>
        </w:tc>
      </w:tr>
    </w:tbl>
    <w:p w14:paraId="7ECF8539" w14:textId="77777777" w:rsidR="00B63615" w:rsidRPr="00DC299F" w:rsidRDefault="00B63615" w:rsidP="00871ECB">
      <w:pPr>
        <w:pStyle w:val="H1G"/>
      </w:pPr>
      <w:r w:rsidRPr="00DC299F">
        <w:tab/>
      </w:r>
      <w:r w:rsidRPr="00DC299F">
        <w:tab/>
        <w:t>Professional experience</w:t>
      </w:r>
    </w:p>
    <w:p w14:paraId="7A36DF5A" w14:textId="77777777" w:rsidR="00B63615" w:rsidRPr="00DC299F" w:rsidRDefault="00B63615" w:rsidP="00B63615">
      <w:pPr>
        <w:pStyle w:val="SingleTxtG"/>
      </w:pPr>
      <w:r w:rsidRPr="00DC299F">
        <w:t xml:space="preserve">Mr. </w:t>
      </w:r>
      <w:proofErr w:type="spellStart"/>
      <w:r w:rsidRPr="00DC299F">
        <w:t>Seetulsingh</w:t>
      </w:r>
      <w:proofErr w:type="spellEnd"/>
      <w:r w:rsidRPr="00DC299F">
        <w:t xml:space="preserve"> has produced important reports on the sugar cane industry, relations between millers and planters, the duties of Local Government councillors, the University of Mauritius, Legal studies and functioning of private secondary education.</w:t>
      </w:r>
    </w:p>
    <w:p w14:paraId="26238572" w14:textId="77777777" w:rsidR="00B63615" w:rsidRPr="00DC299F" w:rsidRDefault="00B63615" w:rsidP="00B63615">
      <w:pPr>
        <w:pStyle w:val="SingleTxtG"/>
      </w:pPr>
      <w:r w:rsidRPr="00DC299F">
        <w:t>As a Judge of the Supreme Court he has been responsible for several ground breaking judgments, namely on the electoral system and on human rights.</w:t>
      </w:r>
    </w:p>
    <w:p w14:paraId="3BC322BB" w14:textId="77777777" w:rsidR="00B63615" w:rsidRPr="00DC299F" w:rsidRDefault="00B63615" w:rsidP="00B63615">
      <w:pPr>
        <w:pStyle w:val="SingleTxtG"/>
      </w:pPr>
      <w:r w:rsidRPr="00DC299F">
        <w:t>At the level of the National Human Rights Commission he has reported regularly on human rights issues in the country, especially the rights of suspects and victims, changing the attitude of the police, improving conditions of detention in prisons, respect for environmental laws, compliance with international norms and treaty obligations. He has contributed widely to imparting human rights education to police officers, prisons officers, trade unionists, teachers, students and members of the public at large.</w:t>
      </w:r>
    </w:p>
    <w:p w14:paraId="4818423D" w14:textId="77777777" w:rsidR="00B63615" w:rsidRPr="00DC299F" w:rsidRDefault="00B63615" w:rsidP="00B63615">
      <w:pPr>
        <w:pStyle w:val="SingleTxtG"/>
      </w:pPr>
      <w:r w:rsidRPr="00DC299F">
        <w:lastRenderedPageBreak/>
        <w:t>He has assisted in setting up a National Preventive Mechanism to protect the rights of detainees as required by ratification of the Optional Protocol to the Convention against Torture. He is responsible for making recommendations for reviews of criminal convictions by the Supreme Court where there is fresh and compelling evidence.</w:t>
      </w:r>
    </w:p>
    <w:p w14:paraId="65B203FC" w14:textId="77777777" w:rsidR="00B63615" w:rsidRPr="00DC299F" w:rsidRDefault="00B63615" w:rsidP="00B63615">
      <w:pPr>
        <w:pStyle w:val="SingleTxtG"/>
      </w:pPr>
      <w:r w:rsidRPr="00DC299F">
        <w:t xml:space="preserve">Mr. </w:t>
      </w:r>
      <w:proofErr w:type="spellStart"/>
      <w:r w:rsidRPr="00DC299F">
        <w:t>Seetulsingh</w:t>
      </w:r>
      <w:proofErr w:type="spellEnd"/>
      <w:r w:rsidRPr="00DC299F">
        <w:t xml:space="preserve"> has participated actively in International Workshops and Conferences on issues linked to human rights such as HIV/AIDS, International and Regional Cooperation on Human Rights, the Rights of Persons with Disabilities and the Rights of Older Persons at the level of the African Union, the African Commission on Human and Peoples</w:t>
      </w:r>
      <w:r w:rsidR="00CB3B85">
        <w:t>’</w:t>
      </w:r>
      <w:r w:rsidRPr="00DC299F">
        <w:t xml:space="preserve"> Rights, the Office of the High Commissioner for Human Rights, the Commonwealth and Francophone Associations.</w:t>
      </w:r>
    </w:p>
    <w:p w14:paraId="794FD4FA" w14:textId="77777777" w:rsidR="00B63615" w:rsidRPr="00DC299F" w:rsidRDefault="00B63615" w:rsidP="00B63615">
      <w:pPr>
        <w:pStyle w:val="SingleTxtG"/>
      </w:pPr>
      <w:r w:rsidRPr="00DC299F">
        <w:t>As Chairman of the Stock Exchange Commission he drafted rules to protect shareholders</w:t>
      </w:r>
      <w:r w:rsidR="00CB3B85">
        <w:t>’</w:t>
      </w:r>
      <w:r w:rsidRPr="00DC299F">
        <w:t xml:space="preserve"> rights to enable greater participation in the running of public companies and to ensure good governance and democratization of the economy.</w:t>
      </w:r>
    </w:p>
    <w:p w14:paraId="06AA7362" w14:textId="77777777" w:rsidR="00B63615" w:rsidRPr="00DC299F" w:rsidRDefault="00B63615" w:rsidP="00B63615">
      <w:pPr>
        <w:pStyle w:val="SingleTxtG"/>
      </w:pPr>
      <w:r w:rsidRPr="00DC299F">
        <w:t>As Solicitor-General he was responsible for providing legal advice to Government and for drafting of laws, among others, on human rights and protection of citizens</w:t>
      </w:r>
      <w:r w:rsidR="00CB3B85">
        <w:t>’</w:t>
      </w:r>
      <w:r w:rsidRPr="00DC299F">
        <w:t xml:space="preserve"> rights and for reporting to Treaty Bodies. He strengthened the mechanism to improve relations between employers and employees, thereby ensuring the protection of workers</w:t>
      </w:r>
      <w:r w:rsidR="00CB3B85">
        <w:t>’</w:t>
      </w:r>
      <w:r w:rsidRPr="00DC299F">
        <w:t xml:space="preserve"> rights.</w:t>
      </w:r>
    </w:p>
    <w:p w14:paraId="5419341E" w14:textId="77777777" w:rsidR="00B63615" w:rsidRPr="00DC299F" w:rsidRDefault="00B63615" w:rsidP="00B63615">
      <w:pPr>
        <w:pStyle w:val="SingleTxtG"/>
      </w:pPr>
      <w:r w:rsidRPr="00DC299F">
        <w:t xml:space="preserve">As a member of the Advisory Committee to the Human Rights Council. Mr. </w:t>
      </w:r>
      <w:proofErr w:type="spellStart"/>
      <w:r w:rsidRPr="00DC299F">
        <w:t>Seetulsingh</w:t>
      </w:r>
      <w:proofErr w:type="spellEnd"/>
      <w:r w:rsidRPr="00DC299F">
        <w:t xml:space="preserve"> participated actively in the drafting of the Declaration on Human Rights Education and Training. He contributed to the work on the right to food, on the rights of peasants, on the right to international solidarity, on the right to peace and more specifically on the Principles and Guidelines for the protection of persons affected by Leprosy. He chaired the Working Group on the enhancement of international cooperation in the field of human rights. He was on the Advisory Committee Working Group on Communications which deals with complaints against violations of human rights worldwide.</w:t>
      </w:r>
    </w:p>
    <w:p w14:paraId="65F1419B" w14:textId="77777777" w:rsidR="00B63615" w:rsidRPr="00DC299F" w:rsidRDefault="00B63615" w:rsidP="00B63615">
      <w:pPr>
        <w:pStyle w:val="SingleTxtG"/>
      </w:pPr>
      <w:r w:rsidRPr="00DC299F">
        <w:t xml:space="preserve">As a member and Vice-President of the Human Rights Committee set up under the International Covenant on Civil and Political Rights, Mr. </w:t>
      </w:r>
      <w:proofErr w:type="spellStart"/>
      <w:r w:rsidRPr="00DC299F">
        <w:t>Seetulsingh</w:t>
      </w:r>
      <w:proofErr w:type="spellEnd"/>
      <w:r w:rsidRPr="00DC299F">
        <w:t xml:space="preserve"> played an active part as Rapporteur or Member in Task Forces examining Country Reports and in Working Groups on Communications dealing with complaints of violations of human rights from individuals and contributed constructively to the jurisprudence of the Human Rights Committee. He participated in the discussions on the General Comment of the Committee dealing with the right to a fair trial and on the new draft General Comment on the right to life.</w:t>
      </w:r>
      <w:bookmarkStart w:id="0" w:name="_GoBack"/>
      <w:bookmarkEnd w:id="0"/>
    </w:p>
    <w:sectPr w:rsidR="00B63615" w:rsidRPr="00DC299F" w:rsidSect="00CA1B04">
      <w:footerReference w:type="even" r:id="rId8"/>
      <w:footerReference w:type="default" r:id="rId9"/>
      <w:headerReference w:type="firs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B7D7" w14:textId="77777777" w:rsidR="00AF2193" w:rsidRPr="00C47B2E" w:rsidRDefault="00AF2193" w:rsidP="00C47B2E">
      <w:pPr>
        <w:pStyle w:val="Footer"/>
      </w:pPr>
    </w:p>
  </w:endnote>
  <w:endnote w:type="continuationSeparator" w:id="0">
    <w:p w14:paraId="5ACF6498" w14:textId="77777777" w:rsidR="00AF2193" w:rsidRPr="00C47B2E" w:rsidRDefault="00AF2193" w:rsidP="00C47B2E">
      <w:pPr>
        <w:pStyle w:val="Footer"/>
      </w:pPr>
    </w:p>
  </w:endnote>
  <w:endnote w:type="continuationNotice" w:id="1">
    <w:p w14:paraId="4B0AFE85" w14:textId="77777777" w:rsidR="00AF2193" w:rsidRPr="00C47B2E" w:rsidRDefault="00AF21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D28" w14:textId="078831FE" w:rsidR="00AF2193" w:rsidRDefault="00AF2193" w:rsidP="00FC622D">
    <w:pPr>
      <w:pStyle w:val="Footer"/>
      <w:tabs>
        <w:tab w:val="right" w:pos="9638"/>
      </w:tabs>
    </w:pPr>
    <w:r w:rsidRPr="00B63615">
      <w:rPr>
        <w:b/>
        <w:bCs/>
        <w:sz w:val="18"/>
      </w:rPr>
      <w:fldChar w:fldCharType="begin"/>
    </w:r>
    <w:r w:rsidRPr="00B63615">
      <w:rPr>
        <w:b/>
        <w:bCs/>
        <w:sz w:val="18"/>
      </w:rPr>
      <w:instrText xml:space="preserve"> PAGE  \* MERGEFORMAT </w:instrText>
    </w:r>
    <w:r w:rsidRPr="00B63615">
      <w:rPr>
        <w:b/>
        <w:bCs/>
        <w:sz w:val="18"/>
      </w:rPr>
      <w:fldChar w:fldCharType="separate"/>
    </w:r>
    <w:r w:rsidR="00A21C34">
      <w:rPr>
        <w:b/>
        <w:bCs/>
        <w:noProof/>
        <w:sz w:val="18"/>
      </w:rPr>
      <w:t>2</w:t>
    </w:r>
    <w:r w:rsidRPr="00B6361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D998" w14:textId="2EB6F1AB" w:rsidR="00AF2193" w:rsidRDefault="00AF2193" w:rsidP="00B63615">
    <w:pPr>
      <w:pStyle w:val="Footer"/>
      <w:tabs>
        <w:tab w:val="right" w:pos="9638"/>
      </w:tabs>
    </w:pPr>
    <w:r>
      <w:tab/>
    </w:r>
    <w:r w:rsidRPr="00B63615">
      <w:rPr>
        <w:b/>
        <w:bCs/>
        <w:sz w:val="18"/>
      </w:rPr>
      <w:fldChar w:fldCharType="begin"/>
    </w:r>
    <w:r w:rsidRPr="00B63615">
      <w:rPr>
        <w:b/>
        <w:bCs/>
        <w:sz w:val="18"/>
      </w:rPr>
      <w:instrText xml:space="preserve"> PAGE  \* MERGEFORMAT </w:instrText>
    </w:r>
    <w:r w:rsidRPr="00B63615">
      <w:rPr>
        <w:b/>
        <w:bCs/>
        <w:sz w:val="18"/>
      </w:rPr>
      <w:fldChar w:fldCharType="separate"/>
    </w:r>
    <w:r w:rsidR="00A21C34">
      <w:rPr>
        <w:b/>
        <w:bCs/>
        <w:noProof/>
        <w:sz w:val="18"/>
      </w:rPr>
      <w:t>3</w:t>
    </w:r>
    <w:r w:rsidRPr="00B6361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528A" w14:textId="77777777" w:rsidR="00AF2193" w:rsidRPr="00C47B2E" w:rsidRDefault="00AF2193" w:rsidP="00C47B2E">
      <w:pPr>
        <w:tabs>
          <w:tab w:val="right" w:pos="2155"/>
        </w:tabs>
        <w:spacing w:after="80" w:line="240" w:lineRule="auto"/>
        <w:ind w:left="680"/>
      </w:pPr>
      <w:r>
        <w:rPr>
          <w:u w:val="single"/>
        </w:rPr>
        <w:tab/>
      </w:r>
    </w:p>
  </w:footnote>
  <w:footnote w:type="continuationSeparator" w:id="0">
    <w:p w14:paraId="10C0C2EB" w14:textId="77777777" w:rsidR="00AF2193" w:rsidRPr="00C47B2E" w:rsidRDefault="00AF2193" w:rsidP="005E716E">
      <w:pPr>
        <w:tabs>
          <w:tab w:val="right" w:pos="2155"/>
        </w:tabs>
        <w:spacing w:after="80" w:line="240" w:lineRule="auto"/>
        <w:ind w:left="680"/>
      </w:pPr>
      <w:r>
        <w:rPr>
          <w:u w:val="single"/>
        </w:rPr>
        <w:tab/>
      </w:r>
    </w:p>
  </w:footnote>
  <w:footnote w:type="continuationNotice" w:id="1">
    <w:p w14:paraId="4F536E71" w14:textId="77777777" w:rsidR="00AF2193" w:rsidRPr="00C47B2E" w:rsidRDefault="00AF2193"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CE5C" w14:textId="77777777" w:rsidR="00BD389F" w:rsidRDefault="00BD389F" w:rsidP="00A21C3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EC66AD6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9E32BE">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7"/>
    <w:rsid w:val="00024296"/>
    <w:rsid w:val="00046E92"/>
    <w:rsid w:val="00063C90"/>
    <w:rsid w:val="00072607"/>
    <w:rsid w:val="00081CBE"/>
    <w:rsid w:val="000A5142"/>
    <w:rsid w:val="000C64C3"/>
    <w:rsid w:val="00101B98"/>
    <w:rsid w:val="00133A1D"/>
    <w:rsid w:val="00155EF9"/>
    <w:rsid w:val="00205FD2"/>
    <w:rsid w:val="00247E2C"/>
    <w:rsid w:val="002A32CB"/>
    <w:rsid w:val="002A3F5D"/>
    <w:rsid w:val="002D6C53"/>
    <w:rsid w:val="002F5595"/>
    <w:rsid w:val="00334F6A"/>
    <w:rsid w:val="00342AC8"/>
    <w:rsid w:val="00344C56"/>
    <w:rsid w:val="003621E6"/>
    <w:rsid w:val="003B4550"/>
    <w:rsid w:val="0040017C"/>
    <w:rsid w:val="00417878"/>
    <w:rsid w:val="00435240"/>
    <w:rsid w:val="00461253"/>
    <w:rsid w:val="0046635A"/>
    <w:rsid w:val="004A2814"/>
    <w:rsid w:val="004C0622"/>
    <w:rsid w:val="004D10F9"/>
    <w:rsid w:val="005042C2"/>
    <w:rsid w:val="00522773"/>
    <w:rsid w:val="00534067"/>
    <w:rsid w:val="0057160F"/>
    <w:rsid w:val="0058050E"/>
    <w:rsid w:val="005E716E"/>
    <w:rsid w:val="00604838"/>
    <w:rsid w:val="0063322F"/>
    <w:rsid w:val="00671529"/>
    <w:rsid w:val="0070489D"/>
    <w:rsid w:val="007268F9"/>
    <w:rsid w:val="007278E7"/>
    <w:rsid w:val="007B17CF"/>
    <w:rsid w:val="007C52B0"/>
    <w:rsid w:val="0081787E"/>
    <w:rsid w:val="008338E5"/>
    <w:rsid w:val="00861B4E"/>
    <w:rsid w:val="00871ECB"/>
    <w:rsid w:val="008828F7"/>
    <w:rsid w:val="008A62A6"/>
    <w:rsid w:val="008E379D"/>
    <w:rsid w:val="008F08AE"/>
    <w:rsid w:val="009411B4"/>
    <w:rsid w:val="00962A56"/>
    <w:rsid w:val="00987D02"/>
    <w:rsid w:val="00991782"/>
    <w:rsid w:val="009D0139"/>
    <w:rsid w:val="009D717D"/>
    <w:rsid w:val="009F5CDC"/>
    <w:rsid w:val="00A21C34"/>
    <w:rsid w:val="00A775CF"/>
    <w:rsid w:val="00AB6A77"/>
    <w:rsid w:val="00AF2193"/>
    <w:rsid w:val="00B06045"/>
    <w:rsid w:val="00B451A1"/>
    <w:rsid w:val="00B52EF4"/>
    <w:rsid w:val="00B63615"/>
    <w:rsid w:val="00B924EC"/>
    <w:rsid w:val="00BD389F"/>
    <w:rsid w:val="00BF22BF"/>
    <w:rsid w:val="00C03015"/>
    <w:rsid w:val="00C0358D"/>
    <w:rsid w:val="00C35A27"/>
    <w:rsid w:val="00C47B2E"/>
    <w:rsid w:val="00CA1B04"/>
    <w:rsid w:val="00CB3B85"/>
    <w:rsid w:val="00D31683"/>
    <w:rsid w:val="00D828C6"/>
    <w:rsid w:val="00DA63D2"/>
    <w:rsid w:val="00DD163C"/>
    <w:rsid w:val="00E02C2B"/>
    <w:rsid w:val="00E52109"/>
    <w:rsid w:val="00E75317"/>
    <w:rsid w:val="00ED6C48"/>
    <w:rsid w:val="00EE1AC3"/>
    <w:rsid w:val="00F2686F"/>
    <w:rsid w:val="00F65F5D"/>
    <w:rsid w:val="00F86A3A"/>
    <w:rsid w:val="00F96DA5"/>
    <w:rsid w:val="00FC622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A267B"/>
  <w15:docId w15:val="{53FB1995-5D1B-4A56-90ED-60840E9E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B63615"/>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63615"/>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B63615"/>
    <w:rPr>
      <w:rFonts w:ascii="Times New Roman" w:hAnsi="Times New Roman" w:cs="Times New Roman"/>
      <w:b/>
      <w:sz w:val="18"/>
      <w:szCs w:val="20"/>
    </w:rPr>
  </w:style>
  <w:style w:type="paragraph" w:styleId="Footer">
    <w:name w:val="footer"/>
    <w:aliases w:val="3_G"/>
    <w:basedOn w:val="Normal"/>
    <w:link w:val="FooterChar"/>
    <w:rsid w:val="00B63615"/>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B63615"/>
    <w:rPr>
      <w:rFonts w:ascii="Times New Roman" w:hAnsi="Times New Roman" w:cs="Times New Roman"/>
      <w:sz w:val="16"/>
      <w:szCs w:val="20"/>
    </w:rPr>
  </w:style>
  <w:style w:type="paragraph" w:customStyle="1" w:styleId="HMG">
    <w:name w:val="_ H __M_G"/>
    <w:basedOn w:val="Normal"/>
    <w:next w:val="Normal"/>
    <w:rsid w:val="00B63615"/>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B63615"/>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B63615"/>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B63615"/>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B63615"/>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B6361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B63615"/>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6361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B63615"/>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B63615"/>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B63615"/>
    <w:pPr>
      <w:numPr>
        <w:numId w:val="19"/>
      </w:numPr>
    </w:pPr>
  </w:style>
  <w:style w:type="numbering" w:styleId="111111">
    <w:name w:val="Outline List 2"/>
    <w:basedOn w:val="NoList"/>
    <w:semiHidden/>
    <w:rsid w:val="00B63615"/>
    <w:pPr>
      <w:numPr>
        <w:numId w:val="15"/>
      </w:numPr>
    </w:pPr>
  </w:style>
  <w:style w:type="numbering" w:styleId="1ai">
    <w:name w:val="Outline List 1"/>
    <w:basedOn w:val="NoList"/>
    <w:semiHidden/>
    <w:rsid w:val="00B63615"/>
    <w:pPr>
      <w:numPr>
        <w:numId w:val="6"/>
      </w:numPr>
    </w:pPr>
  </w:style>
  <w:style w:type="character" w:styleId="EndnoteReference">
    <w:name w:val="endnote reference"/>
    <w:aliases w:val="1_G"/>
    <w:rsid w:val="00B63615"/>
    <w:rPr>
      <w:rFonts w:ascii="Times New Roman" w:hAnsi="Times New Roman"/>
      <w:sz w:val="18"/>
      <w:vertAlign w:val="superscript"/>
    </w:rPr>
  </w:style>
  <w:style w:type="paragraph" w:styleId="FootnoteText">
    <w:name w:val="footnote text"/>
    <w:aliases w:val="5_G"/>
    <w:basedOn w:val="Normal"/>
    <w:link w:val="FootnoteTextChar"/>
    <w:rsid w:val="00B6361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63615"/>
    <w:rPr>
      <w:rFonts w:ascii="Times New Roman" w:hAnsi="Times New Roman" w:cs="Times New Roman"/>
      <w:sz w:val="18"/>
      <w:szCs w:val="20"/>
    </w:rPr>
  </w:style>
  <w:style w:type="paragraph" w:styleId="EndnoteText">
    <w:name w:val="endnote text"/>
    <w:aliases w:val="2_G"/>
    <w:basedOn w:val="FootnoteText"/>
    <w:link w:val="EndnoteTextChar"/>
    <w:rsid w:val="00B63615"/>
  </w:style>
  <w:style w:type="character" w:customStyle="1" w:styleId="EndnoteTextChar">
    <w:name w:val="Endnote Text Char"/>
    <w:aliases w:val="2_G Char"/>
    <w:basedOn w:val="DefaultParagraphFont"/>
    <w:link w:val="EndnoteText"/>
    <w:rsid w:val="00B63615"/>
    <w:rPr>
      <w:rFonts w:ascii="Times New Roman" w:hAnsi="Times New Roman" w:cs="Times New Roman"/>
      <w:sz w:val="18"/>
      <w:szCs w:val="20"/>
    </w:rPr>
  </w:style>
  <w:style w:type="character" w:styleId="FootnoteReference">
    <w:name w:val="footnote reference"/>
    <w:aliases w:val="4_G"/>
    <w:rsid w:val="00B6361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6361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63615"/>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63615"/>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8A62A6"/>
    <w:rPr>
      <w:sz w:val="16"/>
      <w:szCs w:val="16"/>
    </w:rPr>
  </w:style>
  <w:style w:type="paragraph" w:styleId="CommentText">
    <w:name w:val="annotation text"/>
    <w:basedOn w:val="Normal"/>
    <w:link w:val="CommentTextChar"/>
    <w:uiPriority w:val="99"/>
    <w:semiHidden/>
    <w:unhideWhenUsed/>
    <w:rsid w:val="008A62A6"/>
    <w:pPr>
      <w:spacing w:line="240" w:lineRule="auto"/>
    </w:pPr>
  </w:style>
  <w:style w:type="character" w:customStyle="1" w:styleId="CommentTextChar">
    <w:name w:val="Comment Text Char"/>
    <w:basedOn w:val="DefaultParagraphFont"/>
    <w:link w:val="CommentText"/>
    <w:uiPriority w:val="99"/>
    <w:semiHidden/>
    <w:rsid w:val="008A62A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62A6"/>
    <w:rPr>
      <w:b/>
      <w:bCs/>
    </w:rPr>
  </w:style>
  <w:style w:type="character" w:customStyle="1" w:styleId="CommentSubjectChar">
    <w:name w:val="Comment Subject Char"/>
    <w:basedOn w:val="CommentTextChar"/>
    <w:link w:val="CommentSubject"/>
    <w:uiPriority w:val="99"/>
    <w:semiHidden/>
    <w:rsid w:val="008A62A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9D1D4B-0328-4B68-ABFD-2D5C92AA955B}">
  <ds:schemaRefs>
    <ds:schemaRef ds:uri="http://schemas.openxmlformats.org/officeDocument/2006/bibliography"/>
  </ds:schemaRefs>
</ds:datastoreItem>
</file>

<file path=customXml/itemProps2.xml><?xml version="1.0" encoding="utf-8"?>
<ds:datastoreItem xmlns:ds="http://schemas.openxmlformats.org/officeDocument/2006/customXml" ds:itemID="{0221F489-221F-4014-A8C5-1972D6F31A11}"/>
</file>

<file path=customXml/itemProps3.xml><?xml version="1.0" encoding="utf-8"?>
<ds:datastoreItem xmlns:ds="http://schemas.openxmlformats.org/officeDocument/2006/customXml" ds:itemID="{63C92C78-1166-490B-A525-82D9F23AD413}"/>
</file>

<file path=customXml/itemProps4.xml><?xml version="1.0" encoding="utf-8"?>
<ds:datastoreItem xmlns:ds="http://schemas.openxmlformats.org/officeDocument/2006/customXml" ds:itemID="{6C8D601E-33DB-421B-B22C-2D057AD168A5}"/>
</file>

<file path=docProps/app.xml><?xml version="1.0" encoding="utf-8"?>
<Properties xmlns="http://schemas.openxmlformats.org/officeDocument/2006/extended-properties" xmlns:vt="http://schemas.openxmlformats.org/officeDocument/2006/docPropsVTypes">
  <Template>A.dotm</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A/HRC/45/59</vt:lpstr>
    </vt:vector>
  </TitlesOfParts>
  <Company>DCM</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A/HRC/45/59</dc:title>
  <dc:subject>2009779</dc:subject>
  <dc:creator>dm</dc:creator>
  <cp:keywords/>
  <dc:description/>
  <cp:lastModifiedBy>KIRBY Danielle</cp:lastModifiedBy>
  <cp:revision>3</cp:revision>
  <dcterms:created xsi:type="dcterms:W3CDTF">2020-11-03T14:55:00Z</dcterms:created>
  <dcterms:modified xsi:type="dcterms:W3CDTF">2020-11-03T15:20:00Z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