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5D82" w:rsidRDefault="009C6CAA">
      <w:pPr>
        <w:jc w:val="center"/>
      </w:pPr>
      <w:r>
        <w:rPr>
          <w:b/>
          <w:sz w:val="26"/>
          <w:u w:val="single"/>
        </w:rPr>
        <w:t>The situation of human rights of persons living with albinism</w:t>
      </w:r>
    </w:p>
    <w:p w:rsidR="00345D82" w:rsidRDefault="00345D82">
      <w:pPr>
        <w:jc w:val="center"/>
      </w:pPr>
    </w:p>
    <w:p w:rsidR="00345D82" w:rsidRDefault="009C6CAA">
      <w:pPr>
        <w:jc w:val="center"/>
      </w:pPr>
      <w:r>
        <w:rPr>
          <w:b/>
          <w:sz w:val="26"/>
        </w:rPr>
        <w:t xml:space="preserve">QUESTIONNAIRE </w:t>
      </w:r>
    </w:p>
    <w:p w:rsidR="00345D82" w:rsidRDefault="00345D82">
      <w:pPr>
        <w:jc w:val="center"/>
      </w:pPr>
    </w:p>
    <w:p w:rsidR="00345D82" w:rsidRDefault="009C6CAA">
      <w:pPr>
        <w:jc w:val="both"/>
      </w:pPr>
      <w:r>
        <w:rPr>
          <w:i/>
          <w:sz w:val="26"/>
        </w:rPr>
        <w:t xml:space="preserve">As part of the consultations undertaken by the Human Rights Council Advisory Committee with </w:t>
      </w:r>
      <w:r>
        <w:rPr>
          <w:b/>
          <w:i/>
          <w:sz w:val="26"/>
        </w:rPr>
        <w:t>States, national human rights institutions and non-governmental organizations</w:t>
      </w:r>
      <w:r>
        <w:rPr>
          <w:i/>
          <w:sz w:val="26"/>
        </w:rPr>
        <w:t>, with a view to preparing a study on the situation of human rights of persons living with albinism, pursuant to Council resolution 24/33.</w:t>
      </w:r>
    </w:p>
    <w:p w:rsidR="00345D82" w:rsidRDefault="00345D82"/>
    <w:p w:rsidR="00345D82" w:rsidRDefault="00345D82"/>
    <w:p w:rsidR="00345D82" w:rsidRDefault="00345D82"/>
    <w:p w:rsidR="00345D82" w:rsidRDefault="009C6CAA">
      <w:r>
        <w:rPr>
          <w:b/>
          <w:sz w:val="22"/>
          <w:u w:val="single"/>
        </w:rPr>
        <w:t>Background</w:t>
      </w:r>
    </w:p>
    <w:p w:rsidR="00345D82" w:rsidRDefault="00345D82">
      <w:pPr>
        <w:jc w:val="center"/>
      </w:pPr>
    </w:p>
    <w:p w:rsidR="00345D82" w:rsidRDefault="009C6CAA">
      <w:pPr>
        <w:jc w:val="both"/>
      </w:pPr>
      <w:r>
        <w:rPr>
          <w:sz w:val="22"/>
        </w:rPr>
        <w:t>In its resolution 24/33, the Human Rights Council requested the Advisory Committee to prepare a study on the situation of human rights of persons living with albinism, and to present a report thereon to the Council at its twenty-eighth session.</w:t>
      </w:r>
    </w:p>
    <w:p w:rsidR="00345D82" w:rsidRDefault="00345D82">
      <w:pPr>
        <w:jc w:val="both"/>
      </w:pPr>
    </w:p>
    <w:p w:rsidR="00345D82" w:rsidRDefault="009C6CAA">
      <w:pPr>
        <w:jc w:val="both"/>
      </w:pPr>
      <w:r>
        <w:rPr>
          <w:sz w:val="22"/>
        </w:rPr>
        <w:t>It is therefore in this context that the Advisory Committee decided, at its twelfth session held in February 2014, to appoint a drafting group</w:t>
      </w:r>
      <w:r>
        <w:rPr>
          <w:sz w:val="18"/>
          <w:vertAlign w:val="superscript"/>
        </w:rPr>
        <w:footnoteReference w:id="1"/>
      </w:r>
      <w:r>
        <w:rPr>
          <w:sz w:val="22"/>
        </w:rPr>
        <w:t xml:space="preserve"> in charge of the preparation of this study. The drafting group will present a progress report at the thirteenth of the Committee in August 2014, before its submission to the twenty-eighth session of the Council (March 2015). </w:t>
      </w:r>
    </w:p>
    <w:p w:rsidR="00345D82" w:rsidRDefault="00345D82">
      <w:pPr>
        <w:jc w:val="both"/>
      </w:pPr>
    </w:p>
    <w:p w:rsidR="00345D82" w:rsidRDefault="009C6CAA">
      <w:pPr>
        <w:jc w:val="both"/>
      </w:pPr>
      <w:r>
        <w:rPr>
          <w:sz w:val="22"/>
        </w:rPr>
        <w:t>In this connection, the drafting group decided, in its preparation of the report, to seek views and inputs from different stakeholders</w:t>
      </w:r>
      <w:r>
        <w:rPr>
          <w:b/>
          <w:sz w:val="22"/>
        </w:rPr>
        <w:t xml:space="preserve"> </w:t>
      </w:r>
      <w:r>
        <w:rPr>
          <w:sz w:val="22"/>
        </w:rPr>
        <w:t>dealing with the issue of the situation of human rights of persons living with albinism. The drafting group therefore elaborated the hereunder questionnaire for States, national human rights institutions and non-governmental organizations.</w:t>
      </w:r>
    </w:p>
    <w:p w:rsidR="00345D82" w:rsidRDefault="00345D82">
      <w:pPr>
        <w:jc w:val="center"/>
      </w:pPr>
    </w:p>
    <w:p w:rsidR="00345D82" w:rsidRDefault="00345D82">
      <w:pPr>
        <w:jc w:val="center"/>
      </w:pPr>
    </w:p>
    <w:p w:rsidR="00345D82" w:rsidRDefault="009C6CAA">
      <w:pPr>
        <w:spacing w:after="200" w:line="276" w:lineRule="auto"/>
        <w:jc w:val="center"/>
      </w:pPr>
      <w:r>
        <w:rPr>
          <w:b/>
          <w:sz w:val="24"/>
        </w:rPr>
        <w:t>QUESTIONNAIRE</w:t>
      </w:r>
    </w:p>
    <w:p w:rsidR="00345D82" w:rsidRPr="00D93A4C" w:rsidRDefault="009C6CAA">
      <w:pPr>
        <w:numPr>
          <w:ilvl w:val="0"/>
          <w:numId w:val="1"/>
        </w:numPr>
        <w:spacing w:after="200" w:line="276" w:lineRule="auto"/>
        <w:ind w:left="0" w:hanging="359"/>
        <w:jc w:val="both"/>
      </w:pPr>
      <w:r>
        <w:rPr>
          <w:sz w:val="24"/>
        </w:rPr>
        <w:t xml:space="preserve">What is the human rights situation of persons living with albinism in your country or in any country you are familiar with? Are they considered a </w:t>
      </w:r>
      <w:commentRangeStart w:id="0"/>
      <w:r>
        <w:rPr>
          <w:sz w:val="24"/>
        </w:rPr>
        <w:t>particular social group</w:t>
      </w:r>
      <w:commentRangeEnd w:id="0"/>
      <w:r w:rsidR="004222F7">
        <w:rPr>
          <w:rStyle w:val="CommentReference"/>
        </w:rPr>
        <w:commentReference w:id="0"/>
      </w:r>
      <w:r>
        <w:rPr>
          <w:sz w:val="24"/>
        </w:rPr>
        <w:t xml:space="preserve">? Are they </w:t>
      </w:r>
      <w:commentRangeStart w:id="1"/>
      <w:r>
        <w:rPr>
          <w:sz w:val="24"/>
        </w:rPr>
        <w:t>considered disabled</w:t>
      </w:r>
      <w:commentRangeEnd w:id="1"/>
      <w:r w:rsidR="004222F7">
        <w:rPr>
          <w:rStyle w:val="CommentReference"/>
        </w:rPr>
        <w:commentReference w:id="1"/>
      </w:r>
      <w:r>
        <w:rPr>
          <w:sz w:val="24"/>
        </w:rPr>
        <w:t xml:space="preserve">? </w:t>
      </w:r>
      <w:commentRangeStart w:id="2"/>
      <w:r>
        <w:rPr>
          <w:sz w:val="24"/>
        </w:rPr>
        <w:t>Are they considered to belong to another category</w:t>
      </w:r>
      <w:commentRangeEnd w:id="2"/>
      <w:r w:rsidR="004222F7">
        <w:rPr>
          <w:rStyle w:val="CommentReference"/>
        </w:rPr>
        <w:commentReference w:id="2"/>
      </w:r>
      <w:r>
        <w:rPr>
          <w:sz w:val="24"/>
        </w:rPr>
        <w:t>?</w:t>
      </w:r>
    </w:p>
    <w:p w:rsidR="00D93A4C" w:rsidRPr="00D93A4C" w:rsidRDefault="00D93A4C" w:rsidP="00D93A4C">
      <w:pPr>
        <w:spacing w:after="200" w:line="276" w:lineRule="auto"/>
        <w:jc w:val="both"/>
        <w:rPr>
          <w:rFonts w:ascii="Century Gothic" w:hAnsi="Century Gothic"/>
          <w:color w:val="FF0000"/>
        </w:rPr>
      </w:pPr>
      <w:r>
        <w:rPr>
          <w:rFonts w:ascii="Century Gothic" w:hAnsi="Century Gothic"/>
          <w:color w:val="FF0000"/>
          <w:sz w:val="24"/>
        </w:rPr>
        <w:t>In Australia, people with albinism are treated in the same way as any citizen. There is no specific category for them, and while they are (usually) eligible for financial assistance (disability payment) from the government due to low vision, that is the extent of the use of the term in regards to PWA.</w:t>
      </w:r>
    </w:p>
    <w:p w:rsidR="00345D82" w:rsidRPr="00D93A4C" w:rsidRDefault="009C6CAA">
      <w:pPr>
        <w:numPr>
          <w:ilvl w:val="0"/>
          <w:numId w:val="1"/>
        </w:numPr>
        <w:spacing w:after="200" w:line="276" w:lineRule="auto"/>
        <w:ind w:left="0" w:hanging="359"/>
        <w:jc w:val="both"/>
      </w:pPr>
      <w:r>
        <w:rPr>
          <w:sz w:val="24"/>
        </w:rPr>
        <w:t xml:space="preserve">Does your country, or any country you are familiar with, have </w:t>
      </w:r>
      <w:commentRangeStart w:id="3"/>
      <w:r>
        <w:rPr>
          <w:sz w:val="24"/>
        </w:rPr>
        <w:t>any problem of prejudice or stigmatization against the persons with albinism</w:t>
      </w:r>
      <w:commentRangeEnd w:id="3"/>
      <w:r w:rsidR="004222F7">
        <w:rPr>
          <w:rStyle w:val="CommentReference"/>
        </w:rPr>
        <w:commentReference w:id="3"/>
      </w:r>
      <w:r>
        <w:rPr>
          <w:sz w:val="24"/>
        </w:rPr>
        <w:t>? How serious is it?</w:t>
      </w:r>
    </w:p>
    <w:p w:rsidR="00D93A4C" w:rsidRPr="00D93A4C" w:rsidRDefault="00D93A4C" w:rsidP="00D93A4C">
      <w:pPr>
        <w:spacing w:after="200" w:line="276" w:lineRule="auto"/>
        <w:jc w:val="both"/>
        <w:rPr>
          <w:rFonts w:ascii="Century Gothic" w:hAnsi="Century Gothic"/>
          <w:color w:val="FF0000"/>
          <w:sz w:val="24"/>
          <w:szCs w:val="24"/>
        </w:rPr>
      </w:pPr>
      <w:r w:rsidRPr="00D93A4C">
        <w:rPr>
          <w:rFonts w:ascii="Century Gothic" w:hAnsi="Century Gothic"/>
          <w:color w:val="FF0000"/>
          <w:sz w:val="24"/>
          <w:szCs w:val="24"/>
        </w:rPr>
        <w:t>Not</w:t>
      </w:r>
      <w:r>
        <w:rPr>
          <w:rFonts w:ascii="Century Gothic" w:hAnsi="Century Gothic"/>
          <w:color w:val="FF0000"/>
          <w:sz w:val="24"/>
          <w:szCs w:val="24"/>
        </w:rPr>
        <w:t xml:space="preserve"> applicable in Australia.</w:t>
      </w:r>
    </w:p>
    <w:p w:rsidR="00345D82" w:rsidRPr="00D93A4C" w:rsidRDefault="009C6CAA" w:rsidP="00D93A4C">
      <w:pPr>
        <w:numPr>
          <w:ilvl w:val="0"/>
          <w:numId w:val="1"/>
        </w:numPr>
        <w:ind w:left="0" w:hanging="284"/>
      </w:pPr>
      <w:r>
        <w:rPr>
          <w:sz w:val="24"/>
        </w:rPr>
        <w:t xml:space="preserve">What are the </w:t>
      </w:r>
      <w:commentRangeStart w:id="4"/>
      <w:r>
        <w:rPr>
          <w:sz w:val="24"/>
        </w:rPr>
        <w:t xml:space="preserve">obstacles </w:t>
      </w:r>
      <w:commentRangeEnd w:id="4"/>
      <w:r w:rsidR="004222F7">
        <w:rPr>
          <w:rStyle w:val="CommentReference"/>
        </w:rPr>
        <w:commentReference w:id="4"/>
      </w:r>
      <w:r>
        <w:rPr>
          <w:sz w:val="24"/>
        </w:rPr>
        <w:t xml:space="preserve">that impede the efforts to improve the human rights situation of persons living with albinism? </w:t>
      </w:r>
    </w:p>
    <w:p w:rsidR="00D93A4C" w:rsidRPr="00D93A4C" w:rsidRDefault="00D93A4C" w:rsidP="00D93A4C"/>
    <w:p w:rsidR="00D93A4C" w:rsidRPr="00D93A4C" w:rsidRDefault="00D93A4C" w:rsidP="00D93A4C">
      <w:pPr>
        <w:spacing w:after="200" w:line="276" w:lineRule="auto"/>
        <w:jc w:val="both"/>
        <w:rPr>
          <w:rFonts w:ascii="Century Gothic" w:hAnsi="Century Gothic"/>
          <w:color w:val="FF0000"/>
          <w:sz w:val="24"/>
          <w:szCs w:val="24"/>
        </w:rPr>
      </w:pPr>
      <w:r w:rsidRPr="00D93A4C">
        <w:rPr>
          <w:rFonts w:ascii="Century Gothic" w:hAnsi="Century Gothic"/>
          <w:color w:val="FF0000"/>
          <w:sz w:val="24"/>
          <w:szCs w:val="24"/>
        </w:rPr>
        <w:t>Not</w:t>
      </w:r>
      <w:r>
        <w:rPr>
          <w:rFonts w:ascii="Century Gothic" w:hAnsi="Century Gothic"/>
          <w:color w:val="FF0000"/>
          <w:sz w:val="24"/>
          <w:szCs w:val="24"/>
        </w:rPr>
        <w:t xml:space="preserve"> applicable in Australia.</w:t>
      </w:r>
    </w:p>
    <w:p w:rsidR="00D93A4C" w:rsidRDefault="00D93A4C" w:rsidP="00D93A4C">
      <w:pPr>
        <w:ind w:left="565"/>
      </w:pPr>
    </w:p>
    <w:p w:rsidR="00345D82" w:rsidRDefault="00345D82">
      <w:pPr>
        <w:ind w:left="924"/>
      </w:pPr>
    </w:p>
    <w:p w:rsidR="00345D82" w:rsidRPr="00D93A4C" w:rsidRDefault="009C6CAA">
      <w:pPr>
        <w:numPr>
          <w:ilvl w:val="0"/>
          <w:numId w:val="1"/>
        </w:numPr>
        <w:spacing w:after="200" w:line="276" w:lineRule="auto"/>
        <w:ind w:left="0" w:hanging="359"/>
        <w:jc w:val="both"/>
      </w:pPr>
      <w:r>
        <w:rPr>
          <w:sz w:val="24"/>
        </w:rPr>
        <w:t xml:space="preserve">What measures, if any, (legislative, administrative, institutional, or other policy/measures) have been put in place in your country to ensure the </w:t>
      </w:r>
      <w:commentRangeStart w:id="5"/>
      <w:r>
        <w:rPr>
          <w:sz w:val="24"/>
        </w:rPr>
        <w:t>elimination of violence against persons with albinism and their protection from all other human rights violations</w:t>
      </w:r>
      <w:commentRangeEnd w:id="5"/>
      <w:r w:rsidR="004222F7">
        <w:rPr>
          <w:rStyle w:val="CommentReference"/>
        </w:rPr>
        <w:commentReference w:id="5"/>
      </w:r>
      <w:r>
        <w:rPr>
          <w:sz w:val="24"/>
        </w:rPr>
        <w:t xml:space="preserve">? </w:t>
      </w:r>
    </w:p>
    <w:p w:rsidR="00D93A4C" w:rsidRPr="00D93A4C" w:rsidRDefault="00D93A4C" w:rsidP="00D93A4C">
      <w:pPr>
        <w:spacing w:after="200" w:line="276" w:lineRule="auto"/>
        <w:jc w:val="both"/>
        <w:rPr>
          <w:rFonts w:ascii="Century Gothic" w:hAnsi="Century Gothic"/>
          <w:color w:val="FF0000"/>
          <w:sz w:val="24"/>
          <w:szCs w:val="24"/>
        </w:rPr>
      </w:pPr>
      <w:r w:rsidRPr="00D93A4C">
        <w:rPr>
          <w:rFonts w:ascii="Century Gothic" w:hAnsi="Century Gothic"/>
          <w:color w:val="FF0000"/>
          <w:sz w:val="24"/>
          <w:szCs w:val="24"/>
        </w:rPr>
        <w:t>Not applicable in Australia.</w:t>
      </w:r>
    </w:p>
    <w:p w:rsidR="00345D82" w:rsidRPr="00D93A4C" w:rsidRDefault="009C6CAA">
      <w:pPr>
        <w:numPr>
          <w:ilvl w:val="0"/>
          <w:numId w:val="1"/>
        </w:numPr>
        <w:spacing w:after="200" w:line="276" w:lineRule="auto"/>
        <w:ind w:left="0" w:hanging="359"/>
        <w:jc w:val="both"/>
      </w:pPr>
      <w:r>
        <w:rPr>
          <w:sz w:val="24"/>
        </w:rPr>
        <w:t xml:space="preserve">What </w:t>
      </w:r>
      <w:commentRangeStart w:id="6"/>
      <w:r>
        <w:rPr>
          <w:sz w:val="24"/>
        </w:rPr>
        <w:t xml:space="preserve">improvements (if any) </w:t>
      </w:r>
      <w:commentRangeEnd w:id="6"/>
      <w:r w:rsidR="00847C94">
        <w:rPr>
          <w:rStyle w:val="CommentReference"/>
        </w:rPr>
        <w:commentReference w:id="6"/>
      </w:r>
      <w:r>
        <w:rPr>
          <w:sz w:val="24"/>
        </w:rPr>
        <w:t>have to be made to such measures in order to make them more effective?</w:t>
      </w:r>
    </w:p>
    <w:p w:rsidR="00D93A4C" w:rsidRDefault="00D93A4C" w:rsidP="00D93A4C">
      <w:pPr>
        <w:spacing w:after="200" w:line="276" w:lineRule="auto"/>
        <w:jc w:val="both"/>
      </w:pPr>
      <w:r w:rsidRPr="00D93A4C">
        <w:rPr>
          <w:rFonts w:ascii="Century Gothic" w:hAnsi="Century Gothic"/>
          <w:color w:val="FF0000"/>
          <w:sz w:val="24"/>
          <w:szCs w:val="24"/>
        </w:rPr>
        <w:t>Not applicable in Australia.</w:t>
      </w:r>
    </w:p>
    <w:p w:rsidR="00D93A4C" w:rsidRPr="00D93A4C" w:rsidRDefault="009C6CAA" w:rsidP="00D93A4C">
      <w:pPr>
        <w:numPr>
          <w:ilvl w:val="0"/>
          <w:numId w:val="1"/>
        </w:numPr>
        <w:spacing w:after="200" w:line="276" w:lineRule="auto"/>
        <w:ind w:left="0" w:hanging="426"/>
        <w:jc w:val="both"/>
        <w:rPr>
          <w:rFonts w:ascii="Century Gothic" w:hAnsi="Century Gothic"/>
          <w:color w:val="FF0000"/>
          <w:sz w:val="24"/>
          <w:szCs w:val="24"/>
        </w:rPr>
      </w:pPr>
      <w:r w:rsidRPr="00D93A4C">
        <w:rPr>
          <w:sz w:val="24"/>
        </w:rPr>
        <w:t xml:space="preserve">How, if at all, does your country rehabilitate victims of attacks against persons living with albinism? </w:t>
      </w:r>
      <w:bookmarkStart w:id="7" w:name="_GoBack"/>
      <w:bookmarkEnd w:id="7"/>
    </w:p>
    <w:p w:rsidR="00D93A4C" w:rsidRPr="00D93A4C" w:rsidRDefault="00D93A4C" w:rsidP="00D93A4C">
      <w:pPr>
        <w:spacing w:after="200" w:line="276" w:lineRule="auto"/>
        <w:jc w:val="both"/>
        <w:rPr>
          <w:rFonts w:ascii="Century Gothic" w:hAnsi="Century Gothic"/>
          <w:color w:val="FF0000"/>
          <w:sz w:val="24"/>
          <w:szCs w:val="24"/>
        </w:rPr>
      </w:pPr>
      <w:r w:rsidRPr="00D93A4C">
        <w:rPr>
          <w:rFonts w:ascii="Century Gothic" w:hAnsi="Century Gothic"/>
          <w:color w:val="FF0000"/>
          <w:sz w:val="24"/>
          <w:szCs w:val="24"/>
        </w:rPr>
        <w:t>Not applicable in Australia.</w:t>
      </w:r>
    </w:p>
    <w:p w:rsidR="00345D82" w:rsidRPr="00D93A4C" w:rsidRDefault="009C6CAA">
      <w:pPr>
        <w:numPr>
          <w:ilvl w:val="0"/>
          <w:numId w:val="1"/>
        </w:numPr>
        <w:spacing w:after="200" w:line="276" w:lineRule="auto"/>
        <w:ind w:left="0" w:hanging="359"/>
        <w:jc w:val="both"/>
      </w:pPr>
      <w:r>
        <w:rPr>
          <w:sz w:val="24"/>
        </w:rPr>
        <w:t>Do you have any information on allegations, complaints, investigations, prosecutions and their outcomes?</w:t>
      </w:r>
    </w:p>
    <w:p w:rsidR="00D93A4C" w:rsidRPr="00D93A4C" w:rsidRDefault="00D93A4C" w:rsidP="00D93A4C">
      <w:pPr>
        <w:spacing w:after="200" w:line="276" w:lineRule="auto"/>
        <w:jc w:val="both"/>
        <w:rPr>
          <w:rFonts w:ascii="Century Gothic" w:hAnsi="Century Gothic"/>
          <w:color w:val="FF0000"/>
          <w:sz w:val="24"/>
          <w:szCs w:val="24"/>
        </w:rPr>
      </w:pPr>
      <w:r w:rsidRPr="00D93A4C">
        <w:rPr>
          <w:rFonts w:ascii="Century Gothic" w:hAnsi="Century Gothic"/>
          <w:color w:val="FF0000"/>
          <w:sz w:val="24"/>
          <w:szCs w:val="24"/>
        </w:rPr>
        <w:t>Not</w:t>
      </w:r>
      <w:r>
        <w:rPr>
          <w:rFonts w:ascii="Century Gothic" w:hAnsi="Century Gothic"/>
          <w:color w:val="FF0000"/>
          <w:sz w:val="24"/>
          <w:szCs w:val="24"/>
        </w:rPr>
        <w:t xml:space="preserve"> applicable in Australia.</w:t>
      </w:r>
    </w:p>
    <w:p w:rsidR="00345D82" w:rsidRPr="00D93A4C" w:rsidRDefault="009C6CAA">
      <w:pPr>
        <w:numPr>
          <w:ilvl w:val="0"/>
          <w:numId w:val="1"/>
        </w:numPr>
        <w:spacing w:after="200" w:line="276" w:lineRule="auto"/>
        <w:ind w:left="0" w:hanging="359"/>
        <w:jc w:val="both"/>
      </w:pPr>
      <w:r>
        <w:rPr>
          <w:sz w:val="24"/>
        </w:rPr>
        <w:t>Do religious/spiritual institutions in your country play a role in helping persons with albinism? Are they effective in preventing attacks against these persons?</w:t>
      </w:r>
    </w:p>
    <w:p w:rsidR="00D93A4C" w:rsidRDefault="00D93A4C" w:rsidP="00D93A4C">
      <w:pPr>
        <w:spacing w:after="200" w:line="276" w:lineRule="auto"/>
        <w:jc w:val="both"/>
      </w:pPr>
      <w:r w:rsidRPr="00D93A4C">
        <w:rPr>
          <w:rFonts w:ascii="Century Gothic" w:hAnsi="Century Gothic"/>
          <w:color w:val="FF0000"/>
          <w:sz w:val="24"/>
          <w:szCs w:val="24"/>
        </w:rPr>
        <w:t>Not</w:t>
      </w:r>
      <w:r>
        <w:rPr>
          <w:rFonts w:ascii="Century Gothic" w:hAnsi="Century Gothic"/>
          <w:color w:val="FF0000"/>
          <w:sz w:val="24"/>
          <w:szCs w:val="24"/>
        </w:rPr>
        <w:t xml:space="preserve"> applicable in Australia.</w:t>
      </w:r>
    </w:p>
    <w:p w:rsidR="00345D82" w:rsidRPr="00D93A4C" w:rsidRDefault="009C6CAA">
      <w:pPr>
        <w:numPr>
          <w:ilvl w:val="0"/>
          <w:numId w:val="1"/>
        </w:numPr>
        <w:spacing w:after="200" w:line="276" w:lineRule="auto"/>
        <w:ind w:left="0" w:hanging="359"/>
        <w:jc w:val="both"/>
      </w:pPr>
      <w:r>
        <w:rPr>
          <w:sz w:val="24"/>
        </w:rPr>
        <w:t xml:space="preserve">In what ways can the Human Rights Council and the other UN human rights bodies assist with </w:t>
      </w:r>
      <w:commentRangeStart w:id="8"/>
      <w:r>
        <w:rPr>
          <w:sz w:val="24"/>
        </w:rPr>
        <w:t xml:space="preserve">improving the situation </w:t>
      </w:r>
      <w:commentRangeEnd w:id="8"/>
      <w:r w:rsidR="00847C94">
        <w:rPr>
          <w:rStyle w:val="CommentReference"/>
        </w:rPr>
        <w:commentReference w:id="8"/>
      </w:r>
      <w:r>
        <w:rPr>
          <w:sz w:val="24"/>
        </w:rPr>
        <w:t>of persons living with albinism within your country or any country you are familiar with?</w:t>
      </w:r>
    </w:p>
    <w:p w:rsidR="00193EED" w:rsidRDefault="00D93A4C" w:rsidP="00D93A4C">
      <w:pPr>
        <w:spacing w:after="200" w:line="276" w:lineRule="auto"/>
        <w:jc w:val="both"/>
        <w:rPr>
          <w:rFonts w:ascii="Century Gothic" w:hAnsi="Century Gothic"/>
          <w:color w:val="FF0000"/>
          <w:sz w:val="24"/>
          <w:szCs w:val="24"/>
        </w:rPr>
      </w:pPr>
      <w:r w:rsidRPr="00D93A4C">
        <w:rPr>
          <w:rFonts w:ascii="Century Gothic" w:hAnsi="Century Gothic"/>
          <w:color w:val="FF0000"/>
          <w:sz w:val="24"/>
          <w:szCs w:val="24"/>
        </w:rPr>
        <w:t>Not</w:t>
      </w:r>
      <w:r>
        <w:rPr>
          <w:rFonts w:ascii="Century Gothic" w:hAnsi="Century Gothic"/>
          <w:color w:val="FF0000"/>
          <w:sz w:val="24"/>
          <w:szCs w:val="24"/>
        </w:rPr>
        <w:t xml:space="preserve"> applicable in Australia. </w:t>
      </w:r>
    </w:p>
    <w:p w:rsidR="00D93A4C" w:rsidRDefault="00193EED" w:rsidP="00D93A4C">
      <w:pPr>
        <w:spacing w:after="200" w:line="276" w:lineRule="auto"/>
        <w:jc w:val="both"/>
        <w:rPr>
          <w:rFonts w:ascii="Century Gothic" w:hAnsi="Century Gothic"/>
          <w:color w:val="FF0000"/>
          <w:sz w:val="24"/>
          <w:szCs w:val="24"/>
        </w:rPr>
      </w:pPr>
      <w:r>
        <w:rPr>
          <w:rFonts w:ascii="Century Gothic" w:hAnsi="Century Gothic"/>
          <w:color w:val="FF0000"/>
          <w:sz w:val="24"/>
          <w:szCs w:val="24"/>
        </w:rPr>
        <w:t>However, w</w:t>
      </w:r>
      <w:r w:rsidR="00D93A4C">
        <w:rPr>
          <w:rFonts w:ascii="Century Gothic" w:hAnsi="Century Gothic"/>
          <w:color w:val="FF0000"/>
          <w:sz w:val="24"/>
          <w:szCs w:val="24"/>
        </w:rPr>
        <w:t xml:space="preserve">e feel very deeply for our brothers and sisters in African nations and would like more </w:t>
      </w:r>
      <w:r w:rsidR="00D93A4C" w:rsidRPr="00193EED">
        <w:rPr>
          <w:rFonts w:ascii="Century Gothic" w:hAnsi="Century Gothic"/>
          <w:b/>
          <w:color w:val="FF0000"/>
          <w:sz w:val="24"/>
          <w:szCs w:val="24"/>
        </w:rPr>
        <w:t>education</w:t>
      </w:r>
      <w:r w:rsidR="00D93A4C">
        <w:rPr>
          <w:rFonts w:ascii="Century Gothic" w:hAnsi="Century Gothic"/>
          <w:color w:val="FF0000"/>
          <w:sz w:val="24"/>
          <w:szCs w:val="24"/>
        </w:rPr>
        <w:t xml:space="preserve"> about albinism distributed so it is known this is “just” a genetic condition the same as many </w:t>
      </w:r>
      <w:proofErr w:type="gramStart"/>
      <w:r w:rsidR="00D93A4C">
        <w:rPr>
          <w:rFonts w:ascii="Century Gothic" w:hAnsi="Century Gothic"/>
          <w:color w:val="FF0000"/>
          <w:sz w:val="24"/>
          <w:szCs w:val="24"/>
        </w:rPr>
        <w:t>others,</w:t>
      </w:r>
      <w:proofErr w:type="gramEnd"/>
      <w:r w:rsidR="00D93A4C">
        <w:rPr>
          <w:rFonts w:ascii="Century Gothic" w:hAnsi="Century Gothic"/>
          <w:color w:val="FF0000"/>
          <w:sz w:val="24"/>
          <w:szCs w:val="24"/>
        </w:rPr>
        <w:t xml:space="preserve"> and that people with albinism deserve to be treated as anyone else. That albinism can occur in any family at any time, it isn’t to be feared, just accepted.</w:t>
      </w:r>
    </w:p>
    <w:p w:rsidR="00D93A4C" w:rsidRPr="00D93A4C" w:rsidRDefault="00D93A4C" w:rsidP="00D93A4C">
      <w:pPr>
        <w:spacing w:after="200" w:line="276" w:lineRule="auto"/>
        <w:jc w:val="both"/>
        <w:rPr>
          <w:rFonts w:ascii="Century Gothic" w:hAnsi="Century Gothic"/>
          <w:color w:val="FF0000"/>
          <w:sz w:val="24"/>
          <w:szCs w:val="24"/>
        </w:rPr>
      </w:pPr>
      <w:r>
        <w:rPr>
          <w:rFonts w:ascii="Century Gothic" w:hAnsi="Century Gothic"/>
          <w:color w:val="FF0000"/>
          <w:sz w:val="24"/>
          <w:szCs w:val="24"/>
        </w:rPr>
        <w:t xml:space="preserve">That violence towards people with albinism simply for the reason of their albinism be </w:t>
      </w:r>
      <w:r w:rsidR="00193EED" w:rsidRPr="00193EED">
        <w:rPr>
          <w:rFonts w:ascii="Century Gothic" w:hAnsi="Century Gothic"/>
          <w:b/>
          <w:color w:val="FF0000"/>
          <w:sz w:val="24"/>
          <w:szCs w:val="24"/>
        </w:rPr>
        <w:t>legally</w:t>
      </w:r>
      <w:r w:rsidR="00193EED">
        <w:rPr>
          <w:rFonts w:ascii="Century Gothic" w:hAnsi="Century Gothic"/>
          <w:color w:val="FF0000"/>
          <w:sz w:val="24"/>
          <w:szCs w:val="24"/>
        </w:rPr>
        <w:t xml:space="preserve"> declared</w:t>
      </w:r>
      <w:r>
        <w:rPr>
          <w:rFonts w:ascii="Century Gothic" w:hAnsi="Century Gothic"/>
          <w:color w:val="FF0000"/>
          <w:sz w:val="24"/>
          <w:szCs w:val="24"/>
        </w:rPr>
        <w:t xml:space="preserve"> a “hate crime” and all levels of people and government </w:t>
      </w:r>
      <w:proofErr w:type="gramStart"/>
      <w:r>
        <w:rPr>
          <w:rFonts w:ascii="Century Gothic" w:hAnsi="Century Gothic"/>
          <w:color w:val="FF0000"/>
          <w:sz w:val="24"/>
          <w:szCs w:val="24"/>
        </w:rPr>
        <w:t>be</w:t>
      </w:r>
      <w:proofErr w:type="gramEnd"/>
      <w:r>
        <w:rPr>
          <w:rFonts w:ascii="Century Gothic" w:hAnsi="Century Gothic"/>
          <w:color w:val="FF0000"/>
          <w:sz w:val="24"/>
          <w:szCs w:val="24"/>
        </w:rPr>
        <w:t xml:space="preserve"> aware that the most basic of human rights – to live a fair and </w:t>
      </w:r>
      <w:r w:rsidR="00193EED">
        <w:rPr>
          <w:rFonts w:ascii="Century Gothic" w:hAnsi="Century Gothic"/>
          <w:color w:val="FF0000"/>
          <w:sz w:val="24"/>
          <w:szCs w:val="24"/>
        </w:rPr>
        <w:t>unhindered</w:t>
      </w:r>
      <w:r>
        <w:rPr>
          <w:rFonts w:ascii="Century Gothic" w:hAnsi="Century Gothic"/>
          <w:color w:val="FF0000"/>
          <w:sz w:val="24"/>
          <w:szCs w:val="24"/>
        </w:rPr>
        <w:t xml:space="preserve"> existence </w:t>
      </w:r>
      <w:r w:rsidR="00193EED">
        <w:rPr>
          <w:rFonts w:ascii="Century Gothic" w:hAnsi="Century Gothic"/>
          <w:color w:val="FF0000"/>
          <w:sz w:val="24"/>
          <w:szCs w:val="24"/>
        </w:rPr>
        <w:t xml:space="preserve">- </w:t>
      </w:r>
      <w:r>
        <w:rPr>
          <w:rFonts w:ascii="Century Gothic" w:hAnsi="Century Gothic"/>
          <w:color w:val="FF0000"/>
          <w:sz w:val="24"/>
          <w:szCs w:val="24"/>
        </w:rPr>
        <w:t>belong to all people.</w:t>
      </w:r>
    </w:p>
    <w:p w:rsidR="00D93A4C" w:rsidRDefault="00D93A4C" w:rsidP="00D93A4C">
      <w:pPr>
        <w:spacing w:after="200" w:line="276" w:lineRule="auto"/>
        <w:jc w:val="both"/>
      </w:pPr>
    </w:p>
    <w:p w:rsidR="00345D82" w:rsidRDefault="009C6CAA">
      <w:pPr>
        <w:numPr>
          <w:ilvl w:val="0"/>
          <w:numId w:val="1"/>
        </w:numPr>
        <w:spacing w:after="200" w:line="276" w:lineRule="auto"/>
        <w:ind w:left="0" w:hanging="359"/>
        <w:jc w:val="both"/>
      </w:pPr>
      <w:r>
        <w:rPr>
          <w:sz w:val="24"/>
        </w:rPr>
        <w:t>What other institutional or practical measures should the Human Rights Council take to strengthen the efforts to improve the human rights situation of persons living with albinism?</w:t>
      </w:r>
    </w:p>
    <w:p w:rsidR="00345D82" w:rsidRDefault="00345D82"/>
    <w:p w:rsidR="00345D82" w:rsidRDefault="00193EED" w:rsidP="007031EE">
      <w:pPr>
        <w:jc w:val="both"/>
        <w:rPr>
          <w:rFonts w:ascii="Century Gothic" w:hAnsi="Century Gothic"/>
          <w:color w:val="FF0000"/>
          <w:sz w:val="24"/>
          <w:szCs w:val="24"/>
        </w:rPr>
      </w:pPr>
      <w:r>
        <w:rPr>
          <w:rFonts w:ascii="Century Gothic" w:hAnsi="Century Gothic"/>
          <w:color w:val="FF0000"/>
          <w:sz w:val="24"/>
          <w:szCs w:val="24"/>
        </w:rPr>
        <w:t xml:space="preserve">That people with albinism be given equal </w:t>
      </w:r>
      <w:r w:rsidRPr="00193EED">
        <w:rPr>
          <w:rFonts w:ascii="Century Gothic" w:hAnsi="Century Gothic"/>
          <w:b/>
          <w:color w:val="FF0000"/>
          <w:sz w:val="24"/>
          <w:szCs w:val="24"/>
        </w:rPr>
        <w:t>access</w:t>
      </w:r>
      <w:r>
        <w:rPr>
          <w:rFonts w:ascii="Century Gothic" w:hAnsi="Century Gothic"/>
          <w:color w:val="FF0000"/>
          <w:sz w:val="24"/>
          <w:szCs w:val="24"/>
        </w:rPr>
        <w:t xml:space="preserve"> to education, a work life, a family life and through these measures, to be given the freedom to feel safe to walk in the streets of their town and country. These would also mean that the parents of children with albinism can look forward to their child having a “normal” life and live to their fullest potential, not having a family living in fear of their own and their family’s safety.</w:t>
      </w:r>
    </w:p>
    <w:p w:rsidR="00193EED" w:rsidRDefault="00193EED" w:rsidP="007031EE">
      <w:pPr>
        <w:jc w:val="both"/>
        <w:rPr>
          <w:rFonts w:ascii="Century Gothic" w:hAnsi="Century Gothic"/>
          <w:color w:val="FF0000"/>
          <w:sz w:val="24"/>
          <w:szCs w:val="24"/>
        </w:rPr>
      </w:pPr>
      <w:r>
        <w:rPr>
          <w:rFonts w:ascii="Century Gothic" w:hAnsi="Century Gothic"/>
          <w:color w:val="FF0000"/>
          <w:sz w:val="24"/>
          <w:szCs w:val="24"/>
        </w:rPr>
        <w:t xml:space="preserve">To provide </w:t>
      </w:r>
      <w:r w:rsidRPr="007031EE">
        <w:rPr>
          <w:rFonts w:ascii="Century Gothic" w:hAnsi="Century Gothic"/>
          <w:b/>
          <w:color w:val="FF0000"/>
          <w:sz w:val="24"/>
          <w:szCs w:val="24"/>
        </w:rPr>
        <w:t>support structures</w:t>
      </w:r>
      <w:r>
        <w:rPr>
          <w:rFonts w:ascii="Century Gothic" w:hAnsi="Century Gothic"/>
          <w:color w:val="FF0000"/>
          <w:sz w:val="24"/>
          <w:szCs w:val="24"/>
        </w:rPr>
        <w:t xml:space="preserve"> for self-run </w:t>
      </w:r>
      <w:r w:rsidR="007031EE">
        <w:rPr>
          <w:rFonts w:ascii="Century Gothic" w:hAnsi="Century Gothic"/>
          <w:color w:val="FF0000"/>
          <w:sz w:val="24"/>
          <w:szCs w:val="24"/>
        </w:rPr>
        <w:t xml:space="preserve">in-country </w:t>
      </w:r>
      <w:r>
        <w:rPr>
          <w:rFonts w:ascii="Century Gothic" w:hAnsi="Century Gothic"/>
          <w:color w:val="FF0000"/>
          <w:sz w:val="24"/>
          <w:szCs w:val="24"/>
        </w:rPr>
        <w:t>advocacy and support organisations</w:t>
      </w:r>
      <w:r w:rsidR="007031EE">
        <w:rPr>
          <w:rFonts w:ascii="Century Gothic" w:hAnsi="Century Gothic"/>
          <w:color w:val="FF0000"/>
          <w:sz w:val="24"/>
          <w:szCs w:val="24"/>
        </w:rPr>
        <w:t>.</w:t>
      </w:r>
    </w:p>
    <w:p w:rsidR="007031EE" w:rsidRDefault="007031EE" w:rsidP="007031EE">
      <w:pPr>
        <w:jc w:val="both"/>
        <w:rPr>
          <w:rFonts w:ascii="Century Gothic" w:hAnsi="Century Gothic"/>
          <w:color w:val="FF0000"/>
          <w:sz w:val="24"/>
          <w:szCs w:val="24"/>
        </w:rPr>
      </w:pPr>
      <w:proofErr w:type="gramStart"/>
      <w:r w:rsidRPr="007031EE">
        <w:rPr>
          <w:rFonts w:ascii="Century Gothic" w:hAnsi="Century Gothic"/>
          <w:b/>
          <w:color w:val="FF0000"/>
          <w:sz w:val="24"/>
          <w:szCs w:val="24"/>
        </w:rPr>
        <w:t>Technology</w:t>
      </w:r>
      <w:r>
        <w:rPr>
          <w:rFonts w:ascii="Century Gothic" w:hAnsi="Century Gothic"/>
          <w:color w:val="FF0000"/>
          <w:sz w:val="24"/>
          <w:szCs w:val="24"/>
        </w:rPr>
        <w:t xml:space="preserve"> to enable these organisations to interact with others from within and outside their country – via teleconference or other methods.</w:t>
      </w:r>
      <w:proofErr w:type="gramEnd"/>
    </w:p>
    <w:p w:rsidR="00193EED" w:rsidRPr="00193EED" w:rsidRDefault="00BD35FD">
      <w:pPr>
        <w:rPr>
          <w:rFonts w:ascii="Century Gothic" w:hAnsi="Century Gothic"/>
          <w:color w:val="FF0000"/>
          <w:sz w:val="24"/>
          <w:szCs w:val="24"/>
        </w:rPr>
      </w:pPr>
      <w:r w:rsidRPr="00BD35FD">
        <w:rPr>
          <w:rFonts w:ascii="Century Gothic" w:hAnsi="Century Gothic"/>
          <w:color w:val="FF0000"/>
          <w:sz w:val="24"/>
          <w:szCs w:val="24"/>
        </w:rPr>
        <w:t xml:space="preserve">(?) </w:t>
      </w:r>
      <w:proofErr w:type="gramStart"/>
      <w:r w:rsidRPr="00BD35FD">
        <w:rPr>
          <w:rFonts w:ascii="Century Gothic" w:hAnsi="Century Gothic"/>
          <w:color w:val="FF0000"/>
          <w:sz w:val="24"/>
          <w:szCs w:val="24"/>
        </w:rPr>
        <w:t>More</w:t>
      </w:r>
      <w:r>
        <w:rPr>
          <w:rFonts w:ascii="Century Gothic" w:hAnsi="Century Gothic"/>
          <w:b/>
          <w:color w:val="FF0000"/>
          <w:sz w:val="24"/>
          <w:szCs w:val="24"/>
        </w:rPr>
        <w:t xml:space="preserve"> </w:t>
      </w:r>
      <w:r w:rsidRPr="00BD35FD">
        <w:rPr>
          <w:rFonts w:ascii="Century Gothic" w:hAnsi="Century Gothic"/>
          <w:b/>
          <w:color w:val="FF0000"/>
          <w:sz w:val="24"/>
          <w:szCs w:val="24"/>
        </w:rPr>
        <w:t>Printed materials</w:t>
      </w:r>
      <w:r>
        <w:rPr>
          <w:rFonts w:ascii="Century Gothic" w:hAnsi="Century Gothic"/>
          <w:color w:val="FF0000"/>
          <w:sz w:val="24"/>
          <w:szCs w:val="24"/>
        </w:rPr>
        <w:t xml:space="preserve"> – images rather than words – (literacy and language therefore not an issue) - to portray people with albinism as part of </w:t>
      </w:r>
      <w:proofErr w:type="spellStart"/>
      <w:r>
        <w:rPr>
          <w:rFonts w:ascii="Century Gothic" w:hAnsi="Century Gothic"/>
          <w:color w:val="FF0000"/>
          <w:sz w:val="24"/>
          <w:szCs w:val="24"/>
        </w:rPr>
        <w:t>every day</w:t>
      </w:r>
      <w:proofErr w:type="spellEnd"/>
      <w:r>
        <w:rPr>
          <w:rFonts w:ascii="Century Gothic" w:hAnsi="Century Gothic"/>
          <w:color w:val="FF0000"/>
          <w:sz w:val="24"/>
          <w:szCs w:val="24"/>
        </w:rPr>
        <w:t xml:space="preserve"> society and life.</w:t>
      </w:r>
      <w:proofErr w:type="gramEnd"/>
      <w:r>
        <w:rPr>
          <w:rFonts w:ascii="Century Gothic" w:hAnsi="Century Gothic"/>
          <w:color w:val="FF0000"/>
          <w:sz w:val="24"/>
          <w:szCs w:val="24"/>
        </w:rPr>
        <w:t xml:space="preserve"> </w:t>
      </w:r>
      <w:proofErr w:type="gramStart"/>
      <w:r>
        <w:rPr>
          <w:rFonts w:ascii="Century Gothic" w:hAnsi="Century Gothic"/>
          <w:color w:val="FF0000"/>
          <w:sz w:val="24"/>
          <w:szCs w:val="24"/>
        </w:rPr>
        <w:t xml:space="preserve">Distribution via schools, stores, medical teams, </w:t>
      </w:r>
      <w:proofErr w:type="spellStart"/>
      <w:r>
        <w:rPr>
          <w:rFonts w:ascii="Century Gothic" w:hAnsi="Century Gothic"/>
          <w:color w:val="FF0000"/>
          <w:sz w:val="24"/>
          <w:szCs w:val="24"/>
        </w:rPr>
        <w:t>etc</w:t>
      </w:r>
      <w:proofErr w:type="spellEnd"/>
      <w:r>
        <w:rPr>
          <w:rFonts w:ascii="Century Gothic" w:hAnsi="Century Gothic"/>
          <w:color w:val="FF0000"/>
          <w:sz w:val="24"/>
          <w:szCs w:val="24"/>
        </w:rPr>
        <w:t xml:space="preserve"> into all areas of life and geography.</w:t>
      </w:r>
      <w:proofErr w:type="gramEnd"/>
    </w:p>
    <w:p w:rsidR="00345D82" w:rsidRDefault="00345D82"/>
    <w:p w:rsidR="00345D82" w:rsidRDefault="009C6CAA">
      <w:pPr>
        <w:jc w:val="center"/>
      </w:pPr>
      <w:r>
        <w:rPr>
          <w:b/>
          <w:sz w:val="22"/>
          <w:u w:val="single"/>
        </w:rPr>
        <w:t>Deadline for submission of responses to the questionnaire:</w:t>
      </w:r>
    </w:p>
    <w:p w:rsidR="00345D82" w:rsidRDefault="00345D82">
      <w:pPr>
        <w:jc w:val="center"/>
      </w:pPr>
    </w:p>
    <w:p w:rsidR="00345D82" w:rsidRDefault="009C6CAA">
      <w:pPr>
        <w:jc w:val="both"/>
      </w:pPr>
      <w:r>
        <w:rPr>
          <w:sz w:val="22"/>
        </w:rPr>
        <w:t xml:space="preserve">In order to give the Drafting Group the opportunity to take into account the different contributions, all parties are encouraged to submit their responses as soon as possible and at the latest by </w:t>
      </w:r>
      <w:r>
        <w:rPr>
          <w:b/>
          <w:sz w:val="22"/>
        </w:rPr>
        <w:t>11 April 2014</w:t>
      </w:r>
      <w:r>
        <w:rPr>
          <w:sz w:val="22"/>
        </w:rPr>
        <w:t xml:space="preserve">. </w:t>
      </w:r>
    </w:p>
    <w:p w:rsidR="00345D82" w:rsidRDefault="00345D82"/>
    <w:p w:rsidR="00345D82" w:rsidRDefault="009C6CAA">
      <w:pPr>
        <w:jc w:val="center"/>
      </w:pPr>
      <w:r>
        <w:rPr>
          <w:sz w:val="22"/>
        </w:rPr>
        <w:t>Answers can be submitted via email to the following address:</w:t>
      </w:r>
    </w:p>
    <w:p w:rsidR="00345D82" w:rsidRDefault="00345D82">
      <w:pPr>
        <w:jc w:val="center"/>
      </w:pPr>
    </w:p>
    <w:p w:rsidR="00345D82" w:rsidRDefault="001036AE">
      <w:pPr>
        <w:spacing w:after="200" w:line="276" w:lineRule="auto"/>
        <w:jc w:val="center"/>
      </w:pPr>
      <w:hyperlink r:id="rId9">
        <w:r w:rsidR="009C6CAA">
          <w:rPr>
            <w:color w:val="0000FF"/>
            <w:sz w:val="22"/>
            <w:u w:val="single"/>
          </w:rPr>
          <w:t>hrcadvisorycommittee@ohchr.org</w:t>
        </w:r>
      </w:hyperlink>
      <w:hyperlink r:id="rId10"/>
    </w:p>
    <w:p w:rsidR="00345D82" w:rsidRDefault="009C6CAA">
      <w:pPr>
        <w:jc w:val="center"/>
      </w:pPr>
      <w:r>
        <w:rPr>
          <w:sz w:val="22"/>
        </w:rPr>
        <w:t>OR</w:t>
      </w:r>
    </w:p>
    <w:p w:rsidR="00345D82" w:rsidRDefault="00345D82">
      <w:pPr>
        <w:jc w:val="center"/>
      </w:pPr>
    </w:p>
    <w:p w:rsidR="00345D82" w:rsidRDefault="009C6CAA">
      <w:pPr>
        <w:jc w:val="center"/>
      </w:pPr>
      <w:r>
        <w:rPr>
          <w:sz w:val="22"/>
        </w:rPr>
        <w:t>Secretariat of the Human Rights Council Advisory Committee</w:t>
      </w:r>
    </w:p>
    <w:p w:rsidR="00345D82" w:rsidRDefault="009C6CAA">
      <w:pPr>
        <w:jc w:val="center"/>
      </w:pPr>
      <w:proofErr w:type="gramStart"/>
      <w:r>
        <w:rPr>
          <w:sz w:val="22"/>
        </w:rPr>
        <w:t>c/o</w:t>
      </w:r>
      <w:proofErr w:type="gramEnd"/>
      <w:r>
        <w:rPr>
          <w:sz w:val="22"/>
        </w:rPr>
        <w:t xml:space="preserve"> Ms. </w:t>
      </w:r>
      <w:proofErr w:type="spellStart"/>
      <w:r>
        <w:rPr>
          <w:sz w:val="22"/>
        </w:rPr>
        <w:t>Meena</w:t>
      </w:r>
      <w:proofErr w:type="spellEnd"/>
      <w:r>
        <w:rPr>
          <w:sz w:val="22"/>
        </w:rPr>
        <w:t xml:space="preserve"> </w:t>
      </w:r>
      <w:proofErr w:type="spellStart"/>
      <w:r>
        <w:rPr>
          <w:sz w:val="22"/>
        </w:rPr>
        <w:t>Ramkaun</w:t>
      </w:r>
      <w:proofErr w:type="spellEnd"/>
    </w:p>
    <w:p w:rsidR="00345D82" w:rsidRDefault="009C6CAA">
      <w:pPr>
        <w:jc w:val="center"/>
      </w:pPr>
      <w:r>
        <w:rPr>
          <w:sz w:val="22"/>
        </w:rPr>
        <w:t>Office of the United Nations High Commissioner for Human Rights</w:t>
      </w:r>
    </w:p>
    <w:p w:rsidR="00345D82" w:rsidRDefault="009C6CAA">
      <w:pPr>
        <w:jc w:val="center"/>
      </w:pPr>
      <w:proofErr w:type="spellStart"/>
      <w:r>
        <w:rPr>
          <w:sz w:val="22"/>
        </w:rPr>
        <w:t>Palais</w:t>
      </w:r>
      <w:proofErr w:type="spellEnd"/>
      <w:r>
        <w:rPr>
          <w:sz w:val="22"/>
        </w:rPr>
        <w:t xml:space="preserve"> Wilson, Room 4-060, Fax: +41 22 917 9011</w:t>
      </w:r>
    </w:p>
    <w:p w:rsidR="00345D82" w:rsidRDefault="009C6CAA">
      <w:pPr>
        <w:jc w:val="center"/>
      </w:pPr>
      <w:r>
        <w:rPr>
          <w:sz w:val="22"/>
        </w:rPr>
        <w:t>United Nations Office at Geneva,</w:t>
      </w:r>
    </w:p>
    <w:p w:rsidR="00345D82" w:rsidRDefault="009C6CAA">
      <w:pPr>
        <w:jc w:val="center"/>
      </w:pPr>
      <w:r>
        <w:rPr>
          <w:sz w:val="22"/>
        </w:rPr>
        <w:t>CH-1211 Geneva 10, Switzerland</w:t>
      </w:r>
    </w:p>
    <w:p w:rsidR="00345D82" w:rsidRDefault="00345D82">
      <w:pPr>
        <w:jc w:val="center"/>
      </w:pPr>
    </w:p>
    <w:p w:rsidR="00345D82" w:rsidRDefault="00345D82">
      <w:pPr>
        <w:jc w:val="both"/>
      </w:pPr>
    </w:p>
    <w:p w:rsidR="00345D82" w:rsidRDefault="009C6CAA">
      <w:pPr>
        <w:jc w:val="center"/>
      </w:pPr>
      <w:r>
        <w:rPr>
          <w:sz w:val="22"/>
        </w:rPr>
        <w:t>Thank you for your contribution.</w:t>
      </w:r>
    </w:p>
    <w:p w:rsidR="00345D82" w:rsidRDefault="00345D82">
      <w:pPr>
        <w:jc w:val="center"/>
      </w:pPr>
    </w:p>
    <w:p w:rsidR="00345D82" w:rsidRDefault="00345D82">
      <w:pPr>
        <w:jc w:val="center"/>
      </w:pPr>
    </w:p>
    <w:p w:rsidR="00345D82" w:rsidRDefault="009C6CAA">
      <w:pPr>
        <w:jc w:val="center"/>
      </w:pPr>
      <w:r>
        <w:rPr>
          <w:sz w:val="22"/>
        </w:rPr>
        <w:t xml:space="preserve">For more information on the Advisory’s mandate: </w:t>
      </w:r>
    </w:p>
    <w:p w:rsidR="00345D82" w:rsidRDefault="00345D82">
      <w:pPr>
        <w:jc w:val="center"/>
      </w:pPr>
    </w:p>
    <w:p w:rsidR="00345D82" w:rsidRDefault="001036AE">
      <w:pPr>
        <w:spacing w:after="200" w:line="276" w:lineRule="auto"/>
        <w:jc w:val="center"/>
      </w:pPr>
      <w:hyperlink r:id="rId11">
        <w:r w:rsidR="009C6CAA">
          <w:rPr>
            <w:color w:val="0000FF"/>
            <w:sz w:val="22"/>
            <w:u w:val="single"/>
          </w:rPr>
          <w:t>http://www.ohchr.org/EN/HRBodies/HRC/AdvisoryCommittee/Pages/HRCACIndex.aspx</w:t>
        </w:r>
      </w:hyperlink>
      <w:hyperlink r:id="rId12"/>
    </w:p>
    <w:p w:rsidR="00345D82" w:rsidRDefault="001036AE">
      <w:pPr>
        <w:jc w:val="center"/>
      </w:pPr>
      <w:hyperlink r:id="rId13"/>
    </w:p>
    <w:p w:rsidR="00345D82" w:rsidRDefault="001036AE">
      <w:hyperlink r:id="rId14"/>
    </w:p>
    <w:p w:rsidR="00345D82" w:rsidRDefault="001036AE">
      <w:pPr>
        <w:jc w:val="both"/>
      </w:pPr>
      <w:hyperlink r:id="rId15"/>
    </w:p>
    <w:sectPr w:rsidR="00345D82">
      <w:headerReference w:type="default" r:id="rId16"/>
      <w:footerReference w:type="default" r:id="rId17"/>
      <w:pgSz w:w="11907" w:h="16840"/>
      <w:pgMar w:top="1701" w:right="1134" w:bottom="993"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lie Debeljak" w:date="2014-04-09T09:52:00Z" w:initials="JD">
    <w:p w:rsidR="004222F7" w:rsidRDefault="004222F7">
      <w:pPr>
        <w:pStyle w:val="CommentText"/>
      </w:pPr>
      <w:r>
        <w:rPr>
          <w:rStyle w:val="CommentReference"/>
        </w:rPr>
        <w:annotationRef/>
      </w:r>
      <w:r>
        <w:t>No</w:t>
      </w:r>
    </w:p>
  </w:comment>
  <w:comment w:id="1" w:author="Julie Debeljak" w:date="2014-04-09T09:53:00Z" w:initials="JD">
    <w:p w:rsidR="004222F7" w:rsidRDefault="004222F7">
      <w:pPr>
        <w:pStyle w:val="CommentText"/>
      </w:pPr>
      <w:r>
        <w:rPr>
          <w:rStyle w:val="CommentReference"/>
        </w:rPr>
        <w:annotationRef/>
      </w:r>
      <w:r>
        <w:t xml:space="preserve">It really depends on the level of vision, rather than the </w:t>
      </w:r>
      <w:proofErr w:type="spellStart"/>
      <w:r>
        <w:t>albinsims</w:t>
      </w:r>
      <w:proofErr w:type="spellEnd"/>
      <w:r>
        <w:t xml:space="preserve"> per se. from 6/18 to 6/60 we recognise vision impairment, and above 6/60 we recognise blindness which is categorised as a disability.</w:t>
      </w:r>
    </w:p>
  </w:comment>
  <w:comment w:id="2" w:author="Julie Debeljak" w:date="2014-04-09T09:54:00Z" w:initials="JD">
    <w:p w:rsidR="004222F7" w:rsidRDefault="004222F7">
      <w:pPr>
        <w:pStyle w:val="CommentText"/>
      </w:pPr>
      <w:r>
        <w:rPr>
          <w:rStyle w:val="CommentReference"/>
        </w:rPr>
        <w:annotationRef/>
      </w:r>
      <w:r>
        <w:t>There would be numerous categories that PWA could come in relation to non-discrimination laws… Non-discrimination on the basis of sensory impairment, and physical appearance.</w:t>
      </w:r>
    </w:p>
  </w:comment>
  <w:comment w:id="3" w:author="Julie Debeljak" w:date="2014-04-09T09:55:00Z" w:initials="JD">
    <w:p w:rsidR="004222F7" w:rsidRDefault="004222F7">
      <w:pPr>
        <w:pStyle w:val="CommentText"/>
      </w:pPr>
      <w:r>
        <w:rPr>
          <w:rStyle w:val="CommentReference"/>
        </w:rPr>
        <w:annotationRef/>
      </w:r>
      <w:r>
        <w:t>I am not sure you should say “not applicable”. At the very least we could talk about the portrayal of PWA in the media and entertainment industry.</w:t>
      </w:r>
    </w:p>
    <w:p w:rsidR="004222F7" w:rsidRDefault="004222F7">
      <w:pPr>
        <w:pStyle w:val="CommentText"/>
      </w:pPr>
    </w:p>
    <w:p w:rsidR="004222F7" w:rsidRDefault="004222F7" w:rsidP="004222F7">
      <w:pPr>
        <w:pStyle w:val="CommentText"/>
      </w:pPr>
      <w:r>
        <w:t xml:space="preserve">I have certainly heard many people at conferences talk about employment discrimination. </w:t>
      </w:r>
    </w:p>
  </w:comment>
  <w:comment w:id="4" w:author="Julie Debeljak" w:date="2014-04-09T09:57:00Z" w:initials="JD">
    <w:p w:rsidR="004222F7" w:rsidRDefault="004222F7">
      <w:pPr>
        <w:pStyle w:val="CommentText"/>
      </w:pPr>
      <w:r>
        <w:rPr>
          <w:rStyle w:val="CommentReference"/>
        </w:rPr>
        <w:annotationRef/>
      </w:r>
      <w:r>
        <w:t>I would say the main obstacle is education of the broader community about the impact of albinism. This should occur within the schooling system for KWA, and in the employment sector, particularly in relation to low vision and blindness for PWA.</w:t>
      </w:r>
    </w:p>
    <w:p w:rsidR="004222F7" w:rsidRDefault="004222F7">
      <w:pPr>
        <w:pStyle w:val="CommentText"/>
      </w:pPr>
    </w:p>
    <w:p w:rsidR="004222F7" w:rsidRDefault="004222F7">
      <w:pPr>
        <w:pStyle w:val="CommentText"/>
      </w:pPr>
      <w:r>
        <w:t xml:space="preserve">This education should focus on the “ability” of PWA, and clarify where issues may arise and the measures easily adopted to overcome the issues (i.e. blinds, technology, </w:t>
      </w:r>
      <w:proofErr w:type="spellStart"/>
      <w:r>
        <w:t>etc</w:t>
      </w:r>
      <w:proofErr w:type="spellEnd"/>
      <w:r>
        <w:t>).</w:t>
      </w:r>
    </w:p>
  </w:comment>
  <w:comment w:id="5" w:author="Julie Debeljak" w:date="2014-04-09T11:32:00Z" w:initials="JD">
    <w:p w:rsidR="00847C94" w:rsidRDefault="004222F7">
      <w:pPr>
        <w:pStyle w:val="CommentText"/>
      </w:pPr>
      <w:r>
        <w:rPr>
          <w:rStyle w:val="CommentReference"/>
        </w:rPr>
        <w:annotationRef/>
      </w:r>
      <w:r w:rsidR="00847C94">
        <w:t>There are no specific measures for PWA. However, much of the existing legal framework would cover the situation.</w:t>
      </w:r>
    </w:p>
    <w:p w:rsidR="00847C94" w:rsidRDefault="00847C94">
      <w:pPr>
        <w:pStyle w:val="CommentText"/>
      </w:pPr>
    </w:p>
    <w:p w:rsidR="004222F7" w:rsidRDefault="00847C94">
      <w:pPr>
        <w:pStyle w:val="CommentText"/>
      </w:pPr>
      <w:r>
        <w:t>Obviously</w:t>
      </w:r>
      <w:r w:rsidR="004222F7">
        <w:t xml:space="preserve"> there is criminal and civil laws that address issues of physical violence.</w:t>
      </w:r>
    </w:p>
    <w:p w:rsidR="004222F7" w:rsidRDefault="004222F7">
      <w:pPr>
        <w:pStyle w:val="CommentText"/>
      </w:pPr>
    </w:p>
    <w:p w:rsidR="004222F7" w:rsidRDefault="004222F7">
      <w:pPr>
        <w:pStyle w:val="CommentText"/>
      </w:pPr>
      <w:r>
        <w:t>We also have anti-discrimination laws in all jurisdictions, which cover sensory impairments and physical appearance. These documents only apply in public settings and have exemptions.</w:t>
      </w:r>
    </w:p>
    <w:p w:rsidR="004222F7" w:rsidRDefault="004222F7">
      <w:pPr>
        <w:pStyle w:val="CommentText"/>
      </w:pPr>
    </w:p>
    <w:p w:rsidR="004222F7" w:rsidRDefault="004222F7">
      <w:pPr>
        <w:pStyle w:val="CommentText"/>
      </w:pPr>
      <w:r>
        <w:t>We also have the Victorian Charter of Human Rights, and the ACT Human Rights Act, which reflect the International Covenant on Civil and Political Rights.</w:t>
      </w:r>
    </w:p>
  </w:comment>
  <w:comment w:id="6" w:author="Julie Debeljak" w:date="2014-04-09T11:34:00Z" w:initials="JD">
    <w:p w:rsidR="00847C94" w:rsidRDefault="00847C94">
      <w:pPr>
        <w:pStyle w:val="CommentText"/>
      </w:pPr>
      <w:r>
        <w:rPr>
          <w:rStyle w:val="CommentReference"/>
        </w:rPr>
        <w:annotationRef/>
      </w:r>
      <w:r>
        <w:t>I have no specific thoughts on this. However, you could repeat your suggestion here about a “hate crime” under question 9…</w:t>
      </w:r>
    </w:p>
  </w:comment>
  <w:comment w:id="8" w:author="Julie Debeljak" w:date="2014-04-09T11:36:00Z" w:initials="JD">
    <w:p w:rsidR="00847C94" w:rsidRDefault="00847C94">
      <w:pPr>
        <w:pStyle w:val="CommentText"/>
      </w:pPr>
      <w:r>
        <w:rPr>
          <w:rStyle w:val="CommentReference"/>
        </w:rPr>
        <w:annotationRef/>
      </w:r>
      <w:r>
        <w:t>Are there additional issues to do with the right to attain the highest degree of health, including skin care, and suitable glasses, etc?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AA" w:rsidRDefault="009C6CAA">
      <w:r>
        <w:separator/>
      </w:r>
    </w:p>
  </w:endnote>
  <w:endnote w:type="continuationSeparator" w:id="0">
    <w:p w:rsidR="009C6CAA" w:rsidRDefault="009C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82" w:rsidRDefault="009C6CAA">
    <w:pPr>
      <w:jc w:val="center"/>
    </w:pPr>
    <w:r>
      <w:fldChar w:fldCharType="begin"/>
    </w:r>
    <w:r>
      <w:instrText>PAGE</w:instrText>
    </w:r>
    <w:r>
      <w:fldChar w:fldCharType="separate"/>
    </w:r>
    <w:r w:rsidR="001036AE">
      <w:rPr>
        <w:noProof/>
      </w:rPr>
      <w:t>2</w:t>
    </w:r>
    <w:r>
      <w:fldChar w:fldCharType="end"/>
    </w:r>
  </w:p>
  <w:p w:rsidR="00345D82" w:rsidRDefault="00345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AA" w:rsidRDefault="009C6CAA">
      <w:r>
        <w:separator/>
      </w:r>
    </w:p>
  </w:footnote>
  <w:footnote w:type="continuationSeparator" w:id="0">
    <w:p w:rsidR="009C6CAA" w:rsidRDefault="009C6CAA">
      <w:r>
        <w:continuationSeparator/>
      </w:r>
    </w:p>
  </w:footnote>
  <w:footnote w:id="1">
    <w:p w:rsidR="00345D82" w:rsidRDefault="009C6CAA">
      <w:pPr>
        <w:ind w:right="1134" w:hanging="1133"/>
      </w:pPr>
      <w:r>
        <w:rPr>
          <w:vertAlign w:val="superscript"/>
        </w:rPr>
        <w:footnoteRef/>
      </w:r>
      <w:r>
        <w:rPr>
          <w:sz w:val="18"/>
        </w:rPr>
        <w:t xml:space="preserve"> A/HRC/AC/12/L.7, 28 February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82" w:rsidRDefault="009C6CAA">
    <w:pPr>
      <w:jc w:val="center"/>
    </w:pPr>
    <w:r>
      <w:rPr>
        <w:b/>
        <w:sz w:val="24"/>
      </w:rPr>
      <w:t>Human Rights Council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72A"/>
    <w:multiLevelType w:val="multilevel"/>
    <w:tmpl w:val="6E669FE4"/>
    <w:lvl w:ilvl="0">
      <w:start w:val="1"/>
      <w:numFmt w:val="decimal"/>
      <w:lvlText w:val="%1."/>
      <w:lvlJc w:val="left"/>
      <w:pPr>
        <w:ind w:left="927" w:firstLine="567"/>
      </w:pPr>
      <w:rPr>
        <w:rFonts w:ascii="Arial" w:eastAsia="Arial" w:hAnsi="Arial" w:cs="Arial"/>
        <w:vertAlign w:val="baseline"/>
      </w:rPr>
    </w:lvl>
    <w:lvl w:ilvl="1">
      <w:start w:val="1"/>
      <w:numFmt w:val="lowerLetter"/>
      <w:lvlText w:val="%2."/>
      <w:lvlJc w:val="left"/>
      <w:pPr>
        <w:ind w:left="1647" w:firstLine="1287"/>
      </w:pPr>
      <w:rPr>
        <w:rFonts w:ascii="Arial" w:eastAsia="Arial" w:hAnsi="Arial" w:cs="Arial"/>
        <w:vertAlign w:val="baseline"/>
      </w:rPr>
    </w:lvl>
    <w:lvl w:ilvl="2">
      <w:start w:val="1"/>
      <w:numFmt w:val="lowerRoman"/>
      <w:lvlText w:val="%3."/>
      <w:lvlJc w:val="right"/>
      <w:pPr>
        <w:ind w:left="2367" w:firstLine="2187"/>
      </w:pPr>
      <w:rPr>
        <w:rFonts w:ascii="Arial" w:eastAsia="Arial" w:hAnsi="Arial" w:cs="Arial"/>
        <w:vertAlign w:val="baseline"/>
      </w:rPr>
    </w:lvl>
    <w:lvl w:ilvl="3">
      <w:start w:val="1"/>
      <w:numFmt w:val="decimal"/>
      <w:lvlText w:val="%4."/>
      <w:lvlJc w:val="left"/>
      <w:pPr>
        <w:ind w:left="3087" w:firstLine="2727"/>
      </w:pPr>
      <w:rPr>
        <w:rFonts w:ascii="Arial" w:eastAsia="Arial" w:hAnsi="Arial" w:cs="Arial"/>
        <w:vertAlign w:val="baseline"/>
      </w:rPr>
    </w:lvl>
    <w:lvl w:ilvl="4">
      <w:start w:val="1"/>
      <w:numFmt w:val="lowerLetter"/>
      <w:lvlText w:val="%5."/>
      <w:lvlJc w:val="left"/>
      <w:pPr>
        <w:ind w:left="3807" w:firstLine="3447"/>
      </w:pPr>
      <w:rPr>
        <w:rFonts w:ascii="Arial" w:eastAsia="Arial" w:hAnsi="Arial" w:cs="Arial"/>
        <w:vertAlign w:val="baseline"/>
      </w:rPr>
    </w:lvl>
    <w:lvl w:ilvl="5">
      <w:start w:val="1"/>
      <w:numFmt w:val="lowerRoman"/>
      <w:lvlText w:val="%6."/>
      <w:lvlJc w:val="right"/>
      <w:pPr>
        <w:ind w:left="4527" w:firstLine="4347"/>
      </w:pPr>
      <w:rPr>
        <w:rFonts w:ascii="Arial" w:eastAsia="Arial" w:hAnsi="Arial" w:cs="Arial"/>
        <w:vertAlign w:val="baseline"/>
      </w:rPr>
    </w:lvl>
    <w:lvl w:ilvl="6">
      <w:start w:val="1"/>
      <w:numFmt w:val="decimal"/>
      <w:lvlText w:val="%7."/>
      <w:lvlJc w:val="left"/>
      <w:pPr>
        <w:ind w:left="5247" w:firstLine="4887"/>
      </w:pPr>
      <w:rPr>
        <w:rFonts w:ascii="Arial" w:eastAsia="Arial" w:hAnsi="Arial" w:cs="Arial"/>
        <w:vertAlign w:val="baseline"/>
      </w:rPr>
    </w:lvl>
    <w:lvl w:ilvl="7">
      <w:start w:val="1"/>
      <w:numFmt w:val="lowerLetter"/>
      <w:lvlText w:val="%8."/>
      <w:lvlJc w:val="left"/>
      <w:pPr>
        <w:ind w:left="5967" w:firstLine="5607"/>
      </w:pPr>
      <w:rPr>
        <w:rFonts w:ascii="Arial" w:eastAsia="Arial" w:hAnsi="Arial" w:cs="Arial"/>
        <w:vertAlign w:val="baseline"/>
      </w:rPr>
    </w:lvl>
    <w:lvl w:ilvl="8">
      <w:start w:val="1"/>
      <w:numFmt w:val="lowerRoman"/>
      <w:lvlText w:val="%9."/>
      <w:lvlJc w:val="right"/>
      <w:pPr>
        <w:ind w:left="6687" w:firstLine="6507"/>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5D82"/>
    <w:rsid w:val="001036AE"/>
    <w:rsid w:val="00193EED"/>
    <w:rsid w:val="00345D82"/>
    <w:rsid w:val="004222F7"/>
    <w:rsid w:val="007031EE"/>
    <w:rsid w:val="00705C71"/>
    <w:rsid w:val="00847C94"/>
    <w:rsid w:val="009C6CAA"/>
    <w:rsid w:val="00BD35FD"/>
    <w:rsid w:val="00D93A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3A4C"/>
    <w:pPr>
      <w:widowControl w:val="0"/>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93A4C"/>
    <w:pPr>
      <w:ind w:left="720"/>
      <w:contextualSpacing/>
    </w:pPr>
  </w:style>
  <w:style w:type="character" w:styleId="CommentReference">
    <w:name w:val="annotation reference"/>
    <w:basedOn w:val="DefaultParagraphFont"/>
    <w:uiPriority w:val="99"/>
    <w:semiHidden/>
    <w:unhideWhenUsed/>
    <w:rsid w:val="004222F7"/>
    <w:rPr>
      <w:sz w:val="16"/>
      <w:szCs w:val="16"/>
    </w:rPr>
  </w:style>
  <w:style w:type="paragraph" w:styleId="CommentText">
    <w:name w:val="annotation text"/>
    <w:basedOn w:val="Normal"/>
    <w:link w:val="CommentTextChar"/>
    <w:uiPriority w:val="99"/>
    <w:semiHidden/>
    <w:unhideWhenUsed/>
    <w:rsid w:val="004222F7"/>
    <w:rPr>
      <w:szCs w:val="20"/>
    </w:rPr>
  </w:style>
  <w:style w:type="character" w:customStyle="1" w:styleId="CommentTextChar">
    <w:name w:val="Comment Text Char"/>
    <w:basedOn w:val="DefaultParagraphFont"/>
    <w:link w:val="CommentText"/>
    <w:uiPriority w:val="99"/>
    <w:semiHidden/>
    <w:rsid w:val="004222F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222F7"/>
    <w:rPr>
      <w:b/>
      <w:bCs/>
    </w:rPr>
  </w:style>
  <w:style w:type="character" w:customStyle="1" w:styleId="CommentSubjectChar">
    <w:name w:val="Comment Subject Char"/>
    <w:basedOn w:val="CommentTextChar"/>
    <w:link w:val="CommentSubject"/>
    <w:uiPriority w:val="99"/>
    <w:semiHidden/>
    <w:rsid w:val="004222F7"/>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222F7"/>
    <w:rPr>
      <w:rFonts w:ascii="Tahoma" w:hAnsi="Tahoma" w:cs="Tahoma"/>
      <w:sz w:val="16"/>
      <w:szCs w:val="16"/>
    </w:rPr>
  </w:style>
  <w:style w:type="character" w:customStyle="1" w:styleId="BalloonTextChar">
    <w:name w:val="Balloon Text Char"/>
    <w:basedOn w:val="DefaultParagraphFont"/>
    <w:link w:val="BalloonText"/>
    <w:uiPriority w:val="99"/>
    <w:semiHidden/>
    <w:rsid w:val="004222F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3A4C"/>
    <w:pPr>
      <w:widowControl w:val="0"/>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93A4C"/>
    <w:pPr>
      <w:ind w:left="720"/>
      <w:contextualSpacing/>
    </w:pPr>
  </w:style>
  <w:style w:type="character" w:styleId="CommentReference">
    <w:name w:val="annotation reference"/>
    <w:basedOn w:val="DefaultParagraphFont"/>
    <w:uiPriority w:val="99"/>
    <w:semiHidden/>
    <w:unhideWhenUsed/>
    <w:rsid w:val="004222F7"/>
    <w:rPr>
      <w:sz w:val="16"/>
      <w:szCs w:val="16"/>
    </w:rPr>
  </w:style>
  <w:style w:type="paragraph" w:styleId="CommentText">
    <w:name w:val="annotation text"/>
    <w:basedOn w:val="Normal"/>
    <w:link w:val="CommentTextChar"/>
    <w:uiPriority w:val="99"/>
    <w:semiHidden/>
    <w:unhideWhenUsed/>
    <w:rsid w:val="004222F7"/>
    <w:rPr>
      <w:szCs w:val="20"/>
    </w:rPr>
  </w:style>
  <w:style w:type="character" w:customStyle="1" w:styleId="CommentTextChar">
    <w:name w:val="Comment Text Char"/>
    <w:basedOn w:val="DefaultParagraphFont"/>
    <w:link w:val="CommentText"/>
    <w:uiPriority w:val="99"/>
    <w:semiHidden/>
    <w:rsid w:val="004222F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222F7"/>
    <w:rPr>
      <w:b/>
      <w:bCs/>
    </w:rPr>
  </w:style>
  <w:style w:type="character" w:customStyle="1" w:styleId="CommentSubjectChar">
    <w:name w:val="Comment Subject Char"/>
    <w:basedOn w:val="CommentTextChar"/>
    <w:link w:val="CommentSubject"/>
    <w:uiPriority w:val="99"/>
    <w:semiHidden/>
    <w:rsid w:val="004222F7"/>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222F7"/>
    <w:rPr>
      <w:rFonts w:ascii="Tahoma" w:hAnsi="Tahoma" w:cs="Tahoma"/>
      <w:sz w:val="16"/>
      <w:szCs w:val="16"/>
    </w:rPr>
  </w:style>
  <w:style w:type="character" w:customStyle="1" w:styleId="BalloonTextChar">
    <w:name w:val="Balloon Text Char"/>
    <w:basedOn w:val="DefaultParagraphFont"/>
    <w:link w:val="BalloonText"/>
    <w:uiPriority w:val="99"/>
    <w:semiHidden/>
    <w:rsid w:val="004222F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ohchr.org/EN/HRBodies/HRC/AdvisoryCommittee/Pages/HRCACIndex.aspx"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ohchr.org/EN/HRBodies/HRC/AdvisoryCommittee/Pages/HRCACIndex.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chr.org/EN/HRBodies/HRC/AdvisoryCommittee/Pages/HRCACIndex.aspx" TargetMode="External"/><Relationship Id="rId5" Type="http://schemas.openxmlformats.org/officeDocument/2006/relationships/webSettings" Target="webSettings.xml"/><Relationship Id="rId15" Type="http://schemas.openxmlformats.org/officeDocument/2006/relationships/hyperlink" Target="http://www.ohchr.org/EN/HRBodies/HRC/AdvisoryCommittee/Pages/HRCACIndex.aspx" TargetMode="External"/><Relationship Id="rId10" Type="http://schemas.openxmlformats.org/officeDocument/2006/relationships/hyperlink" Target="mailto:hrcadvisorycommittee@ohch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rcadvisorycommittee@ohchr.org" TargetMode="External"/><Relationship Id="rId14" Type="http://schemas.openxmlformats.org/officeDocument/2006/relationships/hyperlink" Target="http://www.ohchr.org/EN/HRBodies/HRC/AdvisoryCommittee/Pages/HRCACIndex.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8C599-290A-4FAD-9B8D-18ACED71F369}"/>
</file>

<file path=customXml/itemProps2.xml><?xml version="1.0" encoding="utf-8"?>
<ds:datastoreItem xmlns:ds="http://schemas.openxmlformats.org/officeDocument/2006/customXml" ds:itemID="{C1D78791-12C6-4883-9D0C-C2FAE1B97F4F}"/>
</file>

<file path=customXml/itemProps3.xml><?xml version="1.0" encoding="utf-8"?>
<ds:datastoreItem xmlns:ds="http://schemas.openxmlformats.org/officeDocument/2006/customXml" ds:itemID="{59CD2EA8-F589-4D00-8A8E-7E23DBFFCD1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Questionnaire to States, NHRIs, NGOs.docx</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to States, NHRIs, NGOs.docx</dc:title>
  <dc:creator>Mammy</dc:creator>
  <cp:lastModifiedBy>Markova Anjela</cp:lastModifiedBy>
  <cp:revision>2</cp:revision>
  <dcterms:created xsi:type="dcterms:W3CDTF">2014-04-15T14:50:00Z</dcterms:created>
  <dcterms:modified xsi:type="dcterms:W3CDTF">2014-04-15T14:50:00Z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