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409" w:rsidRDefault="00721409">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hAnsi="Arial"/>
          <w:kern w:val="1"/>
          <w:sz w:val="24"/>
          <w:szCs w:val="24"/>
        </w:rPr>
      </w:pPr>
    </w:p>
    <w:p w:rsidR="00205911" w:rsidRDefault="00DC32F9">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hAnsi="Arial"/>
          <w:kern w:val="1"/>
          <w:sz w:val="24"/>
          <w:szCs w:val="24"/>
        </w:rPr>
      </w:pPr>
      <w:r>
        <w:rPr>
          <w:rStyle w:val="Ninguno"/>
          <w:rFonts w:ascii="Arial" w:hAnsi="Arial"/>
          <w:b/>
          <w:bCs/>
          <w:kern w:val="1"/>
          <w:sz w:val="24"/>
          <w:szCs w:val="24"/>
        </w:rPr>
        <w:t>Asunto</w:t>
      </w:r>
      <w:r>
        <w:rPr>
          <w:rStyle w:val="Ninguno"/>
          <w:rFonts w:ascii="Arial" w:hAnsi="Arial"/>
          <w:kern w:val="1"/>
          <w:sz w:val="24"/>
          <w:szCs w:val="24"/>
        </w:rPr>
        <w:t xml:space="preserve">: </w:t>
      </w:r>
      <w:r w:rsidR="00F925B7">
        <w:rPr>
          <w:rStyle w:val="Ninguno"/>
          <w:rFonts w:ascii="Arial" w:hAnsi="Arial"/>
          <w:kern w:val="1"/>
          <w:sz w:val="24"/>
          <w:szCs w:val="24"/>
        </w:rPr>
        <w:t xml:space="preserve">Observaciones al borrador de la </w:t>
      </w:r>
    </w:p>
    <w:p w:rsidR="00721409" w:rsidRDefault="00F925B7">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hAnsi="Arial"/>
          <w:kern w:val="1"/>
          <w:sz w:val="24"/>
          <w:szCs w:val="24"/>
        </w:rPr>
      </w:pPr>
      <w:r>
        <w:rPr>
          <w:rStyle w:val="Ninguno"/>
          <w:rFonts w:ascii="Arial" w:hAnsi="Arial"/>
          <w:kern w:val="1"/>
          <w:sz w:val="24"/>
          <w:szCs w:val="24"/>
        </w:rPr>
        <w:t>Observación General número 5</w:t>
      </w:r>
    </w:p>
    <w:p w:rsidR="00205911" w:rsidRDefault="00205911">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hAnsi="Arial"/>
          <w:kern w:val="1"/>
          <w:sz w:val="24"/>
          <w:szCs w:val="24"/>
        </w:rPr>
      </w:pPr>
      <w:r>
        <w:rPr>
          <w:rStyle w:val="Ninguno"/>
          <w:rFonts w:ascii="Arial" w:hAnsi="Arial"/>
          <w:kern w:val="1"/>
          <w:sz w:val="24"/>
          <w:szCs w:val="24"/>
        </w:rPr>
        <w:t>Del Comité sobre los Derechos de las Personas con Discapacidad</w:t>
      </w:r>
    </w:p>
    <w:p w:rsidR="00721409" w:rsidRDefault="00DC32F9">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eastAsia="Arial" w:hAnsi="Arial" w:cs="Arial"/>
          <w:kern w:val="1"/>
          <w:sz w:val="24"/>
          <w:szCs w:val="24"/>
        </w:rPr>
      </w:pPr>
      <w:r>
        <w:rPr>
          <w:rStyle w:val="Ninguno"/>
          <w:rFonts w:ascii="Arial" w:hAnsi="Arial"/>
          <w:kern w:val="1"/>
          <w:sz w:val="24"/>
          <w:szCs w:val="24"/>
        </w:rPr>
        <w:t>CDHDF/O</w:t>
      </w:r>
      <w:r w:rsidR="00B35162">
        <w:rPr>
          <w:rStyle w:val="Ninguno"/>
          <w:rFonts w:ascii="Arial" w:hAnsi="Arial"/>
          <w:kern w:val="1"/>
          <w:sz w:val="24"/>
          <w:szCs w:val="24"/>
        </w:rPr>
        <w:t>E</w:t>
      </w:r>
      <w:r>
        <w:rPr>
          <w:rStyle w:val="Ninguno"/>
          <w:rFonts w:ascii="Arial" w:hAnsi="Arial"/>
          <w:kern w:val="1"/>
          <w:sz w:val="24"/>
          <w:szCs w:val="24"/>
        </w:rPr>
        <w:t>/CVSCPP/</w:t>
      </w:r>
      <w:r w:rsidR="00B35162">
        <w:rPr>
          <w:rStyle w:val="Ninguno"/>
          <w:rFonts w:ascii="Arial" w:hAnsi="Arial"/>
          <w:kern w:val="1"/>
          <w:sz w:val="24"/>
          <w:szCs w:val="24"/>
        </w:rPr>
        <w:t>477</w:t>
      </w:r>
      <w:r>
        <w:rPr>
          <w:rStyle w:val="Ninguno"/>
          <w:rFonts w:ascii="Arial" w:hAnsi="Arial"/>
          <w:kern w:val="1"/>
          <w:sz w:val="24"/>
          <w:szCs w:val="24"/>
        </w:rPr>
        <w:t>/2017</w:t>
      </w:r>
    </w:p>
    <w:p w:rsidR="00721409" w:rsidRDefault="00DC32F9">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eastAsia="Arial" w:hAnsi="Arial" w:cs="Arial"/>
          <w:kern w:val="1"/>
          <w:sz w:val="24"/>
          <w:szCs w:val="24"/>
        </w:rPr>
      </w:pPr>
      <w:r>
        <w:rPr>
          <w:rStyle w:val="Ninguno"/>
          <w:rFonts w:ascii="Arial" w:hAnsi="Arial"/>
          <w:kern w:val="1"/>
          <w:sz w:val="24"/>
          <w:szCs w:val="24"/>
        </w:rPr>
        <w:t xml:space="preserve">Ciudad de México, a </w:t>
      </w:r>
      <w:r w:rsidR="003A0069">
        <w:rPr>
          <w:rStyle w:val="Ninguno"/>
          <w:rFonts w:ascii="Arial" w:hAnsi="Arial"/>
          <w:kern w:val="1"/>
          <w:sz w:val="24"/>
          <w:szCs w:val="24"/>
        </w:rPr>
        <w:t>30</w:t>
      </w:r>
      <w:r w:rsidR="00700CEB">
        <w:rPr>
          <w:rStyle w:val="Ninguno"/>
          <w:rFonts w:ascii="Arial" w:hAnsi="Arial"/>
          <w:kern w:val="1"/>
          <w:sz w:val="24"/>
          <w:szCs w:val="24"/>
        </w:rPr>
        <w:t xml:space="preserve"> </w:t>
      </w:r>
      <w:r>
        <w:rPr>
          <w:rStyle w:val="Ninguno"/>
          <w:rFonts w:ascii="Arial" w:hAnsi="Arial"/>
          <w:kern w:val="1"/>
          <w:sz w:val="24"/>
          <w:szCs w:val="24"/>
        </w:rPr>
        <w:t xml:space="preserve">de </w:t>
      </w:r>
      <w:r w:rsidR="00700CEB">
        <w:rPr>
          <w:rStyle w:val="Ninguno"/>
          <w:rFonts w:ascii="Arial" w:hAnsi="Arial"/>
          <w:kern w:val="1"/>
          <w:sz w:val="24"/>
          <w:szCs w:val="24"/>
        </w:rPr>
        <w:t xml:space="preserve">noviembre </w:t>
      </w:r>
      <w:r>
        <w:rPr>
          <w:rStyle w:val="Ninguno"/>
          <w:rFonts w:ascii="Arial" w:hAnsi="Arial"/>
          <w:kern w:val="1"/>
          <w:sz w:val="24"/>
          <w:szCs w:val="24"/>
        </w:rPr>
        <w:t>de 2017</w:t>
      </w:r>
    </w:p>
    <w:p w:rsidR="00721409" w:rsidRDefault="00721409">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eastAsia="Arial" w:hAnsi="Arial" w:cs="Arial"/>
          <w:kern w:val="1"/>
          <w:sz w:val="24"/>
          <w:szCs w:val="24"/>
        </w:rPr>
      </w:pPr>
    </w:p>
    <w:p w:rsidR="00721409" w:rsidRDefault="00721409">
      <w:pPr>
        <w:pStyle w:val="Cuerpo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276" w:lineRule="auto"/>
        <w:jc w:val="right"/>
        <w:rPr>
          <w:rStyle w:val="Ninguno"/>
          <w:rFonts w:ascii="Arial" w:eastAsia="Arial" w:hAnsi="Arial" w:cs="Arial"/>
          <w:kern w:val="1"/>
          <w:sz w:val="24"/>
          <w:szCs w:val="24"/>
        </w:rPr>
      </w:pPr>
    </w:p>
    <w:p w:rsidR="00721409" w:rsidRDefault="00CC00F1">
      <w:pPr>
        <w:pStyle w:val="Header"/>
        <w:tabs>
          <w:tab w:val="clear" w:pos="8838"/>
          <w:tab w:val="right" w:pos="8620"/>
          <w:tab w:val="left" w:pos="9132"/>
        </w:tabs>
        <w:spacing w:line="276" w:lineRule="auto"/>
        <w:rPr>
          <w:rStyle w:val="Ninguno"/>
          <w:rFonts w:ascii="Arial" w:eastAsia="Arial" w:hAnsi="Arial" w:cs="Arial"/>
          <w:b/>
          <w:bCs/>
        </w:rPr>
      </w:pPr>
      <w:r>
        <w:rPr>
          <w:rStyle w:val="Ninguno"/>
          <w:rFonts w:ascii="Arial" w:hAnsi="Arial"/>
          <w:b/>
          <w:bCs/>
        </w:rPr>
        <w:t>Jorge Araya</w:t>
      </w:r>
    </w:p>
    <w:p w:rsidR="00721409" w:rsidRDefault="00CC00F1">
      <w:pPr>
        <w:pStyle w:val="Header"/>
        <w:tabs>
          <w:tab w:val="clear" w:pos="8838"/>
          <w:tab w:val="right" w:pos="8620"/>
          <w:tab w:val="left" w:pos="9132"/>
        </w:tabs>
        <w:spacing w:line="276" w:lineRule="auto"/>
        <w:rPr>
          <w:rStyle w:val="Ninguno"/>
          <w:rFonts w:ascii="Arial" w:hAnsi="Arial"/>
          <w:b/>
          <w:bCs/>
        </w:rPr>
      </w:pPr>
      <w:r>
        <w:rPr>
          <w:rStyle w:val="Ninguno"/>
          <w:rFonts w:ascii="Arial" w:hAnsi="Arial"/>
          <w:b/>
          <w:bCs/>
        </w:rPr>
        <w:t>Secretario del Comité sobre los Derechos de las Personas con Discapacidad</w:t>
      </w:r>
    </w:p>
    <w:p w:rsidR="00CC00F1" w:rsidRDefault="00CC00F1">
      <w:pPr>
        <w:pStyle w:val="Header"/>
        <w:tabs>
          <w:tab w:val="clear" w:pos="8838"/>
          <w:tab w:val="right" w:pos="8620"/>
          <w:tab w:val="left" w:pos="9132"/>
        </w:tabs>
        <w:spacing w:line="276" w:lineRule="auto"/>
        <w:rPr>
          <w:rStyle w:val="Ninguno"/>
          <w:rFonts w:ascii="Arial" w:eastAsia="Arial" w:hAnsi="Arial" w:cs="Arial"/>
          <w:b/>
          <w:bCs/>
        </w:rPr>
      </w:pPr>
      <w:r>
        <w:rPr>
          <w:rStyle w:val="Ninguno"/>
          <w:rFonts w:ascii="Arial" w:hAnsi="Arial"/>
          <w:b/>
          <w:bCs/>
        </w:rPr>
        <w:t>Organización de las Naciones Unidas</w:t>
      </w:r>
    </w:p>
    <w:p w:rsidR="00721409" w:rsidRDefault="00DC32F9">
      <w:pPr>
        <w:pStyle w:val="Header"/>
        <w:tabs>
          <w:tab w:val="clear" w:pos="8838"/>
          <w:tab w:val="right" w:pos="8620"/>
          <w:tab w:val="left" w:pos="9132"/>
        </w:tabs>
        <w:spacing w:line="276" w:lineRule="auto"/>
        <w:rPr>
          <w:rStyle w:val="Ninguno"/>
          <w:rFonts w:ascii="Arial" w:eastAsia="Arial" w:hAnsi="Arial" w:cs="Arial"/>
          <w:b/>
          <w:bCs/>
        </w:rPr>
      </w:pPr>
      <w:r>
        <w:rPr>
          <w:rStyle w:val="Ninguno"/>
          <w:rFonts w:ascii="Arial" w:hAnsi="Arial"/>
          <w:b/>
          <w:bCs/>
        </w:rPr>
        <w:t>P R E S E N T E</w:t>
      </w:r>
    </w:p>
    <w:p w:rsidR="00721409" w:rsidRDefault="00721409">
      <w:pPr>
        <w:pStyle w:val="Header"/>
        <w:tabs>
          <w:tab w:val="clear" w:pos="8838"/>
          <w:tab w:val="right" w:pos="8620"/>
          <w:tab w:val="left" w:pos="9132"/>
        </w:tabs>
        <w:spacing w:line="276" w:lineRule="auto"/>
        <w:rPr>
          <w:rFonts w:ascii="Arial" w:eastAsia="Arial" w:hAnsi="Arial" w:cs="Arial"/>
          <w:b/>
          <w:bCs/>
        </w:rPr>
      </w:pPr>
    </w:p>
    <w:p w:rsidR="00D436B2" w:rsidRDefault="00D436B2">
      <w:pPr>
        <w:pStyle w:val="Header"/>
        <w:tabs>
          <w:tab w:val="clear" w:pos="8838"/>
          <w:tab w:val="right" w:pos="8620"/>
          <w:tab w:val="left" w:pos="9132"/>
        </w:tabs>
        <w:spacing w:line="360" w:lineRule="auto"/>
        <w:jc w:val="both"/>
        <w:rPr>
          <w:rStyle w:val="Ninguno"/>
          <w:rFonts w:ascii="Arial" w:hAnsi="Arial"/>
        </w:rPr>
      </w:pPr>
      <w:r>
        <w:rPr>
          <w:rStyle w:val="Ninguno"/>
          <w:rFonts w:ascii="Arial" w:hAnsi="Arial"/>
        </w:rPr>
        <w:t>Desde la Comisión de Derechos Humanos de</w:t>
      </w:r>
      <w:r w:rsidR="00021964">
        <w:rPr>
          <w:rStyle w:val="Ninguno"/>
          <w:rFonts w:ascii="Arial" w:hAnsi="Arial"/>
        </w:rPr>
        <w:t>l Distrito Federal</w:t>
      </w:r>
      <w:r>
        <w:rPr>
          <w:rStyle w:val="Ninguno"/>
          <w:rFonts w:ascii="Arial" w:hAnsi="Arial"/>
        </w:rPr>
        <w:t xml:space="preserve">, nos congratulamos por la emisión de la observación general número 6, referente a la igualdad y no discriminación de las personas con discapacidad. </w:t>
      </w:r>
    </w:p>
    <w:p w:rsidR="00D436B2" w:rsidRDefault="00D436B2" w:rsidP="00D436B2">
      <w:pPr>
        <w:pStyle w:val="Header"/>
        <w:tabs>
          <w:tab w:val="clear" w:pos="8838"/>
          <w:tab w:val="right" w:pos="8620"/>
          <w:tab w:val="left" w:pos="9132"/>
        </w:tabs>
        <w:spacing w:before="240" w:line="360" w:lineRule="auto"/>
        <w:jc w:val="both"/>
        <w:rPr>
          <w:rStyle w:val="Ninguno"/>
          <w:rFonts w:ascii="Arial" w:hAnsi="Arial"/>
        </w:rPr>
      </w:pPr>
      <w:r>
        <w:rPr>
          <w:rStyle w:val="Ninguno"/>
          <w:rFonts w:ascii="Arial" w:hAnsi="Arial"/>
        </w:rPr>
        <w:t xml:space="preserve">Asimismo, agradecemos la oportunidad que se ofrece a las personas interesadas en realizar observaciones que enriquezcan el contenido de la observación. </w:t>
      </w:r>
    </w:p>
    <w:p w:rsidR="00CC00F1" w:rsidRDefault="00D436B2" w:rsidP="00D436B2">
      <w:pPr>
        <w:pStyle w:val="Header"/>
        <w:tabs>
          <w:tab w:val="clear" w:pos="8838"/>
          <w:tab w:val="right" w:pos="8620"/>
          <w:tab w:val="left" w:pos="9132"/>
        </w:tabs>
        <w:spacing w:before="240" w:line="360" w:lineRule="auto"/>
        <w:jc w:val="both"/>
        <w:rPr>
          <w:rStyle w:val="Ninguno"/>
          <w:rFonts w:ascii="Arial" w:hAnsi="Arial"/>
        </w:rPr>
      </w:pPr>
      <w:r>
        <w:rPr>
          <w:rStyle w:val="Ninguno"/>
          <w:rFonts w:ascii="Arial" w:hAnsi="Arial"/>
        </w:rPr>
        <w:t>En ese sentido, adjunto al presente los comentarios y propuesta de redacción</w:t>
      </w:r>
      <w:r w:rsidR="00B35162">
        <w:rPr>
          <w:rStyle w:val="Ninguno"/>
          <w:rFonts w:ascii="Arial" w:hAnsi="Arial"/>
        </w:rPr>
        <w:t>.</w:t>
      </w:r>
    </w:p>
    <w:p w:rsidR="00721409" w:rsidRDefault="00327635" w:rsidP="00D436B2">
      <w:pPr>
        <w:pStyle w:val="Header"/>
        <w:tabs>
          <w:tab w:val="clear" w:pos="8838"/>
          <w:tab w:val="right" w:pos="8620"/>
          <w:tab w:val="left" w:pos="9132"/>
        </w:tabs>
        <w:spacing w:before="240" w:line="360" w:lineRule="auto"/>
        <w:jc w:val="both"/>
        <w:rPr>
          <w:rFonts w:ascii="Arial" w:eastAsia="Arial" w:hAnsi="Arial" w:cs="Arial"/>
        </w:rPr>
      </w:pPr>
      <w:r>
        <w:rPr>
          <w:rStyle w:val="Ninguno"/>
          <w:rFonts w:ascii="Arial" w:hAnsi="Arial"/>
        </w:rPr>
        <w:t xml:space="preserve">Aprovecho la ocasión para enviarle un cordial saludo. </w:t>
      </w:r>
    </w:p>
    <w:p w:rsidR="00327635" w:rsidRDefault="00327635">
      <w:pPr>
        <w:pStyle w:val="Header"/>
        <w:tabs>
          <w:tab w:val="clear" w:pos="8838"/>
          <w:tab w:val="right" w:pos="8620"/>
          <w:tab w:val="left" w:pos="9132"/>
        </w:tabs>
        <w:spacing w:line="360" w:lineRule="auto"/>
        <w:jc w:val="both"/>
        <w:rPr>
          <w:rStyle w:val="Ninguno"/>
          <w:rFonts w:ascii="Arial" w:hAnsi="Arial"/>
        </w:rPr>
      </w:pPr>
    </w:p>
    <w:p w:rsidR="00721409" w:rsidRDefault="00DC32F9">
      <w:pPr>
        <w:pStyle w:val="Header"/>
        <w:tabs>
          <w:tab w:val="clear" w:pos="8838"/>
          <w:tab w:val="right" w:pos="8620"/>
          <w:tab w:val="left" w:pos="9132"/>
        </w:tabs>
        <w:spacing w:line="360" w:lineRule="auto"/>
        <w:jc w:val="both"/>
        <w:rPr>
          <w:rStyle w:val="Ninguno"/>
          <w:rFonts w:ascii="Arial" w:eastAsia="Arial" w:hAnsi="Arial" w:cs="Arial"/>
        </w:rPr>
      </w:pPr>
      <w:r>
        <w:rPr>
          <w:rStyle w:val="Ninguno"/>
          <w:rFonts w:ascii="Arial" w:hAnsi="Arial"/>
        </w:rPr>
        <w:t xml:space="preserve">Atentamente, </w:t>
      </w:r>
    </w:p>
    <w:p w:rsidR="00721409" w:rsidRDefault="00721409">
      <w:pPr>
        <w:pStyle w:val="Header"/>
        <w:tabs>
          <w:tab w:val="clear" w:pos="8838"/>
          <w:tab w:val="right" w:pos="8620"/>
          <w:tab w:val="left" w:pos="9132"/>
        </w:tabs>
        <w:spacing w:line="276" w:lineRule="auto"/>
        <w:jc w:val="both"/>
        <w:rPr>
          <w:rFonts w:ascii="Arial" w:eastAsia="Arial" w:hAnsi="Arial" w:cs="Arial"/>
        </w:rPr>
      </w:pPr>
    </w:p>
    <w:p w:rsidR="00B35162" w:rsidRDefault="00B35162">
      <w:pPr>
        <w:pStyle w:val="Header"/>
        <w:tabs>
          <w:tab w:val="clear" w:pos="8838"/>
          <w:tab w:val="right" w:pos="8620"/>
          <w:tab w:val="left" w:pos="9132"/>
        </w:tabs>
        <w:spacing w:line="276" w:lineRule="auto"/>
        <w:jc w:val="both"/>
        <w:rPr>
          <w:rFonts w:ascii="Arial" w:eastAsia="Arial" w:hAnsi="Arial" w:cs="Arial"/>
        </w:rPr>
      </w:pPr>
    </w:p>
    <w:p w:rsidR="00B35162" w:rsidRDefault="00B35162">
      <w:pPr>
        <w:pStyle w:val="Header"/>
        <w:tabs>
          <w:tab w:val="clear" w:pos="8838"/>
          <w:tab w:val="right" w:pos="8620"/>
          <w:tab w:val="left" w:pos="9132"/>
        </w:tabs>
        <w:spacing w:line="276" w:lineRule="auto"/>
        <w:jc w:val="both"/>
        <w:rPr>
          <w:rFonts w:ascii="Arial" w:eastAsia="Arial" w:hAnsi="Arial" w:cs="Arial"/>
        </w:rPr>
      </w:pPr>
    </w:p>
    <w:p w:rsidR="00721409" w:rsidRDefault="00721409">
      <w:pPr>
        <w:pStyle w:val="Header"/>
        <w:tabs>
          <w:tab w:val="clear" w:pos="8838"/>
          <w:tab w:val="right" w:pos="8620"/>
          <w:tab w:val="left" w:pos="9132"/>
        </w:tabs>
        <w:spacing w:line="276" w:lineRule="auto"/>
        <w:jc w:val="both"/>
        <w:rPr>
          <w:rFonts w:ascii="Arial" w:eastAsia="Arial" w:hAnsi="Arial" w:cs="Arial"/>
        </w:rPr>
      </w:pPr>
    </w:p>
    <w:p w:rsidR="00721409" w:rsidRDefault="00721409">
      <w:pPr>
        <w:pStyle w:val="Header"/>
        <w:tabs>
          <w:tab w:val="clear" w:pos="8838"/>
          <w:tab w:val="right" w:pos="8620"/>
          <w:tab w:val="left" w:pos="9132"/>
        </w:tabs>
        <w:spacing w:line="276" w:lineRule="auto"/>
        <w:jc w:val="both"/>
        <w:rPr>
          <w:rFonts w:ascii="Arial" w:eastAsia="Arial" w:hAnsi="Arial" w:cs="Arial"/>
        </w:rPr>
      </w:pPr>
    </w:p>
    <w:p w:rsidR="00721409" w:rsidRDefault="00DC32F9">
      <w:pPr>
        <w:pStyle w:val="Header"/>
        <w:tabs>
          <w:tab w:val="clear" w:pos="8838"/>
          <w:tab w:val="right" w:pos="8620"/>
          <w:tab w:val="left" w:pos="9132"/>
        </w:tabs>
        <w:spacing w:line="276" w:lineRule="auto"/>
        <w:jc w:val="center"/>
        <w:rPr>
          <w:rStyle w:val="Ninguno"/>
          <w:rFonts w:ascii="Arial" w:eastAsia="Arial" w:hAnsi="Arial" w:cs="Arial"/>
          <w:b/>
          <w:bCs/>
        </w:rPr>
      </w:pPr>
      <w:r>
        <w:rPr>
          <w:rStyle w:val="Ninguno"/>
          <w:rFonts w:ascii="Arial" w:hAnsi="Arial"/>
          <w:b/>
          <w:bCs/>
        </w:rPr>
        <w:t xml:space="preserve">Lic. </w:t>
      </w:r>
      <w:r w:rsidR="00B35162">
        <w:rPr>
          <w:rStyle w:val="Ninguno"/>
          <w:rFonts w:ascii="Arial" w:hAnsi="Arial"/>
          <w:b/>
          <w:bCs/>
        </w:rPr>
        <w:t>Norma González Benítez</w:t>
      </w:r>
    </w:p>
    <w:p w:rsidR="00721409" w:rsidRDefault="00B35162">
      <w:pPr>
        <w:pStyle w:val="Header"/>
        <w:tabs>
          <w:tab w:val="clear" w:pos="8838"/>
          <w:tab w:val="right" w:pos="8620"/>
          <w:tab w:val="left" w:pos="9132"/>
        </w:tabs>
        <w:spacing w:line="276" w:lineRule="auto"/>
        <w:jc w:val="center"/>
        <w:rPr>
          <w:rStyle w:val="Ninguno"/>
          <w:rFonts w:ascii="Arial" w:hAnsi="Arial"/>
          <w:b/>
          <w:bCs/>
        </w:rPr>
      </w:pPr>
      <w:r>
        <w:rPr>
          <w:rStyle w:val="Ninguno"/>
          <w:rFonts w:ascii="Arial" w:hAnsi="Arial"/>
          <w:b/>
          <w:bCs/>
        </w:rPr>
        <w:t>Relatora por los Derechos de las Personas con Discapacidad</w:t>
      </w:r>
    </w:p>
    <w:p w:rsidR="00B35162" w:rsidRDefault="00B35162">
      <w:pPr>
        <w:pStyle w:val="Header"/>
        <w:tabs>
          <w:tab w:val="clear" w:pos="8838"/>
          <w:tab w:val="right" w:pos="8620"/>
          <w:tab w:val="left" w:pos="9132"/>
        </w:tabs>
        <w:spacing w:line="276" w:lineRule="auto"/>
        <w:jc w:val="center"/>
        <w:rPr>
          <w:rStyle w:val="Ninguno"/>
          <w:rFonts w:ascii="Arial" w:hAnsi="Arial"/>
          <w:b/>
          <w:bCs/>
        </w:rPr>
      </w:pPr>
      <w:r>
        <w:rPr>
          <w:rStyle w:val="Ninguno"/>
          <w:rFonts w:ascii="Arial" w:hAnsi="Arial"/>
          <w:b/>
          <w:bCs/>
        </w:rPr>
        <w:t>Comisión de Derechos Humanos del Distrito Federal</w:t>
      </w:r>
    </w:p>
    <w:p w:rsidR="00B35162" w:rsidRDefault="00B35162">
      <w:pPr>
        <w:pStyle w:val="Header"/>
        <w:tabs>
          <w:tab w:val="clear" w:pos="8838"/>
          <w:tab w:val="right" w:pos="8620"/>
          <w:tab w:val="left" w:pos="9132"/>
        </w:tabs>
        <w:spacing w:line="276" w:lineRule="auto"/>
        <w:jc w:val="center"/>
        <w:rPr>
          <w:rStyle w:val="Ninguno"/>
          <w:rFonts w:ascii="Arial" w:hAnsi="Arial"/>
          <w:b/>
          <w:bCs/>
        </w:rPr>
      </w:pPr>
      <w:r>
        <w:rPr>
          <w:rStyle w:val="Ninguno"/>
          <w:rFonts w:ascii="Arial" w:hAnsi="Arial"/>
          <w:b/>
          <w:bCs/>
        </w:rPr>
        <w:t>México</w:t>
      </w:r>
    </w:p>
    <w:p w:rsidR="006C13C2" w:rsidRDefault="006C13C2">
      <w:pPr>
        <w:pStyle w:val="Header"/>
        <w:tabs>
          <w:tab w:val="clear" w:pos="8838"/>
          <w:tab w:val="right" w:pos="8620"/>
          <w:tab w:val="left" w:pos="9132"/>
        </w:tabs>
        <w:spacing w:line="276" w:lineRule="auto"/>
        <w:jc w:val="center"/>
        <w:rPr>
          <w:rStyle w:val="Ninguno"/>
          <w:rFonts w:ascii="Arial" w:hAnsi="Arial"/>
          <w:b/>
          <w:bCs/>
        </w:rPr>
      </w:pPr>
    </w:p>
    <w:p w:rsidR="006C13C2" w:rsidRDefault="006C13C2">
      <w:pPr>
        <w:pStyle w:val="Header"/>
        <w:tabs>
          <w:tab w:val="clear" w:pos="8838"/>
          <w:tab w:val="right" w:pos="8620"/>
          <w:tab w:val="left" w:pos="9132"/>
        </w:tabs>
        <w:spacing w:line="276" w:lineRule="auto"/>
        <w:jc w:val="center"/>
        <w:rPr>
          <w:rStyle w:val="Ninguno"/>
          <w:rFonts w:ascii="Arial" w:hAnsi="Arial"/>
          <w:b/>
          <w:bCs/>
        </w:rPr>
      </w:pPr>
    </w:p>
    <w:p w:rsidR="00B35162" w:rsidRDefault="00B35162">
      <w:pPr>
        <w:pStyle w:val="Header"/>
        <w:tabs>
          <w:tab w:val="clear" w:pos="8838"/>
          <w:tab w:val="right" w:pos="8620"/>
          <w:tab w:val="left" w:pos="9132"/>
        </w:tabs>
        <w:spacing w:line="276" w:lineRule="auto"/>
        <w:jc w:val="center"/>
        <w:rPr>
          <w:rStyle w:val="Ninguno"/>
          <w:rFonts w:ascii="Arial" w:hAnsi="Arial"/>
          <w:b/>
          <w:bCs/>
        </w:rPr>
      </w:pPr>
    </w:p>
    <w:p w:rsidR="00B35162" w:rsidRDefault="00B35162">
      <w:pPr>
        <w:pStyle w:val="Header"/>
        <w:tabs>
          <w:tab w:val="clear" w:pos="8838"/>
          <w:tab w:val="right" w:pos="8620"/>
          <w:tab w:val="left" w:pos="9132"/>
        </w:tabs>
        <w:spacing w:line="276" w:lineRule="auto"/>
        <w:jc w:val="center"/>
        <w:rPr>
          <w:rStyle w:val="Ninguno"/>
          <w:rFonts w:ascii="Arial" w:hAnsi="Arial"/>
          <w:b/>
          <w:bCs/>
        </w:rPr>
      </w:pPr>
    </w:p>
    <w:p w:rsidR="00B35162" w:rsidRDefault="00B35162">
      <w:pPr>
        <w:pStyle w:val="Header"/>
        <w:tabs>
          <w:tab w:val="clear" w:pos="8838"/>
          <w:tab w:val="right" w:pos="8620"/>
          <w:tab w:val="left" w:pos="9132"/>
        </w:tabs>
        <w:spacing w:line="276" w:lineRule="auto"/>
        <w:jc w:val="center"/>
        <w:rPr>
          <w:rStyle w:val="Ninguno"/>
          <w:rFonts w:ascii="Arial" w:hAnsi="Arial"/>
          <w:b/>
          <w:bCs/>
        </w:rPr>
      </w:pPr>
    </w:p>
    <w:p w:rsidR="00CC00F1" w:rsidRDefault="00CC00F1" w:rsidP="006C13C2">
      <w:pPr>
        <w:pStyle w:val="Header"/>
        <w:tabs>
          <w:tab w:val="clear" w:pos="8838"/>
          <w:tab w:val="right" w:pos="8620"/>
          <w:tab w:val="left" w:pos="9132"/>
        </w:tabs>
        <w:spacing w:line="276" w:lineRule="auto"/>
        <w:jc w:val="both"/>
        <w:rPr>
          <w:rStyle w:val="Ninguno"/>
          <w:rFonts w:ascii="Arial" w:hAnsi="Arial"/>
          <w:b/>
          <w:bCs/>
          <w:sz w:val="16"/>
          <w:szCs w:val="16"/>
        </w:rPr>
      </w:pPr>
    </w:p>
    <w:p w:rsidR="003A0069" w:rsidRDefault="00CC00F1" w:rsidP="003A0069">
      <w:pPr>
        <w:pStyle w:val="Header"/>
        <w:tabs>
          <w:tab w:val="clear" w:pos="8838"/>
          <w:tab w:val="right" w:pos="8620"/>
          <w:tab w:val="left" w:pos="9132"/>
        </w:tabs>
        <w:spacing w:line="276" w:lineRule="auto"/>
        <w:jc w:val="center"/>
        <w:rPr>
          <w:rStyle w:val="Ninguno"/>
          <w:rFonts w:ascii="Arial" w:hAnsi="Arial"/>
          <w:b/>
          <w:bCs/>
        </w:rPr>
      </w:pPr>
      <w:r>
        <w:rPr>
          <w:rStyle w:val="Ninguno"/>
          <w:rFonts w:ascii="Arial" w:hAnsi="Arial"/>
          <w:b/>
          <w:bCs/>
        </w:rPr>
        <w:t>Borrador de la observación general número 5</w:t>
      </w:r>
      <w:r w:rsidR="003A0069">
        <w:rPr>
          <w:rStyle w:val="Ninguno"/>
          <w:rFonts w:ascii="Arial" w:hAnsi="Arial"/>
          <w:b/>
          <w:bCs/>
        </w:rPr>
        <w:t xml:space="preserve"> del </w:t>
      </w:r>
    </w:p>
    <w:p w:rsidR="003A0069" w:rsidRDefault="003A0069" w:rsidP="003A0069">
      <w:pPr>
        <w:pStyle w:val="Header"/>
        <w:tabs>
          <w:tab w:val="clear" w:pos="8838"/>
          <w:tab w:val="right" w:pos="8620"/>
          <w:tab w:val="left" w:pos="9132"/>
        </w:tabs>
        <w:spacing w:line="276" w:lineRule="auto"/>
        <w:jc w:val="center"/>
        <w:rPr>
          <w:rStyle w:val="Ninguno"/>
          <w:rFonts w:ascii="Arial" w:hAnsi="Arial"/>
          <w:b/>
          <w:bCs/>
        </w:rPr>
      </w:pPr>
      <w:r>
        <w:rPr>
          <w:rStyle w:val="Ninguno"/>
          <w:rFonts w:ascii="Arial" w:hAnsi="Arial"/>
          <w:b/>
          <w:bCs/>
        </w:rPr>
        <w:t>Comité sobre los Derechos de las Personas con Discapacidad</w:t>
      </w:r>
    </w:p>
    <w:p w:rsidR="00CC00F1" w:rsidRDefault="003A0069" w:rsidP="00CC00F1">
      <w:pPr>
        <w:pStyle w:val="Header"/>
        <w:tabs>
          <w:tab w:val="clear" w:pos="8838"/>
          <w:tab w:val="right" w:pos="8620"/>
          <w:tab w:val="left" w:pos="9132"/>
        </w:tabs>
        <w:spacing w:line="276" w:lineRule="auto"/>
        <w:jc w:val="center"/>
        <w:rPr>
          <w:rStyle w:val="Ninguno"/>
          <w:rFonts w:ascii="Arial" w:hAnsi="Arial"/>
          <w:b/>
          <w:bCs/>
        </w:rPr>
      </w:pPr>
      <w:proofErr w:type="gramStart"/>
      <w:r>
        <w:rPr>
          <w:rStyle w:val="Ninguno"/>
          <w:rFonts w:ascii="Arial" w:hAnsi="Arial"/>
          <w:b/>
          <w:bCs/>
        </w:rPr>
        <w:t>realizadas</w:t>
      </w:r>
      <w:proofErr w:type="gramEnd"/>
      <w:r>
        <w:rPr>
          <w:rStyle w:val="Ninguno"/>
          <w:rFonts w:ascii="Arial" w:hAnsi="Arial"/>
          <w:b/>
          <w:bCs/>
        </w:rPr>
        <w:t xml:space="preserve"> por la Comisión de Derechos Humanos del Distrito Federal (CDHDF) México</w:t>
      </w:r>
    </w:p>
    <w:p w:rsidR="00CC00F1" w:rsidRDefault="00CC00F1" w:rsidP="00CC00F1">
      <w:pPr>
        <w:pStyle w:val="Header"/>
        <w:tabs>
          <w:tab w:val="clear" w:pos="8838"/>
          <w:tab w:val="right" w:pos="8620"/>
          <w:tab w:val="left" w:pos="9132"/>
        </w:tabs>
        <w:spacing w:line="276" w:lineRule="auto"/>
        <w:jc w:val="center"/>
        <w:rPr>
          <w:rStyle w:val="Ninguno"/>
          <w:rFonts w:ascii="Arial" w:hAnsi="Arial"/>
          <w:b/>
          <w:bCs/>
        </w:rPr>
      </w:pPr>
    </w:p>
    <w:tbl>
      <w:tblPr>
        <w:tblStyle w:val="TableGrid"/>
        <w:tblW w:w="10208" w:type="dxa"/>
        <w:tblLook w:val="04A0" w:firstRow="1" w:lastRow="0" w:firstColumn="1" w:lastColumn="0" w:noHBand="0" w:noVBand="1"/>
      </w:tblPr>
      <w:tblGrid>
        <w:gridCol w:w="1194"/>
        <w:gridCol w:w="2911"/>
        <w:gridCol w:w="3182"/>
        <w:gridCol w:w="2921"/>
      </w:tblGrid>
      <w:tr w:rsidR="00567B40" w:rsidRPr="003F727E" w:rsidTr="003D0867">
        <w:tc>
          <w:tcPr>
            <w:tcW w:w="3964" w:type="dxa"/>
            <w:gridSpan w:val="2"/>
            <w:shd w:val="clear" w:color="auto" w:fill="E7C7F1" w:themeFill="accent6" w:themeFillTint="33"/>
          </w:tcPr>
          <w:p w:rsidR="00567B40" w:rsidRPr="003F727E" w:rsidRDefault="00567B40" w:rsidP="00261091">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jc w:val="center"/>
              <w:rPr>
                <w:sz w:val="22"/>
                <w:szCs w:val="22"/>
              </w:rPr>
            </w:pPr>
            <w:r w:rsidRPr="003F727E">
              <w:rPr>
                <w:sz w:val="22"/>
                <w:szCs w:val="22"/>
              </w:rPr>
              <w:t>Texto del Borrador</w:t>
            </w:r>
          </w:p>
        </w:tc>
        <w:tc>
          <w:tcPr>
            <w:tcW w:w="3261" w:type="dxa"/>
            <w:shd w:val="clear" w:color="auto" w:fill="E7C7F1" w:themeFill="accent6" w:themeFillTint="33"/>
          </w:tcPr>
          <w:p w:rsidR="00567B40" w:rsidRPr="003F727E" w:rsidRDefault="00567B40" w:rsidP="00261091">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jc w:val="center"/>
              <w:rPr>
                <w:sz w:val="22"/>
                <w:szCs w:val="22"/>
              </w:rPr>
            </w:pPr>
            <w:r w:rsidRPr="003F727E">
              <w:rPr>
                <w:sz w:val="22"/>
                <w:szCs w:val="22"/>
              </w:rPr>
              <w:t>Comentario</w:t>
            </w:r>
            <w:r w:rsidR="003A0069">
              <w:rPr>
                <w:sz w:val="22"/>
                <w:szCs w:val="22"/>
              </w:rPr>
              <w:t>s de la CDHDF</w:t>
            </w:r>
          </w:p>
        </w:tc>
        <w:tc>
          <w:tcPr>
            <w:tcW w:w="2983" w:type="dxa"/>
            <w:shd w:val="clear" w:color="auto" w:fill="E7C7F1" w:themeFill="accent6" w:themeFillTint="33"/>
          </w:tcPr>
          <w:p w:rsidR="00567B40" w:rsidRPr="003F727E" w:rsidRDefault="00567B40" w:rsidP="00261091">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jc w:val="center"/>
              <w:rPr>
                <w:sz w:val="22"/>
                <w:szCs w:val="22"/>
              </w:rPr>
            </w:pPr>
            <w:r w:rsidRPr="003F727E">
              <w:rPr>
                <w:sz w:val="22"/>
                <w:szCs w:val="22"/>
              </w:rPr>
              <w:t>Propuesta</w:t>
            </w:r>
            <w:r w:rsidR="003A0069">
              <w:rPr>
                <w:sz w:val="22"/>
                <w:szCs w:val="22"/>
              </w:rPr>
              <w:t xml:space="preserve"> de redacción</w:t>
            </w:r>
          </w:p>
        </w:tc>
      </w:tr>
      <w:tr w:rsidR="0024030C" w:rsidRPr="004B40E7" w:rsidTr="003D0867">
        <w:tc>
          <w:tcPr>
            <w:tcW w:w="988" w:type="dxa"/>
          </w:tcPr>
          <w:p w:rsidR="0019211B" w:rsidRPr="003F727E" w:rsidRDefault="0019211B"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Todo el documento</w:t>
            </w:r>
          </w:p>
        </w:tc>
        <w:tc>
          <w:tcPr>
            <w:tcW w:w="2976" w:type="dxa"/>
          </w:tcPr>
          <w:p w:rsidR="0019211B" w:rsidRPr="003F727E" w:rsidRDefault="0019211B"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tc>
        <w:tc>
          <w:tcPr>
            <w:tcW w:w="3261" w:type="dxa"/>
          </w:tcPr>
          <w:p w:rsidR="0019211B" w:rsidRDefault="0019211B" w:rsidP="003A0069">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Se sugiere incorporar un lenguaje no sexista y perspectiva de género.</w:t>
            </w:r>
          </w:p>
        </w:tc>
        <w:tc>
          <w:tcPr>
            <w:tcW w:w="2983" w:type="dxa"/>
          </w:tcPr>
          <w:p w:rsidR="0019211B" w:rsidRPr="003F727E" w:rsidRDefault="0019211B" w:rsidP="00A75C08">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tc>
      </w:tr>
      <w:tr w:rsidR="0024030C" w:rsidRPr="004B40E7" w:rsidTr="003D0867">
        <w:tc>
          <w:tcPr>
            <w:tcW w:w="988" w:type="dxa"/>
          </w:tcPr>
          <w:p w:rsidR="00567B40" w:rsidRPr="003F727E" w:rsidRDefault="00567B40"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3F727E">
              <w:rPr>
                <w:sz w:val="22"/>
                <w:szCs w:val="22"/>
              </w:rPr>
              <w:t>Párrafo 3.</w:t>
            </w:r>
          </w:p>
        </w:tc>
        <w:tc>
          <w:tcPr>
            <w:tcW w:w="2976" w:type="dxa"/>
          </w:tcPr>
          <w:p w:rsidR="00567B40" w:rsidRPr="003F727E" w:rsidRDefault="003F727E"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3F727E">
              <w:rPr>
                <w:sz w:val="22"/>
                <w:szCs w:val="22"/>
              </w:rPr>
              <w:t xml:space="preserve">Sin embargo, el Comité hace notar que las leyes y los marcos normativos de lucha contra la discriminación siguen </w:t>
            </w:r>
            <w:r w:rsidRPr="003F727E">
              <w:rPr>
                <w:b/>
                <w:sz w:val="22"/>
                <w:szCs w:val="22"/>
              </w:rPr>
              <w:t>siendo deficientes, incompletos o ineficaces.</w:t>
            </w:r>
            <w:r w:rsidRPr="003F727E">
              <w:rPr>
                <w:sz w:val="22"/>
                <w:szCs w:val="22"/>
              </w:rPr>
              <w:t xml:space="preserve">  </w:t>
            </w:r>
          </w:p>
        </w:tc>
        <w:tc>
          <w:tcPr>
            <w:tcW w:w="3261" w:type="dxa"/>
          </w:tcPr>
          <w:p w:rsidR="0006061B" w:rsidRDefault="003A0069" w:rsidP="003A0069">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Aunado al texto del borrador, se propone agregar que </w:t>
            </w:r>
            <w:r w:rsidR="003F727E" w:rsidRPr="003F727E">
              <w:rPr>
                <w:sz w:val="22"/>
                <w:szCs w:val="22"/>
              </w:rPr>
              <w:t xml:space="preserve">las reformas </w:t>
            </w:r>
            <w:r w:rsidR="003F727E">
              <w:rPr>
                <w:sz w:val="22"/>
                <w:szCs w:val="22"/>
              </w:rPr>
              <w:t xml:space="preserve">realizadas </w:t>
            </w:r>
            <w:r w:rsidR="003F727E" w:rsidRPr="003F727E">
              <w:rPr>
                <w:sz w:val="22"/>
                <w:szCs w:val="22"/>
              </w:rPr>
              <w:t xml:space="preserve">reflejan la falta de comprensión del modelo social. Por ejemplo, en la Ciudad de México, se aprobó por unanimidad el aumentar </w:t>
            </w:r>
            <w:r>
              <w:rPr>
                <w:sz w:val="22"/>
                <w:szCs w:val="22"/>
              </w:rPr>
              <w:t xml:space="preserve">la </w:t>
            </w:r>
            <w:r w:rsidR="003F727E" w:rsidRPr="003F727E">
              <w:rPr>
                <w:sz w:val="22"/>
                <w:szCs w:val="22"/>
              </w:rPr>
              <w:t>sentencia de hasta 3 años a personas que abandonen a sus familiares con discapacidad.</w:t>
            </w:r>
          </w:p>
          <w:p w:rsidR="0006061B" w:rsidRDefault="0006061B" w:rsidP="003A0069">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p w:rsidR="00567B40" w:rsidRDefault="0006061B" w:rsidP="0006061B">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Otro ejemplo de la falta de comprensión del modelo social es la emisión de leyes específicas por tipo de limitaci</w:t>
            </w:r>
            <w:r w:rsidR="009D5BDD">
              <w:rPr>
                <w:sz w:val="22"/>
                <w:szCs w:val="22"/>
              </w:rPr>
              <w:t>ón como</w:t>
            </w:r>
            <w:r>
              <w:rPr>
                <w:sz w:val="22"/>
                <w:szCs w:val="22"/>
              </w:rPr>
              <w:t xml:space="preserve"> la </w:t>
            </w:r>
            <w:r w:rsidRPr="0006061B">
              <w:rPr>
                <w:sz w:val="22"/>
                <w:szCs w:val="22"/>
              </w:rPr>
              <w:t>Ley para la Atención Integral de las personas con síndrome de Down</w:t>
            </w:r>
            <w:r>
              <w:rPr>
                <w:sz w:val="22"/>
                <w:szCs w:val="22"/>
              </w:rPr>
              <w:t xml:space="preserve"> aprobada en México o la Ley General para la Atención y Protección a Personas con la Condición del Espectro Autista que entró en vigor en 2015, </w:t>
            </w:r>
            <w:r w:rsidR="009D5BDD">
              <w:rPr>
                <w:sz w:val="22"/>
                <w:szCs w:val="22"/>
              </w:rPr>
              <w:t xml:space="preserve">las cuales al enfocarse en la limitación, perpetúan el modelo médico y pierden de vista que más bien se tienen que crear leyes que aborden la discapacidad en general, y las necesidades específicas en cada caso particular. </w:t>
            </w:r>
          </w:p>
          <w:p w:rsidR="009D5BDD" w:rsidRPr="003F727E" w:rsidRDefault="009D5BDD" w:rsidP="0006061B">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tc>
        <w:tc>
          <w:tcPr>
            <w:tcW w:w="2983" w:type="dxa"/>
          </w:tcPr>
          <w:p w:rsidR="00567B40" w:rsidRPr="00A75C08" w:rsidRDefault="003F727E" w:rsidP="0006061B">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b/>
                <w:sz w:val="22"/>
                <w:szCs w:val="22"/>
              </w:rPr>
            </w:pPr>
            <w:r w:rsidRPr="003F727E">
              <w:rPr>
                <w:sz w:val="22"/>
                <w:szCs w:val="22"/>
              </w:rPr>
              <w:t xml:space="preserve">Sin embargo, el Comité hace notar que las leyes y los marcos normativos de lucha contra la discriminación siguen </w:t>
            </w:r>
            <w:r w:rsidRPr="003F727E">
              <w:rPr>
                <w:b/>
                <w:sz w:val="22"/>
                <w:szCs w:val="22"/>
              </w:rPr>
              <w:t>siendo deficientes, incompletos</w:t>
            </w:r>
            <w:r w:rsidR="00D436B2">
              <w:rPr>
                <w:b/>
                <w:sz w:val="22"/>
                <w:szCs w:val="22"/>
              </w:rPr>
              <w:t>,</w:t>
            </w:r>
            <w:r w:rsidRPr="003F727E">
              <w:rPr>
                <w:b/>
                <w:sz w:val="22"/>
                <w:szCs w:val="22"/>
              </w:rPr>
              <w:t xml:space="preserve"> ineficaces</w:t>
            </w:r>
            <w:r w:rsidR="0006061B">
              <w:rPr>
                <w:b/>
                <w:sz w:val="22"/>
                <w:szCs w:val="22"/>
              </w:rPr>
              <w:t xml:space="preserve">, </w:t>
            </w:r>
            <w:r w:rsidR="00D436B2">
              <w:rPr>
                <w:b/>
                <w:sz w:val="22"/>
                <w:szCs w:val="22"/>
              </w:rPr>
              <w:t>o bien expresan la falta de comprensión sobre el modelo social y de derechos humanos de la discapacidad</w:t>
            </w:r>
            <w:r w:rsidR="00A75C08">
              <w:rPr>
                <w:b/>
                <w:sz w:val="22"/>
                <w:szCs w:val="22"/>
              </w:rPr>
              <w:t xml:space="preserve">. Por ejemplo, la redacción de leyes que imponen sanciones penales a las familias que abandonan a personas con discapacidad, lejos de prevenir la discriminación, criminalizan y responsabilizan a las personas que cuidan, quienes en su mayoría son mujeres, por la omisión de cuidados, sin considerar que es obligación de los Estados parte de la Convención el brindar los apoyos que requieran las personas con discapacidad para que puedan ejercer sus derechos en igualdad de condiciones que las demás. </w:t>
            </w:r>
          </w:p>
        </w:tc>
      </w:tr>
      <w:tr w:rsidR="0024030C" w:rsidRPr="004B40E7" w:rsidTr="003D0867">
        <w:tc>
          <w:tcPr>
            <w:tcW w:w="988" w:type="dxa"/>
          </w:tcPr>
          <w:p w:rsidR="00567B40" w:rsidRPr="003F727E" w:rsidRDefault="003F727E"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Párrafo 3</w:t>
            </w:r>
          </w:p>
        </w:tc>
        <w:tc>
          <w:tcPr>
            <w:tcW w:w="2976" w:type="dxa"/>
          </w:tcPr>
          <w:p w:rsidR="00567B40" w:rsidRPr="003F727E" w:rsidRDefault="003F727E"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3F727E">
              <w:rPr>
                <w:sz w:val="22"/>
                <w:szCs w:val="22"/>
              </w:rPr>
              <w:t xml:space="preserve">A ese respecto, muchas veces </w:t>
            </w:r>
            <w:r w:rsidRPr="003F727E">
              <w:rPr>
                <w:sz w:val="22"/>
                <w:szCs w:val="22"/>
              </w:rPr>
              <w:lastRenderedPageBreak/>
              <w:t xml:space="preserve">no incorporan la </w:t>
            </w:r>
            <w:r w:rsidRPr="003F727E">
              <w:rPr>
                <w:b/>
                <w:sz w:val="22"/>
                <w:szCs w:val="22"/>
              </w:rPr>
              <w:t>discriminación múltiple e intersecciona</w:t>
            </w:r>
            <w:r w:rsidRPr="003F727E">
              <w:rPr>
                <w:sz w:val="22"/>
                <w:szCs w:val="22"/>
              </w:rPr>
              <w:t xml:space="preserve">l, no reconocen que la denegación de ajustes razonables constituye discriminación y tampoco prevén mecanismos jurídicos eficaces de reparación y resarcimiento, lo cual incluye indemnizaciones efectivas.  </w:t>
            </w:r>
          </w:p>
        </w:tc>
        <w:tc>
          <w:tcPr>
            <w:tcW w:w="3261" w:type="dxa"/>
          </w:tcPr>
          <w:p w:rsidR="00567B40" w:rsidRPr="003F727E" w:rsidRDefault="003F727E"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lastRenderedPageBreak/>
              <w:t xml:space="preserve">Considero importante incorporar </w:t>
            </w:r>
            <w:r>
              <w:rPr>
                <w:sz w:val="22"/>
                <w:szCs w:val="22"/>
              </w:rPr>
              <w:lastRenderedPageBreak/>
              <w:t xml:space="preserve">la discriminación por asociación, </w:t>
            </w:r>
            <w:r w:rsidR="003D0867">
              <w:rPr>
                <w:sz w:val="22"/>
                <w:szCs w:val="22"/>
              </w:rPr>
              <w:t xml:space="preserve">aunque más adelante se menciona, ya que es </w:t>
            </w:r>
            <w:r>
              <w:rPr>
                <w:sz w:val="22"/>
                <w:szCs w:val="22"/>
              </w:rPr>
              <w:t>uno de los grandes aportes del Comité en su observación número 3 y una de las discriminaciones más invisibles y comunes, cuyas víctimas en su mayoría son mujeres</w:t>
            </w:r>
            <w:r w:rsidR="003D0867">
              <w:rPr>
                <w:sz w:val="22"/>
                <w:szCs w:val="22"/>
              </w:rPr>
              <w:t>.</w:t>
            </w:r>
          </w:p>
        </w:tc>
        <w:tc>
          <w:tcPr>
            <w:tcW w:w="2983" w:type="dxa"/>
          </w:tcPr>
          <w:p w:rsidR="00567B40" w:rsidRPr="003F727E" w:rsidRDefault="003F727E" w:rsidP="003D0867">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3F727E">
              <w:rPr>
                <w:sz w:val="22"/>
                <w:szCs w:val="22"/>
              </w:rPr>
              <w:lastRenderedPageBreak/>
              <w:t xml:space="preserve">A ese respecto, muchas veces </w:t>
            </w:r>
            <w:r w:rsidRPr="003F727E">
              <w:rPr>
                <w:sz w:val="22"/>
                <w:szCs w:val="22"/>
              </w:rPr>
              <w:lastRenderedPageBreak/>
              <w:t>no incorporan la discriminación múltiple</w:t>
            </w:r>
            <w:r w:rsidR="003D0867">
              <w:rPr>
                <w:sz w:val="22"/>
                <w:szCs w:val="22"/>
              </w:rPr>
              <w:t>,</w:t>
            </w:r>
            <w:r w:rsidRPr="003F727E">
              <w:rPr>
                <w:sz w:val="22"/>
                <w:szCs w:val="22"/>
              </w:rPr>
              <w:t xml:space="preserve"> interseccional,</w:t>
            </w:r>
            <w:r>
              <w:rPr>
                <w:sz w:val="22"/>
                <w:szCs w:val="22"/>
              </w:rPr>
              <w:t xml:space="preserve"> </w:t>
            </w:r>
            <w:r w:rsidRPr="003F727E">
              <w:rPr>
                <w:b/>
                <w:sz w:val="22"/>
                <w:szCs w:val="22"/>
              </w:rPr>
              <w:t>ni por asociación</w:t>
            </w:r>
            <w:r>
              <w:rPr>
                <w:sz w:val="22"/>
                <w:szCs w:val="22"/>
              </w:rPr>
              <w:t>, no reconoc</w:t>
            </w:r>
            <w:r w:rsidR="003D0867">
              <w:rPr>
                <w:sz w:val="22"/>
                <w:szCs w:val="22"/>
              </w:rPr>
              <w:t>en…</w:t>
            </w:r>
          </w:p>
        </w:tc>
      </w:tr>
      <w:tr w:rsidR="0024030C" w:rsidRPr="004B40E7" w:rsidTr="003D0867">
        <w:tc>
          <w:tcPr>
            <w:tcW w:w="988" w:type="dxa"/>
          </w:tcPr>
          <w:p w:rsidR="00567B40" w:rsidRPr="003F727E" w:rsidRDefault="003D0867" w:rsidP="003D0867">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lastRenderedPageBreak/>
              <w:t>Párrafo 8</w:t>
            </w:r>
          </w:p>
        </w:tc>
        <w:tc>
          <w:tcPr>
            <w:tcW w:w="2976" w:type="dxa"/>
          </w:tcPr>
          <w:p w:rsidR="00567B40" w:rsidRPr="003F727E" w:rsidRDefault="003D0867"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3D0867">
              <w:rPr>
                <w:sz w:val="22"/>
                <w:szCs w:val="22"/>
              </w:rPr>
              <w:t xml:space="preserve">Desde la Antigüedad hasta la era moderna, se ha denegado la dignidad, la integridad y la igualdad a personas con alguna discapacidad real o aparente, y la discriminación se ha manifestado en todas sus formas más o menos brutales, como las esterilizaciones en masa y las intervenciones médicas u hormonales (por ejemplo, las lobotomías y el tratamiento Ashley) no consentidas y/o forzadas, </w:t>
            </w:r>
            <w:r w:rsidRPr="00B77C5D">
              <w:rPr>
                <w:b/>
                <w:sz w:val="22"/>
                <w:szCs w:val="22"/>
              </w:rPr>
              <w:t>los asesinatos en masa denominados “eutanasia”,</w:t>
            </w:r>
            <w:r w:rsidRPr="003D0867">
              <w:rPr>
                <w:sz w:val="22"/>
                <w:szCs w:val="22"/>
              </w:rPr>
              <w:t xml:space="preserve"> la mutilación y el tráfico de órganos humanos, en particular de personas con albinismo , y el confinamiento.</w:t>
            </w:r>
          </w:p>
        </w:tc>
        <w:tc>
          <w:tcPr>
            <w:tcW w:w="3261" w:type="dxa"/>
          </w:tcPr>
          <w:p w:rsidR="00567B40" w:rsidRDefault="00B77C5D" w:rsidP="00261091">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Actualmente existe un debate </w:t>
            </w:r>
            <w:r w:rsidR="00261091">
              <w:rPr>
                <w:sz w:val="22"/>
                <w:szCs w:val="22"/>
              </w:rPr>
              <w:t xml:space="preserve">no resuelto </w:t>
            </w:r>
            <w:r>
              <w:rPr>
                <w:sz w:val="22"/>
                <w:szCs w:val="22"/>
              </w:rPr>
              <w:t xml:space="preserve">en torno a la eutanasia, hay posturas a favor y otras en contra. </w:t>
            </w:r>
            <w:r w:rsidR="00261091">
              <w:rPr>
                <w:sz w:val="22"/>
                <w:szCs w:val="22"/>
              </w:rPr>
              <w:t xml:space="preserve">Colocar el término en el contexto del párrafo puede prestarse a interpretaciones en contra de ella, por lo que se sugiere omitirlo. </w:t>
            </w:r>
          </w:p>
          <w:p w:rsidR="00AF78AB" w:rsidRDefault="00AF78AB" w:rsidP="00261091">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p w:rsidR="00AF78AB" w:rsidRPr="00AF78AB" w:rsidRDefault="00AF78AB" w:rsidP="00261091">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u w:val="single"/>
              </w:rPr>
            </w:pPr>
            <w:r>
              <w:rPr>
                <w:sz w:val="22"/>
                <w:szCs w:val="22"/>
              </w:rPr>
              <w:t>Además, se sugiere aclarar la relación entre albinismo y discapacidad.</w:t>
            </w:r>
          </w:p>
        </w:tc>
        <w:tc>
          <w:tcPr>
            <w:tcW w:w="2983" w:type="dxa"/>
          </w:tcPr>
          <w:p w:rsidR="00567B40" w:rsidRPr="003F727E" w:rsidRDefault="00261091" w:rsidP="00261091">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u w:val="single"/>
              </w:rPr>
            </w:pPr>
            <w:r>
              <w:rPr>
                <w:sz w:val="22"/>
                <w:szCs w:val="22"/>
              </w:rPr>
              <w:t>…</w:t>
            </w:r>
            <w:r w:rsidRPr="003D0867">
              <w:rPr>
                <w:sz w:val="22"/>
                <w:szCs w:val="22"/>
              </w:rPr>
              <w:t xml:space="preserve">no consentidas y/o forzadas, </w:t>
            </w:r>
            <w:r w:rsidRPr="00B77C5D">
              <w:rPr>
                <w:b/>
                <w:sz w:val="22"/>
                <w:szCs w:val="22"/>
              </w:rPr>
              <w:t>los asesinatos en masa,</w:t>
            </w:r>
            <w:r w:rsidRPr="003D0867">
              <w:rPr>
                <w:sz w:val="22"/>
                <w:szCs w:val="22"/>
              </w:rPr>
              <w:t xml:space="preserve"> la mutilación y el tráfico de</w:t>
            </w:r>
            <w:r>
              <w:rPr>
                <w:sz w:val="22"/>
                <w:szCs w:val="22"/>
              </w:rPr>
              <w:t>…</w:t>
            </w:r>
          </w:p>
        </w:tc>
      </w:tr>
      <w:tr w:rsidR="0024030C" w:rsidRPr="004B40E7" w:rsidTr="003D0867">
        <w:tc>
          <w:tcPr>
            <w:tcW w:w="988" w:type="dxa"/>
          </w:tcPr>
          <w:p w:rsidR="00567B40" w:rsidRPr="003F727E" w:rsidRDefault="004B40E7"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Párrafo 10</w:t>
            </w:r>
          </w:p>
        </w:tc>
        <w:tc>
          <w:tcPr>
            <w:tcW w:w="2976" w:type="dxa"/>
          </w:tcPr>
          <w:p w:rsidR="00567B40" w:rsidRPr="003F727E" w:rsidRDefault="00FE24A1"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FE24A1">
              <w:rPr>
                <w:sz w:val="22"/>
                <w:szCs w:val="22"/>
              </w:rPr>
              <w:t>Para cambiar las estructuras y los sistemas discriminatorios se requieren medidas positivas.</w:t>
            </w:r>
          </w:p>
        </w:tc>
        <w:tc>
          <w:tcPr>
            <w:tcW w:w="3261" w:type="dxa"/>
          </w:tcPr>
          <w:p w:rsidR="00567B40" w:rsidRPr="003F727E" w:rsidRDefault="00FE24A1" w:rsidP="004232AB">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Si la “igualdad inclusiva” considera la discriminación individual y estructural, así como relaciones de poder, considero que es importante hablar no sólo de medidas positivas, sino también de medidas transformativas, concepto que </w:t>
            </w:r>
            <w:r w:rsidR="004232AB">
              <w:rPr>
                <w:sz w:val="22"/>
                <w:szCs w:val="22"/>
              </w:rPr>
              <w:t xml:space="preserve">desarrolló la Corte Interamericana de Derechos Humanos en la sentencia González y otras vs. México </w:t>
            </w:r>
            <w:r w:rsidR="004232AB">
              <w:rPr>
                <w:sz w:val="22"/>
                <w:szCs w:val="22"/>
              </w:rPr>
              <w:lastRenderedPageBreak/>
              <w:t>“Campo Algodonero</w:t>
            </w:r>
          </w:p>
        </w:tc>
        <w:tc>
          <w:tcPr>
            <w:tcW w:w="2983" w:type="dxa"/>
          </w:tcPr>
          <w:p w:rsidR="00567B40" w:rsidRPr="003F727E" w:rsidRDefault="00FE24A1"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FE24A1">
              <w:rPr>
                <w:sz w:val="22"/>
                <w:szCs w:val="22"/>
              </w:rPr>
              <w:lastRenderedPageBreak/>
              <w:t>Para cambiar las estructuras y los sistemas discriminatorios se requieren medidas positivas</w:t>
            </w:r>
            <w:r>
              <w:rPr>
                <w:sz w:val="22"/>
                <w:szCs w:val="22"/>
              </w:rPr>
              <w:t xml:space="preserve"> y </w:t>
            </w:r>
            <w:r w:rsidRPr="00FE24A1">
              <w:rPr>
                <w:b/>
                <w:sz w:val="22"/>
                <w:szCs w:val="22"/>
              </w:rPr>
              <w:t>transformativas</w:t>
            </w:r>
            <w:r w:rsidRPr="00FE24A1">
              <w:rPr>
                <w:sz w:val="22"/>
                <w:szCs w:val="22"/>
              </w:rPr>
              <w:t>.</w:t>
            </w:r>
          </w:p>
        </w:tc>
      </w:tr>
      <w:tr w:rsidR="0024030C" w:rsidRPr="004B40E7" w:rsidTr="003D0867">
        <w:tc>
          <w:tcPr>
            <w:tcW w:w="988" w:type="dxa"/>
          </w:tcPr>
          <w:p w:rsidR="00567B40" w:rsidRPr="003F727E" w:rsidRDefault="004B40E7"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lastRenderedPageBreak/>
              <w:t>Párrafo 20</w:t>
            </w:r>
          </w:p>
        </w:tc>
        <w:tc>
          <w:tcPr>
            <w:tcW w:w="2976" w:type="dxa"/>
          </w:tcPr>
          <w:p w:rsidR="00567B40" w:rsidRPr="003F727E" w:rsidRDefault="00567B40"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tc>
        <w:tc>
          <w:tcPr>
            <w:tcW w:w="3261" w:type="dxa"/>
          </w:tcPr>
          <w:p w:rsidR="00567B40" w:rsidRPr="003F727E" w:rsidRDefault="002A0067" w:rsidP="002A0067">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Sugiero agregar el inciso f, que desarrolle el concepto de discriminación estructural, </w:t>
            </w:r>
            <w:proofErr w:type="gramStart"/>
            <w:r>
              <w:rPr>
                <w:sz w:val="22"/>
                <w:szCs w:val="22"/>
              </w:rPr>
              <w:t>retomado</w:t>
            </w:r>
            <w:proofErr w:type="gramEnd"/>
            <w:r>
              <w:rPr>
                <w:sz w:val="22"/>
                <w:szCs w:val="22"/>
              </w:rPr>
              <w:t xml:space="preserve"> de la observación general número 3 de ese Comité. </w:t>
            </w:r>
          </w:p>
        </w:tc>
        <w:tc>
          <w:tcPr>
            <w:tcW w:w="2983" w:type="dxa"/>
          </w:tcPr>
          <w:p w:rsidR="00567B40" w:rsidRPr="002A0067" w:rsidRDefault="004232AB"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2A0067">
              <w:rPr>
                <w:sz w:val="22"/>
                <w:szCs w:val="22"/>
              </w:rPr>
              <w:t>f) discriminación estructural o sist</w:t>
            </w:r>
            <w:r w:rsidR="002A0067" w:rsidRPr="002A0067">
              <w:rPr>
                <w:sz w:val="22"/>
                <w:szCs w:val="22"/>
              </w:rPr>
              <w:t>émica: La discriminación estructural o sistémica, se manifiesta a través de patrones ocultos o encubiertos de comportamiento institucional discriminatorio, tradiciones culturales discriminatorias y normas y/o reglas sociales discriminatorias.</w:t>
            </w:r>
          </w:p>
        </w:tc>
      </w:tr>
      <w:tr w:rsidR="0024030C" w:rsidRPr="004B40E7" w:rsidTr="003D0867">
        <w:tc>
          <w:tcPr>
            <w:tcW w:w="988" w:type="dxa"/>
          </w:tcPr>
          <w:p w:rsidR="00567B40" w:rsidRPr="003F727E" w:rsidRDefault="004B40E7"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Párrafo 22</w:t>
            </w:r>
          </w:p>
        </w:tc>
        <w:tc>
          <w:tcPr>
            <w:tcW w:w="2976" w:type="dxa"/>
          </w:tcPr>
          <w:p w:rsidR="00567B40" w:rsidRPr="003F727E" w:rsidRDefault="002A0067"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2A0067">
              <w:rPr>
                <w:sz w:val="22"/>
                <w:szCs w:val="22"/>
              </w:rPr>
              <w:t>El Comité ha definido la “discriminación múltiple” como aquella situación en que una persona experimenta discriminación por dos o más motivos, lo que conduce a una discriminación compleja o agravada. La “discriminación interseccional” se refiere a una situación en que existen varios motivos de discriminación y estos interactúan al mismo tiempo de forma que son inseparables</w:t>
            </w:r>
            <w:r>
              <w:rPr>
                <w:sz w:val="22"/>
                <w:szCs w:val="22"/>
              </w:rPr>
              <w:t>.</w:t>
            </w:r>
          </w:p>
        </w:tc>
        <w:tc>
          <w:tcPr>
            <w:tcW w:w="3261" w:type="dxa"/>
          </w:tcPr>
          <w:p w:rsidR="00567B40" w:rsidRPr="003F727E" w:rsidRDefault="002A0067" w:rsidP="00B94574">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Es confusa la distinción entre discriminación múltiple y discriminación interseccional</w:t>
            </w:r>
            <w:r w:rsidR="00B94574">
              <w:rPr>
                <w:sz w:val="22"/>
                <w:szCs w:val="22"/>
              </w:rPr>
              <w:t xml:space="preserve">, error que se arrastra desde el párrafo 3 de la </w:t>
            </w:r>
            <w:r>
              <w:rPr>
                <w:sz w:val="22"/>
                <w:szCs w:val="22"/>
              </w:rPr>
              <w:t>observación general número 3 del Comité</w:t>
            </w:r>
            <w:r w:rsidR="00B94574">
              <w:rPr>
                <w:sz w:val="22"/>
                <w:szCs w:val="22"/>
              </w:rPr>
              <w:t xml:space="preserve">; sin embargo, considerando el </w:t>
            </w:r>
            <w:r>
              <w:rPr>
                <w:sz w:val="22"/>
                <w:szCs w:val="22"/>
              </w:rPr>
              <w:t>párrafo</w:t>
            </w:r>
            <w:r w:rsidR="00B94574">
              <w:rPr>
                <w:sz w:val="22"/>
                <w:szCs w:val="22"/>
              </w:rPr>
              <w:t xml:space="preserve"> </w:t>
            </w:r>
            <w:r>
              <w:rPr>
                <w:sz w:val="22"/>
                <w:szCs w:val="22"/>
              </w:rPr>
              <w:t xml:space="preserve">18 </w:t>
            </w:r>
            <w:r w:rsidR="00B94574">
              <w:rPr>
                <w:sz w:val="22"/>
                <w:szCs w:val="22"/>
              </w:rPr>
              <w:t xml:space="preserve">de dicha observación, sugiero la siguiente modificación. </w:t>
            </w:r>
          </w:p>
        </w:tc>
        <w:tc>
          <w:tcPr>
            <w:tcW w:w="2983" w:type="dxa"/>
          </w:tcPr>
          <w:p w:rsidR="00567B40" w:rsidRPr="003F727E" w:rsidRDefault="002A0067" w:rsidP="002A0067">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2A0067">
              <w:rPr>
                <w:sz w:val="22"/>
                <w:szCs w:val="22"/>
              </w:rPr>
              <w:t xml:space="preserve">El Comité ha definido la “discriminación múltiple” como aquella situación en que una persona experimenta discriminación </w:t>
            </w:r>
            <w:r w:rsidRPr="00B94574">
              <w:rPr>
                <w:b/>
                <w:sz w:val="22"/>
                <w:szCs w:val="22"/>
              </w:rPr>
              <w:t>en distintos contextos (público y privado),</w:t>
            </w:r>
            <w:r w:rsidRPr="002A0067">
              <w:rPr>
                <w:sz w:val="22"/>
                <w:szCs w:val="22"/>
              </w:rPr>
              <w:t xml:space="preserve"> lo que conduce a una discriminación compleja o agravada. La “discriminación interseccional” se refiere a una situación en que existen v</w:t>
            </w:r>
            <w:r w:rsidR="00F83B1C">
              <w:rPr>
                <w:sz w:val="22"/>
                <w:szCs w:val="22"/>
              </w:rPr>
              <w:t xml:space="preserve">arios motivos de discriminación, </w:t>
            </w:r>
            <w:r w:rsidR="00F83B1C" w:rsidRPr="00F83B1C">
              <w:rPr>
                <w:b/>
                <w:sz w:val="22"/>
                <w:szCs w:val="22"/>
              </w:rPr>
              <w:t>como el sexo, la identidad sexual, la edad, la condición social, el color de piel, etcétera</w:t>
            </w:r>
            <w:r w:rsidR="00F83B1C">
              <w:rPr>
                <w:sz w:val="22"/>
                <w:szCs w:val="22"/>
              </w:rPr>
              <w:t xml:space="preserve"> </w:t>
            </w:r>
            <w:r w:rsidRPr="002A0067">
              <w:rPr>
                <w:sz w:val="22"/>
                <w:szCs w:val="22"/>
              </w:rPr>
              <w:t>y estos interactúan al mismo tiempo de forma que son inseparables</w:t>
            </w:r>
          </w:p>
        </w:tc>
      </w:tr>
      <w:tr w:rsidR="0024030C" w:rsidRPr="004B40E7" w:rsidTr="003D0867">
        <w:tc>
          <w:tcPr>
            <w:tcW w:w="988" w:type="dxa"/>
          </w:tcPr>
          <w:p w:rsidR="00567B40" w:rsidRPr="003F727E" w:rsidRDefault="004B40E7"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Párrafo 44</w:t>
            </w:r>
          </w:p>
        </w:tc>
        <w:tc>
          <w:tcPr>
            <w:tcW w:w="2976" w:type="dxa"/>
          </w:tcPr>
          <w:p w:rsidR="00567B40" w:rsidRPr="003F727E" w:rsidRDefault="00B94574"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B94574">
              <w:rPr>
                <w:sz w:val="22"/>
                <w:szCs w:val="22"/>
              </w:rPr>
              <w:t xml:space="preserve">Análogamente, los Estados partes debería hacer frente a la </w:t>
            </w:r>
            <w:r w:rsidRPr="00B94574">
              <w:rPr>
                <w:b/>
                <w:sz w:val="22"/>
                <w:szCs w:val="22"/>
              </w:rPr>
              <w:t xml:space="preserve">estigmatización </w:t>
            </w:r>
            <w:r w:rsidRPr="00B94574">
              <w:rPr>
                <w:sz w:val="22"/>
                <w:szCs w:val="22"/>
              </w:rPr>
              <w:t xml:space="preserve">basada en </w:t>
            </w:r>
            <w:r w:rsidRPr="00B94574">
              <w:rPr>
                <w:b/>
                <w:sz w:val="22"/>
                <w:szCs w:val="22"/>
              </w:rPr>
              <w:t>formas modernas de discriminación</w:t>
            </w:r>
            <w:r w:rsidRPr="00B94574">
              <w:rPr>
                <w:sz w:val="22"/>
                <w:szCs w:val="22"/>
              </w:rPr>
              <w:t xml:space="preserve">, </w:t>
            </w:r>
            <w:r w:rsidRPr="00B94574">
              <w:rPr>
                <w:b/>
                <w:sz w:val="22"/>
                <w:szCs w:val="22"/>
              </w:rPr>
              <w:t>como las políticas de detección prenatal selectiva</w:t>
            </w:r>
            <w:r w:rsidRPr="00B94574">
              <w:rPr>
                <w:sz w:val="22"/>
                <w:szCs w:val="22"/>
              </w:rPr>
              <w:t xml:space="preserve"> que son contrarias al reconocimiento de que todas las personas tienen el mismo valor.</w:t>
            </w:r>
          </w:p>
        </w:tc>
        <w:tc>
          <w:tcPr>
            <w:tcW w:w="3261" w:type="dxa"/>
          </w:tcPr>
          <w:p w:rsidR="004C7BC3" w:rsidRDefault="0019211B"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Sugiero </w:t>
            </w:r>
            <w:r w:rsidR="004C7BC3">
              <w:rPr>
                <w:sz w:val="22"/>
                <w:szCs w:val="22"/>
              </w:rPr>
              <w:t xml:space="preserve">que se aclare el significado de </w:t>
            </w:r>
            <w:r w:rsidR="004C7BC3" w:rsidRPr="004C7BC3">
              <w:rPr>
                <w:sz w:val="22"/>
                <w:szCs w:val="22"/>
              </w:rPr>
              <w:t>“políticas de detección prenatal selectiva”</w:t>
            </w:r>
            <w:r w:rsidR="004C7BC3">
              <w:rPr>
                <w:sz w:val="22"/>
                <w:szCs w:val="22"/>
              </w:rPr>
              <w:t xml:space="preserve"> y cómo éstas operan para que pueda considerársele</w:t>
            </w:r>
            <w:r>
              <w:rPr>
                <w:sz w:val="22"/>
                <w:szCs w:val="22"/>
              </w:rPr>
              <w:t>s</w:t>
            </w:r>
            <w:r w:rsidR="004C7BC3">
              <w:rPr>
                <w:sz w:val="22"/>
                <w:szCs w:val="22"/>
              </w:rPr>
              <w:t xml:space="preserve"> como una forma de discriminación, ya que de lo contrario se puede caer en interpretaciones erróneas o que criminalizan a las mujeres que abortan. </w:t>
            </w:r>
          </w:p>
          <w:p w:rsidR="004C7BC3" w:rsidRDefault="004C7BC3"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p w:rsidR="004C7BC3" w:rsidRDefault="004C7BC3"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Por ello, sugiero poner énfasis en </w:t>
            </w:r>
            <w:r>
              <w:rPr>
                <w:sz w:val="22"/>
                <w:szCs w:val="22"/>
              </w:rPr>
              <w:lastRenderedPageBreak/>
              <w:t>la “violencia obstétrica”, ya que cuando se detecta que el producto tiene una malformación genética, el personal médico</w:t>
            </w:r>
            <w:r w:rsidR="00830CD3">
              <w:rPr>
                <w:sz w:val="22"/>
                <w:szCs w:val="22"/>
              </w:rPr>
              <w:t>, influenciado por los prejuicios negativos en torno a la discapacidad,</w:t>
            </w:r>
            <w:r>
              <w:rPr>
                <w:sz w:val="22"/>
                <w:szCs w:val="22"/>
              </w:rPr>
              <w:t xml:space="preserve"> persuade u obliga a las mujeres a abortar, sin considerar su opinión y que la decisión última es de la mujer. </w:t>
            </w:r>
          </w:p>
          <w:p w:rsidR="004C7BC3" w:rsidRDefault="004C7BC3"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p w:rsidR="00567B40" w:rsidRPr="003F727E" w:rsidRDefault="004C7BC3" w:rsidP="00830CD3">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Es importante incorporar la perspectiva de género y considerar que </w:t>
            </w:r>
            <w:r w:rsidR="00830CD3">
              <w:rPr>
                <w:sz w:val="22"/>
                <w:szCs w:val="22"/>
              </w:rPr>
              <w:t xml:space="preserve">es un derecho de las mujeres el decidir sobre su propio cuerpo, por lo que la decisión de abortar no debe ser cuestionada bajo ninguna circunstancia. </w:t>
            </w:r>
          </w:p>
        </w:tc>
        <w:tc>
          <w:tcPr>
            <w:tcW w:w="2983" w:type="dxa"/>
          </w:tcPr>
          <w:p w:rsidR="00567B40" w:rsidRDefault="00830CD3" w:rsidP="00830CD3">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B94574">
              <w:rPr>
                <w:sz w:val="22"/>
                <w:szCs w:val="22"/>
              </w:rPr>
              <w:lastRenderedPageBreak/>
              <w:t>Análogamente, los Estados partes debería</w:t>
            </w:r>
            <w:r w:rsidRPr="00830CD3">
              <w:rPr>
                <w:b/>
                <w:sz w:val="22"/>
                <w:szCs w:val="22"/>
              </w:rPr>
              <w:t>n</w:t>
            </w:r>
            <w:r w:rsidRPr="00B94574">
              <w:rPr>
                <w:sz w:val="22"/>
                <w:szCs w:val="22"/>
              </w:rPr>
              <w:t xml:space="preserve"> hacer frente a la </w:t>
            </w:r>
            <w:r w:rsidRPr="00B94574">
              <w:rPr>
                <w:b/>
                <w:sz w:val="22"/>
                <w:szCs w:val="22"/>
              </w:rPr>
              <w:t xml:space="preserve">estigmatización </w:t>
            </w:r>
            <w:r w:rsidRPr="00B94574">
              <w:rPr>
                <w:sz w:val="22"/>
                <w:szCs w:val="22"/>
              </w:rPr>
              <w:t xml:space="preserve">basada en </w:t>
            </w:r>
            <w:r w:rsidRPr="00B94574">
              <w:rPr>
                <w:b/>
                <w:sz w:val="22"/>
                <w:szCs w:val="22"/>
              </w:rPr>
              <w:t>formas modernas de discriminación</w:t>
            </w:r>
            <w:r w:rsidRPr="00B94574">
              <w:rPr>
                <w:sz w:val="22"/>
                <w:szCs w:val="22"/>
              </w:rPr>
              <w:t xml:space="preserve">, </w:t>
            </w:r>
            <w:r w:rsidRPr="00B94574">
              <w:rPr>
                <w:b/>
                <w:sz w:val="22"/>
                <w:szCs w:val="22"/>
              </w:rPr>
              <w:t>como las políticas de detección prenatal selectiva</w:t>
            </w:r>
            <w:r>
              <w:rPr>
                <w:b/>
                <w:sz w:val="22"/>
                <w:szCs w:val="22"/>
              </w:rPr>
              <w:t xml:space="preserve">, impulsadas </w:t>
            </w:r>
            <w:r w:rsidR="0024030C">
              <w:rPr>
                <w:b/>
                <w:sz w:val="22"/>
                <w:szCs w:val="22"/>
              </w:rPr>
              <w:t xml:space="preserve">generalmente </w:t>
            </w:r>
            <w:r>
              <w:rPr>
                <w:b/>
                <w:sz w:val="22"/>
                <w:szCs w:val="22"/>
              </w:rPr>
              <w:t xml:space="preserve">por el personal médico, </w:t>
            </w:r>
            <w:r w:rsidRPr="00B94574">
              <w:rPr>
                <w:sz w:val="22"/>
                <w:szCs w:val="22"/>
              </w:rPr>
              <w:t xml:space="preserve">que son contrarias al reconocimiento de que todas las personas tienen el mismo </w:t>
            </w:r>
            <w:r w:rsidRPr="00B94574">
              <w:rPr>
                <w:sz w:val="22"/>
                <w:szCs w:val="22"/>
              </w:rPr>
              <w:lastRenderedPageBreak/>
              <w:t>valor.</w:t>
            </w:r>
          </w:p>
          <w:p w:rsidR="00830CD3" w:rsidRDefault="00830CD3" w:rsidP="00830CD3">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p w:rsidR="003A0069" w:rsidRPr="0024030C" w:rsidRDefault="0024030C" w:rsidP="00830CD3">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b/>
                <w:sz w:val="22"/>
                <w:szCs w:val="22"/>
              </w:rPr>
            </w:pPr>
            <w:r>
              <w:rPr>
                <w:b/>
                <w:sz w:val="22"/>
                <w:szCs w:val="22"/>
              </w:rPr>
              <w:t>Con arreglo al artículo 16, inciso e, de la Convención sobre la Eliminación de todas las Formas de Discriminación contra la Mujer (CEDAW), l</w:t>
            </w:r>
            <w:r w:rsidR="0019211B" w:rsidRPr="0024030C">
              <w:rPr>
                <w:b/>
                <w:sz w:val="22"/>
                <w:szCs w:val="22"/>
              </w:rPr>
              <w:t>os E</w:t>
            </w:r>
            <w:r w:rsidR="003A0069" w:rsidRPr="0024030C">
              <w:rPr>
                <w:b/>
                <w:sz w:val="22"/>
                <w:szCs w:val="22"/>
              </w:rPr>
              <w:t xml:space="preserve">stados </w:t>
            </w:r>
            <w:r w:rsidR="0019211B" w:rsidRPr="0024030C">
              <w:rPr>
                <w:b/>
                <w:sz w:val="22"/>
                <w:szCs w:val="22"/>
              </w:rPr>
              <w:t xml:space="preserve">partes </w:t>
            </w:r>
            <w:r w:rsidR="003A0069" w:rsidRPr="0024030C">
              <w:rPr>
                <w:b/>
                <w:sz w:val="22"/>
                <w:szCs w:val="22"/>
              </w:rPr>
              <w:t xml:space="preserve">deben </w:t>
            </w:r>
            <w:r>
              <w:rPr>
                <w:b/>
                <w:sz w:val="22"/>
                <w:szCs w:val="22"/>
              </w:rPr>
              <w:t xml:space="preserve">garantizar el acceso a la información de las mujeres, por lo que deberán </w:t>
            </w:r>
            <w:r w:rsidR="003A0069" w:rsidRPr="0024030C">
              <w:rPr>
                <w:b/>
                <w:sz w:val="22"/>
                <w:szCs w:val="22"/>
              </w:rPr>
              <w:t xml:space="preserve">implementar </w:t>
            </w:r>
            <w:r w:rsidR="0019211B" w:rsidRPr="0024030C">
              <w:rPr>
                <w:b/>
                <w:sz w:val="22"/>
                <w:szCs w:val="22"/>
              </w:rPr>
              <w:t xml:space="preserve">en los protocolos médicos </w:t>
            </w:r>
            <w:r w:rsidR="003A0069" w:rsidRPr="0024030C">
              <w:rPr>
                <w:b/>
                <w:sz w:val="22"/>
                <w:szCs w:val="22"/>
              </w:rPr>
              <w:t xml:space="preserve">la “decisión informada” </w:t>
            </w:r>
            <w:r w:rsidR="0019211B" w:rsidRPr="0024030C">
              <w:rPr>
                <w:b/>
                <w:sz w:val="22"/>
                <w:szCs w:val="22"/>
              </w:rPr>
              <w:t xml:space="preserve">con un lenguaje ciudadano, </w:t>
            </w:r>
            <w:r w:rsidR="003A0069" w:rsidRPr="0024030C">
              <w:rPr>
                <w:b/>
                <w:sz w:val="22"/>
                <w:szCs w:val="22"/>
              </w:rPr>
              <w:t xml:space="preserve">a través de la cual, cuando se </w:t>
            </w:r>
            <w:r w:rsidR="0019211B" w:rsidRPr="0024030C">
              <w:rPr>
                <w:b/>
                <w:sz w:val="22"/>
                <w:szCs w:val="22"/>
              </w:rPr>
              <w:t xml:space="preserve">presuma </w:t>
            </w:r>
            <w:r w:rsidR="003A0069" w:rsidRPr="0024030C">
              <w:rPr>
                <w:b/>
                <w:sz w:val="22"/>
                <w:szCs w:val="22"/>
              </w:rPr>
              <w:t xml:space="preserve">que el producto </w:t>
            </w:r>
            <w:r w:rsidR="0019211B" w:rsidRPr="0024030C">
              <w:rPr>
                <w:b/>
                <w:sz w:val="22"/>
                <w:szCs w:val="22"/>
              </w:rPr>
              <w:t xml:space="preserve">pueda </w:t>
            </w:r>
            <w:r w:rsidR="003A0069" w:rsidRPr="0024030C">
              <w:rPr>
                <w:b/>
                <w:sz w:val="22"/>
                <w:szCs w:val="22"/>
              </w:rPr>
              <w:t xml:space="preserve">tener alguna limitación, se explique a las mujeres </w:t>
            </w:r>
            <w:r w:rsidR="0019211B" w:rsidRPr="0024030C">
              <w:rPr>
                <w:b/>
                <w:sz w:val="22"/>
                <w:szCs w:val="22"/>
              </w:rPr>
              <w:t>las implicaciones que conlleva</w:t>
            </w:r>
            <w:r w:rsidR="00F83B1C" w:rsidRPr="0024030C">
              <w:rPr>
                <w:b/>
                <w:sz w:val="22"/>
                <w:szCs w:val="22"/>
              </w:rPr>
              <w:t xml:space="preserve"> y los apoyos que puede recibir por parte del Estado</w:t>
            </w:r>
            <w:r w:rsidR="0019211B" w:rsidRPr="0024030C">
              <w:rPr>
                <w:b/>
                <w:sz w:val="22"/>
                <w:szCs w:val="22"/>
              </w:rPr>
              <w:t xml:space="preserve">. </w:t>
            </w:r>
          </w:p>
          <w:p w:rsidR="003A0069" w:rsidRPr="0024030C" w:rsidRDefault="003A0069" w:rsidP="00830CD3">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b/>
                <w:sz w:val="22"/>
                <w:szCs w:val="22"/>
              </w:rPr>
            </w:pPr>
          </w:p>
          <w:p w:rsidR="00830CD3" w:rsidRPr="0024030C" w:rsidRDefault="00830CD3" w:rsidP="00830CD3">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b/>
                <w:sz w:val="22"/>
                <w:szCs w:val="22"/>
              </w:rPr>
            </w:pPr>
            <w:r w:rsidRPr="0024030C">
              <w:rPr>
                <w:b/>
                <w:sz w:val="22"/>
                <w:szCs w:val="22"/>
              </w:rPr>
              <w:t xml:space="preserve">Cuando sea decisión de la mujer continuar con el embarazo, es obligación del Estado proporcionar los apoyos a ella y la familia necesarios para el cuidado de la </w:t>
            </w:r>
            <w:r w:rsidR="0024030C">
              <w:rPr>
                <w:b/>
                <w:sz w:val="22"/>
                <w:szCs w:val="22"/>
              </w:rPr>
              <w:t xml:space="preserve">hija </w:t>
            </w:r>
            <w:r w:rsidRPr="0024030C">
              <w:rPr>
                <w:b/>
                <w:sz w:val="22"/>
                <w:szCs w:val="22"/>
              </w:rPr>
              <w:t xml:space="preserve">o el hijo con discapacidad, acorde con </w:t>
            </w:r>
            <w:r w:rsidR="0006061B">
              <w:rPr>
                <w:b/>
                <w:sz w:val="22"/>
                <w:szCs w:val="22"/>
              </w:rPr>
              <w:t xml:space="preserve">sus </w:t>
            </w:r>
            <w:r w:rsidRPr="0024030C">
              <w:rPr>
                <w:b/>
                <w:sz w:val="22"/>
                <w:szCs w:val="22"/>
              </w:rPr>
              <w:t>necesidades</w:t>
            </w:r>
            <w:r w:rsidR="0019211B" w:rsidRPr="0024030C">
              <w:rPr>
                <w:b/>
                <w:sz w:val="22"/>
                <w:szCs w:val="22"/>
              </w:rPr>
              <w:t>, los cuales deberán mantenerse a lo largo de su vida, o durante el tiempo necesario</w:t>
            </w:r>
            <w:r w:rsidRPr="0024030C">
              <w:rPr>
                <w:b/>
                <w:sz w:val="22"/>
                <w:szCs w:val="22"/>
              </w:rPr>
              <w:t xml:space="preserve">. </w:t>
            </w:r>
          </w:p>
          <w:p w:rsidR="00830CD3" w:rsidRPr="0024030C" w:rsidRDefault="00830CD3" w:rsidP="00830CD3">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b/>
                <w:sz w:val="22"/>
                <w:szCs w:val="22"/>
              </w:rPr>
            </w:pPr>
          </w:p>
          <w:p w:rsidR="00830CD3" w:rsidRPr="003F727E" w:rsidRDefault="00830CD3" w:rsidP="003A0069">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sidRPr="0024030C">
              <w:rPr>
                <w:b/>
                <w:sz w:val="22"/>
                <w:szCs w:val="22"/>
              </w:rPr>
              <w:t xml:space="preserve">En caso contrario, el Estado debe implementar medidas que </w:t>
            </w:r>
            <w:r w:rsidR="003A0069" w:rsidRPr="0024030C">
              <w:rPr>
                <w:b/>
                <w:sz w:val="22"/>
                <w:szCs w:val="22"/>
              </w:rPr>
              <w:t>prohíban</w:t>
            </w:r>
            <w:r w:rsidRPr="0024030C">
              <w:rPr>
                <w:b/>
                <w:sz w:val="22"/>
                <w:szCs w:val="22"/>
              </w:rPr>
              <w:t xml:space="preserve"> criminalizar a las mujeres por su decisión de interrumpir el embarazo.</w:t>
            </w:r>
            <w:r>
              <w:rPr>
                <w:sz w:val="22"/>
                <w:szCs w:val="22"/>
              </w:rPr>
              <w:t xml:space="preserve"> </w:t>
            </w:r>
          </w:p>
        </w:tc>
      </w:tr>
      <w:tr w:rsidR="0024030C" w:rsidRPr="004B40E7" w:rsidTr="003D0867">
        <w:tc>
          <w:tcPr>
            <w:tcW w:w="988" w:type="dxa"/>
          </w:tcPr>
          <w:p w:rsidR="00B94574" w:rsidRDefault="00B94574" w:rsidP="004B40E7">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lastRenderedPageBreak/>
              <w:t>Párrafo 7</w:t>
            </w:r>
            <w:r w:rsidR="004B40E7">
              <w:rPr>
                <w:sz w:val="22"/>
                <w:szCs w:val="22"/>
              </w:rPr>
              <w:t>3</w:t>
            </w:r>
            <w:r>
              <w:rPr>
                <w:sz w:val="22"/>
                <w:szCs w:val="22"/>
              </w:rPr>
              <w:t>, inciso g</w:t>
            </w:r>
          </w:p>
        </w:tc>
        <w:tc>
          <w:tcPr>
            <w:tcW w:w="2976" w:type="dxa"/>
          </w:tcPr>
          <w:p w:rsidR="00B94574" w:rsidRPr="00B94574" w:rsidRDefault="00B94574"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lang w:val="es-ES"/>
              </w:rPr>
              <w:t xml:space="preserve">Los Estados partes deberían elaborar y aplicar unas </w:t>
            </w:r>
            <w:r w:rsidRPr="00B94574">
              <w:rPr>
                <w:b/>
                <w:lang w:val="es-ES"/>
              </w:rPr>
              <w:t>medidas universales sobre salud y seguridad ocupacional</w:t>
            </w:r>
            <w:r>
              <w:rPr>
                <w:lang w:val="es-ES"/>
              </w:rPr>
              <w:t xml:space="preserve"> para las </w:t>
            </w:r>
            <w:r w:rsidRPr="000C2E11">
              <w:rPr>
                <w:lang w:val="es-ES"/>
              </w:rPr>
              <w:t>personas con discapacidad</w:t>
            </w:r>
          </w:p>
        </w:tc>
        <w:tc>
          <w:tcPr>
            <w:tcW w:w="3261" w:type="dxa"/>
          </w:tcPr>
          <w:p w:rsidR="00B94574" w:rsidRPr="003F727E" w:rsidRDefault="00B94574"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No queda claro cuáles son las “medidas universales sobre salud y seguridad ocupacional”. Se sugiere desarrollar la id</w:t>
            </w:r>
            <w:r w:rsidR="0019211B">
              <w:rPr>
                <w:sz w:val="22"/>
                <w:szCs w:val="22"/>
              </w:rPr>
              <w:t>e</w:t>
            </w:r>
            <w:r>
              <w:rPr>
                <w:sz w:val="22"/>
                <w:szCs w:val="22"/>
              </w:rPr>
              <w:t>a</w:t>
            </w:r>
            <w:r w:rsidR="0019211B">
              <w:rPr>
                <w:sz w:val="22"/>
                <w:szCs w:val="22"/>
              </w:rPr>
              <w:t>, principalmente lo relacionado con seguridad ocupacional para evitar interpretaciones afines al modelo asistencial</w:t>
            </w:r>
            <w:r>
              <w:rPr>
                <w:sz w:val="22"/>
                <w:szCs w:val="22"/>
              </w:rPr>
              <w:t xml:space="preserve">. </w:t>
            </w:r>
          </w:p>
        </w:tc>
        <w:tc>
          <w:tcPr>
            <w:tcW w:w="2983" w:type="dxa"/>
          </w:tcPr>
          <w:p w:rsidR="00B94574" w:rsidRPr="003F727E" w:rsidRDefault="00B94574"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p>
        </w:tc>
      </w:tr>
      <w:tr w:rsidR="0024030C" w:rsidRPr="004B40E7" w:rsidTr="003D0867">
        <w:tc>
          <w:tcPr>
            <w:tcW w:w="988" w:type="dxa"/>
          </w:tcPr>
          <w:p w:rsidR="00B94574" w:rsidRDefault="00A340EB" w:rsidP="004B40E7">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Párrafo 7</w:t>
            </w:r>
            <w:r w:rsidR="004B40E7">
              <w:rPr>
                <w:sz w:val="22"/>
                <w:szCs w:val="22"/>
              </w:rPr>
              <w:t>6</w:t>
            </w:r>
            <w:r>
              <w:rPr>
                <w:sz w:val="22"/>
                <w:szCs w:val="22"/>
              </w:rPr>
              <w:t>, inciso m</w:t>
            </w:r>
            <w:bookmarkStart w:id="0" w:name="_GoBack"/>
            <w:bookmarkEnd w:id="0"/>
          </w:p>
        </w:tc>
        <w:tc>
          <w:tcPr>
            <w:tcW w:w="2976" w:type="dxa"/>
          </w:tcPr>
          <w:p w:rsidR="00B94574" w:rsidRPr="00B94574" w:rsidRDefault="00A340EB" w:rsidP="00A340EB">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w:t>
            </w:r>
            <w:r w:rsidRPr="00A340EB">
              <w:rPr>
                <w:sz w:val="22"/>
                <w:szCs w:val="22"/>
              </w:rPr>
              <w:t xml:space="preserve">como las mujeres con discapacidad, los niños y </w:t>
            </w:r>
            <w:r>
              <w:rPr>
                <w:sz w:val="22"/>
                <w:szCs w:val="22"/>
              </w:rPr>
              <w:t xml:space="preserve">los ancianos </w:t>
            </w:r>
            <w:r w:rsidRPr="00A340EB">
              <w:rPr>
                <w:sz w:val="22"/>
                <w:szCs w:val="22"/>
              </w:rPr>
              <w:t>con discapacidad</w:t>
            </w:r>
            <w:r>
              <w:rPr>
                <w:sz w:val="22"/>
                <w:szCs w:val="22"/>
              </w:rPr>
              <w:t xml:space="preserve"> …</w:t>
            </w:r>
          </w:p>
        </w:tc>
        <w:tc>
          <w:tcPr>
            <w:tcW w:w="3261" w:type="dxa"/>
          </w:tcPr>
          <w:p w:rsidR="00B94574" w:rsidRPr="003F727E" w:rsidRDefault="00A340EB" w:rsidP="00A340EB">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 xml:space="preserve">Se sugiere utilizar los términos de manera adecuada, de acuerdo con la Convención Interamericana sobre la Protección de los Derechos Humanos de las Personas Mayores, único instrumento internacional en la materia. </w:t>
            </w:r>
          </w:p>
        </w:tc>
        <w:tc>
          <w:tcPr>
            <w:tcW w:w="2983" w:type="dxa"/>
          </w:tcPr>
          <w:p w:rsidR="00B94574" w:rsidRPr="003F727E" w:rsidRDefault="00A340EB" w:rsidP="003F727E">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8838"/>
                <w:tab w:val="right" w:pos="8620"/>
                <w:tab w:val="left" w:pos="9132"/>
              </w:tabs>
              <w:spacing w:line="276" w:lineRule="auto"/>
              <w:rPr>
                <w:sz w:val="22"/>
                <w:szCs w:val="22"/>
              </w:rPr>
            </w:pPr>
            <w:r>
              <w:rPr>
                <w:sz w:val="22"/>
                <w:szCs w:val="22"/>
              </w:rPr>
              <w:t>…</w:t>
            </w:r>
            <w:r w:rsidRPr="00A340EB">
              <w:rPr>
                <w:sz w:val="22"/>
                <w:szCs w:val="22"/>
              </w:rPr>
              <w:t xml:space="preserve">como las mujeres con discapacidad, </w:t>
            </w:r>
            <w:r w:rsidRPr="00A340EB">
              <w:rPr>
                <w:b/>
                <w:sz w:val="22"/>
                <w:szCs w:val="22"/>
              </w:rPr>
              <w:t>las niñas</w:t>
            </w:r>
            <w:r>
              <w:rPr>
                <w:sz w:val="22"/>
                <w:szCs w:val="22"/>
              </w:rPr>
              <w:t xml:space="preserve">, </w:t>
            </w:r>
            <w:r w:rsidRPr="00A340EB">
              <w:rPr>
                <w:sz w:val="22"/>
                <w:szCs w:val="22"/>
              </w:rPr>
              <w:t xml:space="preserve">los niños y </w:t>
            </w:r>
            <w:r w:rsidRPr="00A340EB">
              <w:rPr>
                <w:b/>
                <w:sz w:val="22"/>
                <w:szCs w:val="22"/>
              </w:rPr>
              <w:t>las personas mayores</w:t>
            </w:r>
            <w:r w:rsidRPr="00A340EB">
              <w:rPr>
                <w:sz w:val="22"/>
                <w:szCs w:val="22"/>
              </w:rPr>
              <w:t xml:space="preserve"> con discapacidad</w:t>
            </w:r>
            <w:r>
              <w:rPr>
                <w:sz w:val="22"/>
                <w:szCs w:val="22"/>
              </w:rPr>
              <w:t xml:space="preserve"> …</w:t>
            </w:r>
          </w:p>
        </w:tc>
      </w:tr>
    </w:tbl>
    <w:p w:rsidR="00CC00F1" w:rsidRPr="00CC00F1" w:rsidRDefault="00CC00F1" w:rsidP="003F727E">
      <w:pPr>
        <w:pStyle w:val="Header"/>
        <w:tabs>
          <w:tab w:val="clear" w:pos="8838"/>
          <w:tab w:val="right" w:pos="8620"/>
          <w:tab w:val="left" w:pos="9132"/>
        </w:tabs>
        <w:spacing w:line="276" w:lineRule="auto"/>
      </w:pPr>
    </w:p>
    <w:sectPr w:rsidR="00CC00F1" w:rsidRPr="00CC00F1">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8FE" w:rsidRDefault="009858FE">
      <w:r>
        <w:separator/>
      </w:r>
    </w:p>
  </w:endnote>
  <w:endnote w:type="continuationSeparator" w:id="0">
    <w:p w:rsidR="009858FE" w:rsidRDefault="009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72238"/>
      <w:docPartObj>
        <w:docPartGallery w:val="Page Numbers (Bottom of Page)"/>
        <w:docPartUnique/>
      </w:docPartObj>
    </w:sdtPr>
    <w:sdtEndPr/>
    <w:sdtContent>
      <w:p w:rsidR="006C13C2" w:rsidRDefault="006C13C2">
        <w:pPr>
          <w:pStyle w:val="Footer"/>
          <w:jc w:val="center"/>
        </w:pPr>
        <w:r>
          <w:fldChar w:fldCharType="begin"/>
        </w:r>
        <w:r>
          <w:instrText>PAGE   \* MERGEFORMAT</w:instrText>
        </w:r>
        <w:r>
          <w:fldChar w:fldCharType="separate"/>
        </w:r>
        <w:r w:rsidR="004B40E7" w:rsidRPr="004B40E7">
          <w:rPr>
            <w:noProof/>
            <w:lang w:val="es-ES"/>
          </w:rPr>
          <w:t>6</w:t>
        </w:r>
        <w:r>
          <w:fldChar w:fldCharType="end"/>
        </w:r>
      </w:p>
    </w:sdtContent>
  </w:sdt>
  <w:p w:rsidR="006C13C2" w:rsidRDefault="006C13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8FE" w:rsidRDefault="009858FE">
      <w:r>
        <w:separator/>
      </w:r>
    </w:p>
  </w:footnote>
  <w:footnote w:type="continuationSeparator" w:id="0">
    <w:p w:rsidR="009858FE" w:rsidRDefault="00985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09" w:rsidRDefault="00DC32F9">
    <w:pPr>
      <w:pStyle w:val="CabeceraypieA"/>
      <w:tabs>
        <w:tab w:val="clear" w:pos="9020"/>
        <w:tab w:val="center" w:pos="4819"/>
        <w:tab w:val="right" w:pos="9612"/>
      </w:tabs>
    </w:pPr>
    <w:r>
      <w:rPr>
        <w:noProof/>
        <w:lang w:val="es-MX" w:eastAsia="es-MX"/>
      </w:rPr>
      <w:drawing>
        <wp:inline distT="0" distB="0" distL="0" distR="0">
          <wp:extent cx="6116320" cy="110413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1">
                    <a:extLst/>
                  </a:blip>
                  <a:stretch>
                    <a:fillRect/>
                  </a:stretch>
                </pic:blipFill>
                <pic:spPr>
                  <a:xfrm>
                    <a:off x="0" y="0"/>
                    <a:ext cx="6116320" cy="1104135"/>
                  </a:xfrm>
                  <a:prstGeom prst="rect">
                    <a:avLst/>
                  </a:prstGeom>
                  <a:ln w="12700" cap="flat">
                    <a:noFill/>
                    <a:miter lim="400000"/>
                  </a:ln>
                  <a:effectLst/>
                </pic:spPr>
              </pic:pic>
            </a:graphicData>
          </a:graphic>
        </wp:inline>
      </w:drawing>
    </w:r>
  </w:p>
  <w:p w:rsidR="00436F79" w:rsidRDefault="00436F79">
    <w:pPr>
      <w:pStyle w:val="CabeceraypieA"/>
      <w:tabs>
        <w:tab w:val="clear" w:pos="9020"/>
        <w:tab w:val="center" w:pos="4819"/>
        <w:tab w:val="right" w:pos="96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0549"/>
    <w:multiLevelType w:val="hybridMultilevel"/>
    <w:tmpl w:val="FCD88D24"/>
    <w:styleLink w:val="Estiloimportado1"/>
    <w:lvl w:ilvl="0" w:tplc="397247B8">
      <w:start w:val="1"/>
      <w:numFmt w:val="decimal"/>
      <w:lvlText w:val="%1."/>
      <w:lvlJc w:val="left"/>
      <w:pPr>
        <w:tabs>
          <w:tab w:val="center" w:pos="4419"/>
          <w:tab w:val="right" w:pos="8620"/>
          <w:tab w:val="left" w:pos="9132"/>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BC9330">
      <w:start w:val="1"/>
      <w:numFmt w:val="decimal"/>
      <w:lvlText w:val="%2."/>
      <w:lvlJc w:val="left"/>
      <w:pPr>
        <w:tabs>
          <w:tab w:val="center" w:pos="4419"/>
          <w:tab w:val="right" w:pos="8620"/>
          <w:tab w:val="left" w:pos="9132"/>
        </w:tabs>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0A2CEE">
      <w:start w:val="1"/>
      <w:numFmt w:val="decimal"/>
      <w:lvlText w:val="%3."/>
      <w:lvlJc w:val="left"/>
      <w:pPr>
        <w:tabs>
          <w:tab w:val="left" w:pos="720"/>
          <w:tab w:val="center" w:pos="4419"/>
          <w:tab w:val="right" w:pos="8620"/>
          <w:tab w:val="left" w:pos="9132"/>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7E4B32">
      <w:start w:val="1"/>
      <w:numFmt w:val="decimal"/>
      <w:lvlText w:val="%4."/>
      <w:lvlJc w:val="left"/>
      <w:pPr>
        <w:tabs>
          <w:tab w:val="left" w:pos="720"/>
          <w:tab w:val="center" w:pos="4419"/>
          <w:tab w:val="right" w:pos="8620"/>
          <w:tab w:val="left" w:pos="9132"/>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F88950">
      <w:start w:val="1"/>
      <w:numFmt w:val="decimal"/>
      <w:lvlText w:val="%5."/>
      <w:lvlJc w:val="left"/>
      <w:pPr>
        <w:tabs>
          <w:tab w:val="left" w:pos="720"/>
          <w:tab w:val="center" w:pos="4419"/>
          <w:tab w:val="right" w:pos="8620"/>
          <w:tab w:val="left" w:pos="9132"/>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142656">
      <w:start w:val="1"/>
      <w:numFmt w:val="decimal"/>
      <w:lvlText w:val="%6."/>
      <w:lvlJc w:val="left"/>
      <w:pPr>
        <w:tabs>
          <w:tab w:val="left" w:pos="720"/>
          <w:tab w:val="center" w:pos="4419"/>
          <w:tab w:val="right" w:pos="8620"/>
          <w:tab w:val="left" w:pos="9132"/>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4EC336">
      <w:start w:val="1"/>
      <w:numFmt w:val="decimal"/>
      <w:lvlText w:val="%7."/>
      <w:lvlJc w:val="left"/>
      <w:pPr>
        <w:tabs>
          <w:tab w:val="left" w:pos="720"/>
          <w:tab w:val="center" w:pos="4419"/>
          <w:tab w:val="right" w:pos="8620"/>
          <w:tab w:val="left" w:pos="9132"/>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E2D384">
      <w:start w:val="1"/>
      <w:numFmt w:val="decimal"/>
      <w:lvlText w:val="%8."/>
      <w:lvlJc w:val="left"/>
      <w:pPr>
        <w:tabs>
          <w:tab w:val="left" w:pos="720"/>
          <w:tab w:val="center" w:pos="4419"/>
          <w:tab w:val="right" w:pos="8620"/>
          <w:tab w:val="left" w:pos="9132"/>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921FF0">
      <w:start w:val="1"/>
      <w:numFmt w:val="decimal"/>
      <w:lvlText w:val="%9."/>
      <w:lvlJc w:val="left"/>
      <w:pPr>
        <w:tabs>
          <w:tab w:val="left" w:pos="720"/>
          <w:tab w:val="center" w:pos="4419"/>
          <w:tab w:val="right" w:pos="8620"/>
          <w:tab w:val="left" w:pos="9132"/>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FE616E9"/>
    <w:multiLevelType w:val="hybridMultilevel"/>
    <w:tmpl w:val="FCD88D24"/>
    <w:numStyleLink w:val="Estiloimportado1"/>
  </w:abstractNum>
  <w:abstractNum w:abstractNumId="2">
    <w:nsid w:val="193D7FD3"/>
    <w:multiLevelType w:val="hybridMultilevel"/>
    <w:tmpl w:val="1DA6A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1E30216"/>
    <w:multiLevelType w:val="hybridMultilevel"/>
    <w:tmpl w:val="308E1D78"/>
    <w:lvl w:ilvl="0" w:tplc="C486BE66">
      <w:start w:val="1"/>
      <w:numFmt w:val="decimal"/>
      <w:lvlText w:val="%1."/>
      <w:lvlJc w:val="left"/>
      <w:pPr>
        <w:ind w:left="720" w:hanging="360"/>
      </w:pPr>
      <w:rPr>
        <w:rFonts w:ascii="Arial" w:eastAsia="Arial Unicode MS" w:hAnsi="Arial" w:cs="Arial Unicode M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3714437"/>
    <w:multiLevelType w:val="hybridMultilevel"/>
    <w:tmpl w:val="5DD63C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6DD6A1B"/>
    <w:multiLevelType w:val="hybridMultilevel"/>
    <w:tmpl w:val="308E1D78"/>
    <w:lvl w:ilvl="0" w:tplc="C486BE66">
      <w:start w:val="1"/>
      <w:numFmt w:val="decimal"/>
      <w:lvlText w:val="%1."/>
      <w:lvlJc w:val="left"/>
      <w:pPr>
        <w:ind w:left="720" w:hanging="360"/>
      </w:pPr>
      <w:rPr>
        <w:rFonts w:ascii="Arial" w:eastAsia="Arial Unicode MS" w:hAnsi="Arial" w:cs="Arial Unicode M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0E95CB4"/>
    <w:multiLevelType w:val="hybridMultilevel"/>
    <w:tmpl w:val="ABD6BF98"/>
    <w:numStyleLink w:val="Estiloimportado2"/>
  </w:abstractNum>
  <w:abstractNum w:abstractNumId="7">
    <w:nsid w:val="5F697F65"/>
    <w:multiLevelType w:val="hybridMultilevel"/>
    <w:tmpl w:val="FDF67290"/>
    <w:lvl w:ilvl="0" w:tplc="364EB0F4">
      <w:start w:val="1"/>
      <w:numFmt w:val="decimal"/>
      <w:lvlText w:val="%1."/>
      <w:lvlJc w:val="left"/>
      <w:pPr>
        <w:ind w:left="720" w:hanging="360"/>
      </w:pPr>
      <w:rPr>
        <w:rFonts w:eastAsia="Arial Unicode MS" w:cs="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48472B8"/>
    <w:multiLevelType w:val="hybridMultilevel"/>
    <w:tmpl w:val="ABD6BF98"/>
    <w:styleLink w:val="Estiloimportado2"/>
    <w:lvl w:ilvl="0" w:tplc="AE08DCFA">
      <w:start w:val="1"/>
      <w:numFmt w:val="bullet"/>
      <w:lvlText w:val="•"/>
      <w:lvlJc w:val="left"/>
      <w:pPr>
        <w:tabs>
          <w:tab w:val="center" w:pos="4419"/>
          <w:tab w:val="right" w:pos="8620"/>
          <w:tab w:val="left" w:pos="913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14E7A0">
      <w:start w:val="1"/>
      <w:numFmt w:val="bullet"/>
      <w:lvlText w:val="o"/>
      <w:lvlJc w:val="left"/>
      <w:pPr>
        <w:tabs>
          <w:tab w:val="center" w:pos="4419"/>
          <w:tab w:val="right" w:pos="8620"/>
          <w:tab w:val="left" w:pos="913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74C8D2">
      <w:start w:val="1"/>
      <w:numFmt w:val="bullet"/>
      <w:lvlText w:val="▪"/>
      <w:lvlJc w:val="left"/>
      <w:pPr>
        <w:tabs>
          <w:tab w:val="center" w:pos="4419"/>
          <w:tab w:val="right" w:pos="8620"/>
          <w:tab w:val="left" w:pos="913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2E614C">
      <w:start w:val="1"/>
      <w:numFmt w:val="bullet"/>
      <w:lvlText w:val="•"/>
      <w:lvlJc w:val="left"/>
      <w:pPr>
        <w:tabs>
          <w:tab w:val="center" w:pos="4419"/>
          <w:tab w:val="right" w:pos="8620"/>
          <w:tab w:val="left" w:pos="913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F4201E">
      <w:start w:val="1"/>
      <w:numFmt w:val="bullet"/>
      <w:lvlText w:val="o"/>
      <w:lvlJc w:val="left"/>
      <w:pPr>
        <w:tabs>
          <w:tab w:val="center" w:pos="4419"/>
          <w:tab w:val="right" w:pos="8620"/>
          <w:tab w:val="left" w:pos="913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A2649A">
      <w:start w:val="1"/>
      <w:numFmt w:val="bullet"/>
      <w:lvlText w:val="▪"/>
      <w:lvlJc w:val="left"/>
      <w:pPr>
        <w:tabs>
          <w:tab w:val="center" w:pos="4419"/>
          <w:tab w:val="right" w:pos="8620"/>
          <w:tab w:val="left" w:pos="913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2EC056">
      <w:start w:val="1"/>
      <w:numFmt w:val="bullet"/>
      <w:lvlText w:val="•"/>
      <w:lvlJc w:val="left"/>
      <w:pPr>
        <w:tabs>
          <w:tab w:val="center" w:pos="4419"/>
          <w:tab w:val="right" w:pos="8620"/>
          <w:tab w:val="left" w:pos="913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E3F24">
      <w:start w:val="1"/>
      <w:numFmt w:val="bullet"/>
      <w:lvlText w:val="o"/>
      <w:lvlJc w:val="left"/>
      <w:pPr>
        <w:tabs>
          <w:tab w:val="center" w:pos="4419"/>
          <w:tab w:val="right" w:pos="8620"/>
          <w:tab w:val="left" w:pos="913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88F8A6">
      <w:start w:val="1"/>
      <w:numFmt w:val="bullet"/>
      <w:lvlText w:val="▪"/>
      <w:lvlJc w:val="left"/>
      <w:pPr>
        <w:tabs>
          <w:tab w:val="center" w:pos="4419"/>
          <w:tab w:val="right" w:pos="8620"/>
          <w:tab w:val="left" w:pos="913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7BAD7B1E"/>
    <w:multiLevelType w:val="hybridMultilevel"/>
    <w:tmpl w:val="E09A2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lvlOverride w:ilvl="0">
      <w:lvl w:ilvl="0" w:tplc="B9A232AE">
        <w:start w:val="1"/>
        <w:numFmt w:val="decimal"/>
        <w:lvlText w:val="%1."/>
        <w:lvlJc w:val="left"/>
        <w:pPr>
          <w:tabs>
            <w:tab w:val="left" w:pos="720"/>
            <w:tab w:val="num" w:pos="1359"/>
            <w:tab w:val="left" w:pos="1983"/>
            <w:tab w:val="left" w:pos="6349"/>
            <w:tab w:val="left" w:pos="6915"/>
            <w:tab w:val="left" w:pos="7998"/>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8A73C0">
        <w:start w:val="1"/>
        <w:numFmt w:val="decimal"/>
        <w:lvlText w:val="%2."/>
        <w:lvlJc w:val="left"/>
        <w:pPr>
          <w:tabs>
            <w:tab w:val="left" w:pos="720"/>
            <w:tab w:val="left" w:pos="1359"/>
            <w:tab w:val="num" w:pos="2079"/>
            <w:tab w:val="left" w:pos="6349"/>
            <w:tab w:val="left" w:pos="6915"/>
            <w:tab w:val="left" w:pos="7998"/>
          </w:tabs>
          <w:ind w:left="1440" w:firstLine="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6607E26">
        <w:start w:val="1"/>
        <w:numFmt w:val="decimal"/>
        <w:lvlText w:val="%3."/>
        <w:lvlJc w:val="left"/>
        <w:pPr>
          <w:tabs>
            <w:tab w:val="left" w:pos="720"/>
            <w:tab w:val="left" w:pos="6349"/>
            <w:tab w:val="left" w:pos="6915"/>
            <w:tab w:val="left" w:pos="7998"/>
          </w:tabs>
          <w:ind w:left="4189" w:hanging="3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E76D5BA">
        <w:start w:val="1"/>
        <w:numFmt w:val="decimal"/>
        <w:lvlText w:val="%4."/>
        <w:lvlJc w:val="left"/>
        <w:pPr>
          <w:tabs>
            <w:tab w:val="left" w:pos="720"/>
            <w:tab w:val="left" w:pos="6349"/>
            <w:tab w:val="left" w:pos="6915"/>
            <w:tab w:val="left" w:pos="7998"/>
          </w:tabs>
          <w:ind w:left="3469" w:hanging="28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2F65520">
        <w:start w:val="1"/>
        <w:numFmt w:val="decimal"/>
        <w:lvlText w:val="%5."/>
        <w:lvlJc w:val="left"/>
        <w:pPr>
          <w:tabs>
            <w:tab w:val="left" w:pos="720"/>
            <w:tab w:val="left" w:pos="1359"/>
            <w:tab w:val="left" w:pos="6349"/>
            <w:tab w:val="left" w:pos="6915"/>
            <w:tab w:val="left" w:pos="7998"/>
          </w:tabs>
          <w:ind w:left="3600" w:hanging="2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50E9878">
        <w:start w:val="1"/>
        <w:numFmt w:val="decimal"/>
        <w:lvlText w:val="%6."/>
        <w:lvlJc w:val="left"/>
        <w:pPr>
          <w:tabs>
            <w:tab w:val="left" w:pos="720"/>
            <w:tab w:val="left" w:pos="1359"/>
            <w:tab w:val="left" w:pos="1983"/>
            <w:tab w:val="left" w:pos="6349"/>
            <w:tab w:val="left" w:pos="6915"/>
            <w:tab w:val="left" w:pos="7998"/>
          </w:tabs>
          <w:ind w:left="432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A708794">
        <w:start w:val="1"/>
        <w:numFmt w:val="decimal"/>
        <w:lvlText w:val="%7."/>
        <w:lvlJc w:val="left"/>
        <w:pPr>
          <w:tabs>
            <w:tab w:val="left" w:pos="720"/>
            <w:tab w:val="left" w:pos="1359"/>
            <w:tab w:val="left" w:pos="1983"/>
            <w:tab w:val="left" w:pos="6349"/>
            <w:tab w:val="left" w:pos="6915"/>
            <w:tab w:val="left" w:pos="7998"/>
          </w:tabs>
          <w:ind w:left="5040" w:hanging="6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11AAFE8">
        <w:start w:val="1"/>
        <w:numFmt w:val="decimal"/>
        <w:lvlText w:val="%8."/>
        <w:lvlJc w:val="left"/>
        <w:pPr>
          <w:tabs>
            <w:tab w:val="left" w:pos="720"/>
            <w:tab w:val="left" w:pos="1359"/>
            <w:tab w:val="left" w:pos="1983"/>
            <w:tab w:val="num" w:pos="6399"/>
            <w:tab w:val="left" w:pos="6915"/>
            <w:tab w:val="left" w:pos="7998"/>
          </w:tabs>
          <w:ind w:left="5760" w:firstLine="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1D8CAE2">
        <w:start w:val="1"/>
        <w:numFmt w:val="decimal"/>
        <w:lvlText w:val="%9."/>
        <w:lvlJc w:val="left"/>
        <w:pPr>
          <w:tabs>
            <w:tab w:val="left" w:pos="720"/>
            <w:tab w:val="left" w:pos="1359"/>
            <w:tab w:val="left" w:pos="1983"/>
            <w:tab w:val="left" w:pos="6349"/>
            <w:tab w:val="num" w:pos="7119"/>
            <w:tab w:val="left" w:pos="7998"/>
          </w:tabs>
          <w:ind w:left="6480" w:firstLine="2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8"/>
  </w:num>
  <w:num w:numId="5">
    <w:abstractNumId w:val="6"/>
  </w:num>
  <w:num w:numId="6">
    <w:abstractNumId w:val="6"/>
    <w:lvlOverride w:ilvl="0">
      <w:lvl w:ilvl="0" w:tplc="488CA258">
        <w:start w:val="1"/>
        <w:numFmt w:val="bullet"/>
        <w:lvlText w:val="•"/>
        <w:lvlJc w:val="left"/>
        <w:pPr>
          <w:tabs>
            <w:tab w:val="right" w:pos="8620"/>
            <w:tab w:val="left" w:pos="9132"/>
          </w:tabs>
          <w:ind w:left="4419" w:hanging="44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F66220">
        <w:start w:val="1"/>
        <w:numFmt w:val="bullet"/>
        <w:lvlText w:val="o"/>
        <w:lvlJc w:val="left"/>
        <w:pPr>
          <w:tabs>
            <w:tab w:val="center" w:pos="4419"/>
            <w:tab w:val="right" w:pos="8620"/>
            <w:tab w:val="left" w:pos="9132"/>
          </w:tabs>
          <w:ind w:left="3699" w:hanging="36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626EA76">
        <w:start w:val="1"/>
        <w:numFmt w:val="bullet"/>
        <w:lvlText w:val="▪"/>
        <w:lvlJc w:val="left"/>
        <w:pPr>
          <w:tabs>
            <w:tab w:val="center" w:pos="4419"/>
            <w:tab w:val="right" w:pos="8620"/>
            <w:tab w:val="left" w:pos="9132"/>
          </w:tabs>
          <w:ind w:left="2979" w:hanging="29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0003544">
        <w:start w:val="1"/>
        <w:numFmt w:val="bullet"/>
        <w:lvlText w:val="•"/>
        <w:lvlJc w:val="left"/>
        <w:pPr>
          <w:tabs>
            <w:tab w:val="center" w:pos="4419"/>
            <w:tab w:val="right" w:pos="8620"/>
            <w:tab w:val="left" w:pos="9132"/>
          </w:tabs>
          <w:ind w:left="2259" w:hanging="225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7C86212">
        <w:start w:val="1"/>
        <w:numFmt w:val="bullet"/>
        <w:lvlText w:val="o"/>
        <w:lvlJc w:val="left"/>
        <w:pPr>
          <w:tabs>
            <w:tab w:val="center" w:pos="4419"/>
            <w:tab w:val="right" w:pos="8620"/>
            <w:tab w:val="left" w:pos="9132"/>
          </w:tabs>
          <w:ind w:left="2880" w:hanging="15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3DAD2EA">
        <w:start w:val="1"/>
        <w:numFmt w:val="bullet"/>
        <w:lvlText w:val="▪"/>
        <w:lvlJc w:val="left"/>
        <w:pPr>
          <w:tabs>
            <w:tab w:val="center" w:pos="4419"/>
            <w:tab w:val="right" w:pos="8620"/>
            <w:tab w:val="left" w:pos="9132"/>
          </w:tabs>
          <w:ind w:left="3600" w:hanging="8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46EC9AC">
        <w:start w:val="1"/>
        <w:numFmt w:val="bullet"/>
        <w:lvlText w:val="•"/>
        <w:lvlJc w:val="left"/>
        <w:pPr>
          <w:tabs>
            <w:tab w:val="center" w:pos="4419"/>
            <w:tab w:val="right" w:pos="8620"/>
            <w:tab w:val="left" w:pos="9132"/>
          </w:tabs>
          <w:ind w:left="4320" w:hanging="4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64D18C">
        <w:start w:val="1"/>
        <w:numFmt w:val="bullet"/>
        <w:lvlText w:val="o"/>
        <w:lvlJc w:val="left"/>
        <w:pPr>
          <w:tabs>
            <w:tab w:val="right" w:pos="8620"/>
            <w:tab w:val="left" w:pos="9132"/>
          </w:tabs>
          <w:ind w:left="5040" w:hanging="35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1DAD7C6">
        <w:start w:val="1"/>
        <w:numFmt w:val="bullet"/>
        <w:lvlText w:val="▪"/>
        <w:lvlJc w:val="left"/>
        <w:pPr>
          <w:tabs>
            <w:tab w:val="right" w:pos="8620"/>
            <w:tab w:val="left" w:pos="9132"/>
          </w:tabs>
          <w:ind w:left="5760" w:hanging="28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1"/>
    <w:lvlOverride w:ilvl="0">
      <w:startOverride w:val="3"/>
      <w:lvl w:ilvl="0" w:tplc="B9A232AE">
        <w:start w:val="3"/>
        <w:numFmt w:val="decimal"/>
        <w:lvlText w:val="%1."/>
        <w:lvlJc w:val="left"/>
        <w:pPr>
          <w:tabs>
            <w:tab w:val="left" w:pos="720"/>
            <w:tab w:val="right" w:pos="8620"/>
            <w:tab w:val="left" w:pos="9132"/>
          </w:tabs>
          <w:ind w:left="3699" w:hanging="29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8A73C0">
        <w:start w:val="1"/>
        <w:numFmt w:val="decimal"/>
        <w:lvlText w:val="%2."/>
        <w:lvlJc w:val="left"/>
        <w:pPr>
          <w:tabs>
            <w:tab w:val="left" w:pos="720"/>
            <w:tab w:val="center" w:pos="4419"/>
            <w:tab w:val="right" w:pos="8620"/>
            <w:tab w:val="left" w:pos="9132"/>
          </w:tabs>
          <w:ind w:left="2979" w:hanging="22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6607E26">
        <w:start w:val="1"/>
        <w:numFmt w:val="decimal"/>
        <w:lvlText w:val="%3."/>
        <w:lvlJc w:val="left"/>
        <w:pPr>
          <w:tabs>
            <w:tab w:val="left" w:pos="720"/>
            <w:tab w:val="center" w:pos="4419"/>
            <w:tab w:val="right" w:pos="8620"/>
            <w:tab w:val="left" w:pos="9132"/>
          </w:tabs>
          <w:ind w:left="2259" w:hanging="15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E76D5BA">
        <w:start w:val="1"/>
        <w:numFmt w:val="decimal"/>
        <w:lvlText w:val="%4."/>
        <w:lvlJc w:val="left"/>
        <w:pPr>
          <w:tabs>
            <w:tab w:val="left" w:pos="720"/>
            <w:tab w:val="center" w:pos="4419"/>
            <w:tab w:val="right" w:pos="8620"/>
            <w:tab w:val="left" w:pos="9132"/>
          </w:tabs>
          <w:ind w:left="2880" w:hanging="8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F65520">
        <w:start w:val="1"/>
        <w:numFmt w:val="decimal"/>
        <w:lvlText w:val="%5."/>
        <w:lvlJc w:val="left"/>
        <w:pPr>
          <w:tabs>
            <w:tab w:val="left" w:pos="720"/>
            <w:tab w:val="num" w:pos="4320"/>
            <w:tab w:val="center" w:pos="4419"/>
            <w:tab w:val="right" w:pos="8620"/>
            <w:tab w:val="left" w:pos="9132"/>
          </w:tabs>
          <w:ind w:left="3600"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50E9878">
        <w:start w:val="1"/>
        <w:numFmt w:val="decimal"/>
        <w:lvlText w:val="%6."/>
        <w:lvlJc w:val="left"/>
        <w:pPr>
          <w:tabs>
            <w:tab w:val="left" w:pos="720"/>
            <w:tab w:val="right" w:pos="8620"/>
            <w:tab w:val="left" w:pos="9132"/>
          </w:tabs>
          <w:ind w:left="4320" w:hanging="35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A708794">
        <w:start w:val="1"/>
        <w:numFmt w:val="decimal"/>
        <w:lvlText w:val="%7."/>
        <w:lvlJc w:val="left"/>
        <w:pPr>
          <w:tabs>
            <w:tab w:val="left" w:pos="720"/>
            <w:tab w:val="right" w:pos="8620"/>
            <w:tab w:val="left" w:pos="9132"/>
          </w:tabs>
          <w:ind w:left="5040" w:hanging="28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11AAFE8">
        <w:start w:val="1"/>
        <w:numFmt w:val="decimal"/>
        <w:lvlText w:val="%8."/>
        <w:lvlJc w:val="left"/>
        <w:pPr>
          <w:tabs>
            <w:tab w:val="left" w:pos="720"/>
            <w:tab w:val="right" w:pos="8620"/>
            <w:tab w:val="left" w:pos="9132"/>
          </w:tabs>
          <w:ind w:left="5760" w:hanging="2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1D8CAE2">
        <w:start w:val="1"/>
        <w:numFmt w:val="decimal"/>
        <w:lvlText w:val="%9."/>
        <w:lvlJc w:val="left"/>
        <w:pPr>
          <w:tabs>
            <w:tab w:val="left" w:pos="720"/>
            <w:tab w:val="center" w:pos="4419"/>
            <w:tab w:val="right" w:pos="8620"/>
            <w:tab w:val="left" w:pos="9132"/>
          </w:tabs>
          <w:ind w:left="6480" w:hanging="14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
    <w:lvlOverride w:ilvl="0">
      <w:startOverride w:val="6"/>
      <w:lvl w:ilvl="0" w:tplc="B9A232AE">
        <w:start w:val="6"/>
        <w:numFmt w:val="decimal"/>
        <w:lvlText w:val="%1."/>
        <w:lvlJc w:val="left"/>
        <w:pPr>
          <w:tabs>
            <w:tab w:val="center" w:pos="4419"/>
            <w:tab w:val="right" w:pos="8838"/>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8A73C0">
        <w:start w:val="1"/>
        <w:numFmt w:val="decimal"/>
        <w:lvlText w:val="%2."/>
        <w:lvlJc w:val="left"/>
        <w:pPr>
          <w:tabs>
            <w:tab w:val="center" w:pos="4419"/>
            <w:tab w:val="right" w:pos="8838"/>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6607E26">
        <w:start w:val="1"/>
        <w:numFmt w:val="decimal"/>
        <w:lvlText w:val="%3."/>
        <w:lvlJc w:val="left"/>
        <w:pPr>
          <w:tabs>
            <w:tab w:val="left" w:pos="720"/>
            <w:tab w:val="center" w:pos="4419"/>
            <w:tab w:val="right" w:pos="8838"/>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E76D5BA">
        <w:start w:val="1"/>
        <w:numFmt w:val="decimal"/>
        <w:lvlText w:val="%4."/>
        <w:lvlJc w:val="left"/>
        <w:pPr>
          <w:tabs>
            <w:tab w:val="left" w:pos="720"/>
            <w:tab w:val="center" w:pos="4419"/>
            <w:tab w:val="right" w:pos="8838"/>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F65520">
        <w:start w:val="1"/>
        <w:numFmt w:val="decimal"/>
        <w:lvlText w:val="%5."/>
        <w:lvlJc w:val="left"/>
        <w:pPr>
          <w:tabs>
            <w:tab w:val="left" w:pos="720"/>
            <w:tab w:val="center" w:pos="4419"/>
            <w:tab w:val="right" w:pos="8838"/>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50E9878">
        <w:start w:val="1"/>
        <w:numFmt w:val="decimal"/>
        <w:lvlText w:val="%6."/>
        <w:lvlJc w:val="left"/>
        <w:pPr>
          <w:tabs>
            <w:tab w:val="left" w:pos="720"/>
            <w:tab w:val="center" w:pos="4419"/>
            <w:tab w:val="right" w:pos="8838"/>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A708794">
        <w:start w:val="1"/>
        <w:numFmt w:val="decimal"/>
        <w:lvlText w:val="%7."/>
        <w:lvlJc w:val="left"/>
        <w:pPr>
          <w:tabs>
            <w:tab w:val="left" w:pos="720"/>
            <w:tab w:val="center" w:pos="4419"/>
            <w:tab w:val="right" w:pos="8838"/>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11AAFE8">
        <w:start w:val="1"/>
        <w:numFmt w:val="decimal"/>
        <w:lvlText w:val="%8."/>
        <w:lvlJc w:val="left"/>
        <w:pPr>
          <w:tabs>
            <w:tab w:val="left" w:pos="720"/>
            <w:tab w:val="center" w:pos="4419"/>
            <w:tab w:val="right" w:pos="8838"/>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1D8CAE2">
        <w:start w:val="1"/>
        <w:numFmt w:val="decimal"/>
        <w:lvlText w:val="%9."/>
        <w:lvlJc w:val="left"/>
        <w:pPr>
          <w:tabs>
            <w:tab w:val="left" w:pos="720"/>
            <w:tab w:val="center" w:pos="4419"/>
            <w:tab w:val="right" w:pos="8838"/>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4"/>
  </w:num>
  <w:num w:numId="11">
    <w:abstractNumId w:val="9"/>
  </w:num>
  <w:num w:numId="12">
    <w:abstractNumId w:val="3"/>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409"/>
    <w:rsid w:val="00021964"/>
    <w:rsid w:val="0006061B"/>
    <w:rsid w:val="000821A6"/>
    <w:rsid w:val="000D7FC3"/>
    <w:rsid w:val="0019211B"/>
    <w:rsid w:val="001D7918"/>
    <w:rsid w:val="00200DCF"/>
    <w:rsid w:val="00205911"/>
    <w:rsid w:val="0024030C"/>
    <w:rsid w:val="00261091"/>
    <w:rsid w:val="002864CB"/>
    <w:rsid w:val="0029307F"/>
    <w:rsid w:val="002A0067"/>
    <w:rsid w:val="002E3F14"/>
    <w:rsid w:val="00327635"/>
    <w:rsid w:val="003A0069"/>
    <w:rsid w:val="003D0867"/>
    <w:rsid w:val="003F727E"/>
    <w:rsid w:val="004232AB"/>
    <w:rsid w:val="00436F79"/>
    <w:rsid w:val="004B40E7"/>
    <w:rsid w:val="004C7BC3"/>
    <w:rsid w:val="00505E8D"/>
    <w:rsid w:val="00567B40"/>
    <w:rsid w:val="00577C90"/>
    <w:rsid w:val="005F4856"/>
    <w:rsid w:val="00642B11"/>
    <w:rsid w:val="00674C33"/>
    <w:rsid w:val="00694A7B"/>
    <w:rsid w:val="006A7BA2"/>
    <w:rsid w:val="006C13C2"/>
    <w:rsid w:val="00700CEB"/>
    <w:rsid w:val="00721409"/>
    <w:rsid w:val="00766F26"/>
    <w:rsid w:val="007843C5"/>
    <w:rsid w:val="007903A6"/>
    <w:rsid w:val="007A6058"/>
    <w:rsid w:val="007B504E"/>
    <w:rsid w:val="007D0440"/>
    <w:rsid w:val="00830CD3"/>
    <w:rsid w:val="009858FE"/>
    <w:rsid w:val="009951BC"/>
    <w:rsid w:val="009A4121"/>
    <w:rsid w:val="009B579A"/>
    <w:rsid w:val="009D5BDD"/>
    <w:rsid w:val="00A340EB"/>
    <w:rsid w:val="00A75C08"/>
    <w:rsid w:val="00AF78AB"/>
    <w:rsid w:val="00AF7913"/>
    <w:rsid w:val="00B35162"/>
    <w:rsid w:val="00B77C5D"/>
    <w:rsid w:val="00B8792E"/>
    <w:rsid w:val="00B94574"/>
    <w:rsid w:val="00BC0A06"/>
    <w:rsid w:val="00C73FC8"/>
    <w:rsid w:val="00C82085"/>
    <w:rsid w:val="00CA7070"/>
    <w:rsid w:val="00CC00F1"/>
    <w:rsid w:val="00D20BB7"/>
    <w:rsid w:val="00D42330"/>
    <w:rsid w:val="00D436B2"/>
    <w:rsid w:val="00D4641D"/>
    <w:rsid w:val="00DC32F9"/>
    <w:rsid w:val="00E02CBC"/>
    <w:rsid w:val="00E75259"/>
    <w:rsid w:val="00EE52B8"/>
    <w:rsid w:val="00F40B94"/>
    <w:rsid w:val="00F83B1C"/>
    <w:rsid w:val="00F925B7"/>
    <w:rsid w:val="00FB1601"/>
    <w:rsid w:val="00FE0488"/>
    <w:rsid w:val="00FE24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A">
    <w:name w:val="Cabecera y pie A"/>
    <w:pPr>
      <w:tabs>
        <w:tab w:val="right" w:pos="9020"/>
      </w:tabs>
    </w:pPr>
    <w:rPr>
      <w:rFonts w:ascii="Helvetica" w:hAnsi="Helvetica" w:cs="Arial Unicode MS"/>
      <w:color w:val="000000"/>
      <w:sz w:val="24"/>
      <w:szCs w:val="24"/>
      <w:u w:color="000000"/>
      <w:lang w:val="es-ES_tradnl"/>
    </w:r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A">
    <w:name w:val="Cuerpo A"/>
    <w:rPr>
      <w:rFonts w:ascii="Helvetica" w:hAnsi="Helvetica" w:cs="Arial Unicode MS"/>
      <w:color w:val="000000"/>
      <w:sz w:val="22"/>
      <w:szCs w:val="22"/>
      <w:u w:color="000000"/>
      <w:lang w:val="es-ES_tradnl"/>
    </w:rPr>
  </w:style>
  <w:style w:type="character" w:customStyle="1" w:styleId="Ninguno">
    <w:name w:val="Ninguno"/>
  </w:style>
  <w:style w:type="paragraph" w:styleId="Header">
    <w:name w:val="header"/>
    <w:pPr>
      <w:tabs>
        <w:tab w:val="center" w:pos="4419"/>
        <w:tab w:val="right" w:pos="8838"/>
      </w:tabs>
      <w:suppressAutoHyphens/>
    </w:pPr>
    <w:rPr>
      <w:rFonts w:cs="Arial Unicode MS"/>
      <w:color w:val="000000"/>
      <w:kern w:val="1"/>
      <w:sz w:val="24"/>
      <w:szCs w:val="24"/>
      <w:u w:color="000000"/>
      <w:lang w:val="es-ES_tradnl"/>
    </w:rPr>
  </w:style>
  <w:style w:type="numbering" w:customStyle="1" w:styleId="Estiloimportado1">
    <w:name w:val="Estilo importado 1"/>
    <w:pPr>
      <w:numPr>
        <w:numId w:val="1"/>
      </w:numPr>
    </w:pPr>
  </w:style>
  <w:style w:type="paragraph" w:styleId="ListParagraph">
    <w:name w:val="List Paragraph"/>
    <w:pPr>
      <w:ind w:left="720"/>
    </w:pPr>
    <w:rPr>
      <w:rFonts w:eastAsia="Times New Roman"/>
      <w:color w:val="000000"/>
      <w:u w:color="000000"/>
      <w:lang w:val="en-US"/>
    </w:rPr>
  </w:style>
  <w:style w:type="numbering" w:customStyle="1" w:styleId="Estiloimportado2">
    <w:name w:val="Estilo importado 2"/>
    <w:pPr>
      <w:numPr>
        <w:numId w:val="4"/>
      </w:numPr>
    </w:pPr>
  </w:style>
  <w:style w:type="paragraph" w:styleId="BalloonText">
    <w:name w:val="Balloon Text"/>
    <w:basedOn w:val="Normal"/>
    <w:link w:val="BalloonTextChar"/>
    <w:uiPriority w:val="99"/>
    <w:semiHidden/>
    <w:unhideWhenUsed/>
    <w:rsid w:val="00995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1BC"/>
    <w:rPr>
      <w:rFonts w:ascii="Segoe UI" w:hAnsi="Segoe UI" w:cs="Segoe UI"/>
      <w:sz w:val="18"/>
      <w:szCs w:val="18"/>
      <w:lang w:val="en-US" w:eastAsia="en-US"/>
    </w:rPr>
  </w:style>
  <w:style w:type="paragraph" w:styleId="Footer">
    <w:name w:val="footer"/>
    <w:basedOn w:val="Normal"/>
    <w:link w:val="FooterChar"/>
    <w:uiPriority w:val="99"/>
    <w:unhideWhenUsed/>
    <w:rsid w:val="009951BC"/>
    <w:pPr>
      <w:tabs>
        <w:tab w:val="center" w:pos="4252"/>
        <w:tab w:val="right" w:pos="8504"/>
      </w:tabs>
    </w:pPr>
  </w:style>
  <w:style w:type="character" w:customStyle="1" w:styleId="FooterChar">
    <w:name w:val="Footer Char"/>
    <w:basedOn w:val="DefaultParagraphFont"/>
    <w:link w:val="Footer"/>
    <w:uiPriority w:val="99"/>
    <w:rsid w:val="009951BC"/>
    <w:rPr>
      <w:sz w:val="24"/>
      <w:szCs w:val="24"/>
      <w:lang w:val="en-US" w:eastAsia="en-US"/>
    </w:rPr>
  </w:style>
  <w:style w:type="table" w:styleId="TableGrid">
    <w:name w:val="Table Grid"/>
    <w:basedOn w:val="TableNormal"/>
    <w:uiPriority w:val="39"/>
    <w:rsid w:val="00CC0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A">
    <w:name w:val="Cabecera y pie A"/>
    <w:pPr>
      <w:tabs>
        <w:tab w:val="right" w:pos="9020"/>
      </w:tabs>
    </w:pPr>
    <w:rPr>
      <w:rFonts w:ascii="Helvetica" w:hAnsi="Helvetica" w:cs="Arial Unicode MS"/>
      <w:color w:val="000000"/>
      <w:sz w:val="24"/>
      <w:szCs w:val="24"/>
      <w:u w:color="000000"/>
      <w:lang w:val="es-ES_tradnl"/>
    </w:r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A">
    <w:name w:val="Cuerpo A"/>
    <w:rPr>
      <w:rFonts w:ascii="Helvetica" w:hAnsi="Helvetica" w:cs="Arial Unicode MS"/>
      <w:color w:val="000000"/>
      <w:sz w:val="22"/>
      <w:szCs w:val="22"/>
      <w:u w:color="000000"/>
      <w:lang w:val="es-ES_tradnl"/>
    </w:rPr>
  </w:style>
  <w:style w:type="character" w:customStyle="1" w:styleId="Ninguno">
    <w:name w:val="Ninguno"/>
  </w:style>
  <w:style w:type="paragraph" w:styleId="Header">
    <w:name w:val="header"/>
    <w:pPr>
      <w:tabs>
        <w:tab w:val="center" w:pos="4419"/>
        <w:tab w:val="right" w:pos="8838"/>
      </w:tabs>
      <w:suppressAutoHyphens/>
    </w:pPr>
    <w:rPr>
      <w:rFonts w:cs="Arial Unicode MS"/>
      <w:color w:val="000000"/>
      <w:kern w:val="1"/>
      <w:sz w:val="24"/>
      <w:szCs w:val="24"/>
      <w:u w:color="000000"/>
      <w:lang w:val="es-ES_tradnl"/>
    </w:rPr>
  </w:style>
  <w:style w:type="numbering" w:customStyle="1" w:styleId="Estiloimportado1">
    <w:name w:val="Estilo importado 1"/>
    <w:pPr>
      <w:numPr>
        <w:numId w:val="1"/>
      </w:numPr>
    </w:pPr>
  </w:style>
  <w:style w:type="paragraph" w:styleId="ListParagraph">
    <w:name w:val="List Paragraph"/>
    <w:pPr>
      <w:ind w:left="720"/>
    </w:pPr>
    <w:rPr>
      <w:rFonts w:eastAsia="Times New Roman"/>
      <w:color w:val="000000"/>
      <w:u w:color="000000"/>
      <w:lang w:val="en-US"/>
    </w:rPr>
  </w:style>
  <w:style w:type="numbering" w:customStyle="1" w:styleId="Estiloimportado2">
    <w:name w:val="Estilo importado 2"/>
    <w:pPr>
      <w:numPr>
        <w:numId w:val="4"/>
      </w:numPr>
    </w:pPr>
  </w:style>
  <w:style w:type="paragraph" w:styleId="BalloonText">
    <w:name w:val="Balloon Text"/>
    <w:basedOn w:val="Normal"/>
    <w:link w:val="BalloonTextChar"/>
    <w:uiPriority w:val="99"/>
    <w:semiHidden/>
    <w:unhideWhenUsed/>
    <w:rsid w:val="00995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1BC"/>
    <w:rPr>
      <w:rFonts w:ascii="Segoe UI" w:hAnsi="Segoe UI" w:cs="Segoe UI"/>
      <w:sz w:val="18"/>
      <w:szCs w:val="18"/>
      <w:lang w:val="en-US" w:eastAsia="en-US"/>
    </w:rPr>
  </w:style>
  <w:style w:type="paragraph" w:styleId="Footer">
    <w:name w:val="footer"/>
    <w:basedOn w:val="Normal"/>
    <w:link w:val="FooterChar"/>
    <w:uiPriority w:val="99"/>
    <w:unhideWhenUsed/>
    <w:rsid w:val="009951BC"/>
    <w:pPr>
      <w:tabs>
        <w:tab w:val="center" w:pos="4252"/>
        <w:tab w:val="right" w:pos="8504"/>
      </w:tabs>
    </w:pPr>
  </w:style>
  <w:style w:type="character" w:customStyle="1" w:styleId="FooterChar">
    <w:name w:val="Footer Char"/>
    <w:basedOn w:val="DefaultParagraphFont"/>
    <w:link w:val="Footer"/>
    <w:uiPriority w:val="99"/>
    <w:rsid w:val="009951BC"/>
    <w:rPr>
      <w:sz w:val="24"/>
      <w:szCs w:val="24"/>
      <w:lang w:val="en-US" w:eastAsia="en-US"/>
    </w:rPr>
  </w:style>
  <w:style w:type="table" w:styleId="TableGrid">
    <w:name w:val="Table Grid"/>
    <w:basedOn w:val="TableNormal"/>
    <w:uiPriority w:val="39"/>
    <w:rsid w:val="00CC0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2AC1D5-B4D9-4254-BFDE-EB8759FF4001}">
  <ds:schemaRefs>
    <ds:schemaRef ds:uri="http://schemas.openxmlformats.org/officeDocument/2006/bibliography"/>
  </ds:schemaRefs>
</ds:datastoreItem>
</file>

<file path=customXml/itemProps2.xml><?xml version="1.0" encoding="utf-8"?>
<ds:datastoreItem xmlns:ds="http://schemas.openxmlformats.org/officeDocument/2006/customXml" ds:itemID="{038338DC-95AC-4921-9945-DCFAB4DC092E}"/>
</file>

<file path=customXml/itemProps3.xml><?xml version="1.0" encoding="utf-8"?>
<ds:datastoreItem xmlns:ds="http://schemas.openxmlformats.org/officeDocument/2006/customXml" ds:itemID="{BB8F93C9-C97F-4198-B836-41DA6CA6FD28}"/>
</file>

<file path=customXml/itemProps4.xml><?xml version="1.0" encoding="utf-8"?>
<ds:datastoreItem xmlns:ds="http://schemas.openxmlformats.org/officeDocument/2006/customXml" ds:itemID="{02732008-B8CE-4845-BD8E-014F91CF08CF}"/>
</file>

<file path=docProps/app.xml><?xml version="1.0" encoding="utf-8"?>
<Properties xmlns="http://schemas.openxmlformats.org/officeDocument/2006/extended-properties" xmlns:vt="http://schemas.openxmlformats.org/officeDocument/2006/docPropsVTypes">
  <Template>Normal</Template>
  <TotalTime>3</TotalTime>
  <Pages>6</Pages>
  <Words>1561</Words>
  <Characters>8589</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10130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ngonzalezb</dc:creator>
  <cp:lastModifiedBy>Norma</cp:lastModifiedBy>
  <cp:revision>3</cp:revision>
  <cp:lastPrinted>2017-11-30T18:01:00Z</cp:lastPrinted>
  <dcterms:created xsi:type="dcterms:W3CDTF">2017-12-01T03:21:00Z</dcterms:created>
  <dcterms:modified xsi:type="dcterms:W3CDTF">2017-12-01T03:27:00Z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