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CE" w:rsidRDefault="008F4E5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Annexe II</w:t>
      </w:r>
    </w:p>
    <w:p w:rsidR="000354CE" w:rsidRDefault="000354CE">
      <w:pPr>
        <w:pStyle w:val="Body"/>
        <w:jc w:val="center"/>
        <w:rPr>
          <w:sz w:val="24"/>
          <w:szCs w:val="24"/>
        </w:rPr>
      </w:pPr>
    </w:p>
    <w:p w:rsidR="000354CE" w:rsidRPr="00E2158A" w:rsidRDefault="008F4E56">
      <w:pPr>
        <w:pStyle w:val="Body"/>
        <w:jc w:val="center"/>
        <w:rPr>
          <w:bCs/>
          <w:sz w:val="24"/>
          <w:szCs w:val="24"/>
        </w:rPr>
      </w:pPr>
      <w:r w:rsidRPr="00E2158A">
        <w:rPr>
          <w:bCs/>
          <w:sz w:val="24"/>
          <w:szCs w:val="24"/>
          <w:lang w:val="fr-FR"/>
        </w:rPr>
        <w:t>Fiche de renseignements sur les candidats postulant à des organes créés en vertu d’instruments internationaux relatifs aux droits de l’homme</w:t>
      </w:r>
    </w:p>
    <w:p w:rsidR="000354CE" w:rsidRDefault="000354CE">
      <w:pPr>
        <w:pStyle w:val="Body"/>
        <w:jc w:val="both"/>
        <w:rPr>
          <w:b/>
          <w:bCs/>
          <w:sz w:val="24"/>
          <w:szCs w:val="24"/>
        </w:rPr>
      </w:pPr>
    </w:p>
    <w:p w:rsidR="000354CE" w:rsidRDefault="000354CE">
      <w:pPr>
        <w:pStyle w:val="Body"/>
        <w:jc w:val="both"/>
        <w:rPr>
          <w:sz w:val="24"/>
          <w:szCs w:val="24"/>
        </w:rPr>
      </w:pPr>
    </w:p>
    <w:p w:rsidR="000354CE" w:rsidRPr="008F4E56" w:rsidRDefault="008F4E56">
      <w:pPr>
        <w:pStyle w:val="Body"/>
        <w:jc w:val="both"/>
        <w:rPr>
          <w:rFonts w:cs="Times New Roman"/>
          <w:sz w:val="24"/>
          <w:szCs w:val="24"/>
        </w:rPr>
      </w:pPr>
      <w:proofErr w:type="spellStart"/>
      <w:r w:rsidRPr="008F4E56">
        <w:rPr>
          <w:rFonts w:cs="Times New Roman"/>
          <w:sz w:val="24"/>
          <w:szCs w:val="24"/>
        </w:rPr>
        <w:t>Nom</w:t>
      </w:r>
      <w:proofErr w:type="spellEnd"/>
      <w:r w:rsidRPr="008F4E56">
        <w:rPr>
          <w:rFonts w:cs="Times New Roman"/>
          <w:sz w:val="24"/>
          <w:szCs w:val="24"/>
        </w:rPr>
        <w:t xml:space="preserve"> et </w:t>
      </w:r>
      <w:proofErr w:type="spellStart"/>
      <w:r w:rsidRPr="008F4E56">
        <w:rPr>
          <w:rFonts w:cs="Times New Roman"/>
          <w:sz w:val="24"/>
          <w:szCs w:val="24"/>
        </w:rPr>
        <w:t>pr</w:t>
      </w:r>
      <w:proofErr w:type="spellEnd"/>
      <w:r w:rsidRPr="008F4E56">
        <w:rPr>
          <w:rFonts w:cs="Times New Roman"/>
          <w:sz w:val="24"/>
          <w:szCs w:val="24"/>
          <w:lang w:val="fr-FR"/>
        </w:rPr>
        <w:t>é</w:t>
      </w:r>
      <w:proofErr w:type="spellStart"/>
      <w:r w:rsidRPr="008F4E56">
        <w:rPr>
          <w:rFonts w:cs="Times New Roman"/>
          <w:sz w:val="24"/>
          <w:szCs w:val="24"/>
        </w:rPr>
        <w:t>nom</w:t>
      </w:r>
      <w:proofErr w:type="spellEnd"/>
      <w:r w:rsidRPr="008F4E56">
        <w:rPr>
          <w:rFonts w:cs="Times New Roman"/>
          <w:sz w:val="24"/>
          <w:szCs w:val="24"/>
        </w:rPr>
        <w:t xml:space="preserve">: </w:t>
      </w:r>
      <w:r w:rsidRPr="008F4E56">
        <w:rPr>
          <w:rFonts w:cs="Times New Roman"/>
          <w:bCs/>
          <w:sz w:val="24"/>
          <w:szCs w:val="24"/>
        </w:rPr>
        <w:t>Prof. Dr. Toplak Jurij</w:t>
      </w:r>
    </w:p>
    <w:p w:rsidR="000354CE" w:rsidRPr="008F4E56" w:rsidRDefault="000354CE">
      <w:pPr>
        <w:pStyle w:val="Body"/>
        <w:tabs>
          <w:tab w:val="left" w:pos="1356"/>
        </w:tabs>
        <w:jc w:val="both"/>
        <w:rPr>
          <w:rFonts w:cs="Times New Roman"/>
          <w:sz w:val="24"/>
          <w:szCs w:val="24"/>
        </w:rPr>
      </w:pP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sz w:val="24"/>
          <w:szCs w:val="24"/>
          <w:lang w:val="fr-FR"/>
        </w:rPr>
        <w:t xml:space="preserve">Date et lieu de naissance: </w:t>
      </w:r>
      <w:r w:rsidR="00EA5B02">
        <w:rPr>
          <w:rFonts w:cs="Times New Roman"/>
          <w:bCs/>
          <w:sz w:val="24"/>
          <w:szCs w:val="24"/>
        </w:rPr>
        <w:t>13 a</w:t>
      </w:r>
      <w:bookmarkStart w:id="0" w:name="_GoBack"/>
      <w:bookmarkEnd w:id="0"/>
      <w:r w:rsidRPr="008F4E56">
        <w:rPr>
          <w:rFonts w:cs="Times New Roman"/>
          <w:bCs/>
          <w:sz w:val="24"/>
          <w:szCs w:val="24"/>
        </w:rPr>
        <w:t>vril 1977, Maribor, Slov</w:t>
      </w:r>
      <w:r w:rsidRPr="008F4E56">
        <w:rPr>
          <w:rFonts w:cs="Times New Roman"/>
          <w:bCs/>
          <w:sz w:val="24"/>
          <w:szCs w:val="24"/>
          <w:lang w:val="fr-FR"/>
        </w:rPr>
        <w:t>é</w:t>
      </w:r>
      <w:proofErr w:type="spellStart"/>
      <w:r w:rsidRPr="008F4E56">
        <w:rPr>
          <w:rFonts w:cs="Times New Roman"/>
          <w:bCs/>
          <w:sz w:val="24"/>
          <w:szCs w:val="24"/>
        </w:rPr>
        <w:t>nie</w:t>
      </w:r>
      <w:proofErr w:type="spellEnd"/>
    </w:p>
    <w:p w:rsidR="000354CE" w:rsidRPr="008F4E56" w:rsidRDefault="000354CE">
      <w:pPr>
        <w:pStyle w:val="Body"/>
        <w:jc w:val="both"/>
        <w:rPr>
          <w:rFonts w:cs="Times New Roman"/>
          <w:bCs/>
          <w:sz w:val="24"/>
          <w:szCs w:val="24"/>
        </w:rPr>
      </w:pPr>
    </w:p>
    <w:p w:rsidR="000354CE" w:rsidRPr="008F4E56" w:rsidRDefault="008F4E56">
      <w:pPr>
        <w:pStyle w:val="Bod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sz w:val="24"/>
          <w:szCs w:val="24"/>
          <w:u w:val="single"/>
          <w:lang w:val="fr-FR"/>
        </w:rPr>
        <w:t>Nationalité</w:t>
      </w:r>
      <w:r w:rsidRPr="008F4E56">
        <w:rPr>
          <w:rFonts w:cs="Times New Roman"/>
          <w:sz w:val="24"/>
          <w:szCs w:val="24"/>
          <w:lang w:val="fr-FR"/>
        </w:rPr>
        <w:t xml:space="preserve">: </w:t>
      </w:r>
      <w:r w:rsidRPr="008F4E56">
        <w:rPr>
          <w:rFonts w:cs="Times New Roman"/>
          <w:bCs/>
          <w:sz w:val="24"/>
          <w:szCs w:val="24"/>
          <w:lang w:val="fr-FR"/>
        </w:rPr>
        <w:t>Slovène</w:t>
      </w:r>
    </w:p>
    <w:p w:rsidR="000354CE" w:rsidRPr="008F4E56" w:rsidRDefault="000354CE">
      <w:pPr>
        <w:pStyle w:val="Body"/>
        <w:jc w:val="both"/>
        <w:rPr>
          <w:rFonts w:cs="Times New Roman"/>
          <w:sz w:val="24"/>
          <w:szCs w:val="24"/>
        </w:rPr>
      </w:pP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proofErr w:type="spellStart"/>
      <w:r w:rsidRPr="008F4E56">
        <w:rPr>
          <w:rFonts w:cs="Times New Roman"/>
          <w:sz w:val="24"/>
          <w:szCs w:val="24"/>
        </w:rPr>
        <w:t>Adresse</w:t>
      </w:r>
      <w:proofErr w:type="spellEnd"/>
      <w:r w:rsidRPr="008F4E56">
        <w:rPr>
          <w:rFonts w:cs="Times New Roman"/>
          <w:sz w:val="24"/>
          <w:szCs w:val="24"/>
        </w:rPr>
        <w:t xml:space="preserve"> et </w:t>
      </w:r>
      <w:proofErr w:type="spellStart"/>
      <w:r w:rsidRPr="008F4E56">
        <w:rPr>
          <w:rFonts w:cs="Times New Roman"/>
          <w:sz w:val="24"/>
          <w:szCs w:val="24"/>
        </w:rPr>
        <w:t>email</w:t>
      </w:r>
      <w:proofErr w:type="spellEnd"/>
      <w:r w:rsidRPr="008F4E56">
        <w:rPr>
          <w:rFonts w:cs="Times New Roman"/>
          <w:sz w:val="24"/>
          <w:szCs w:val="24"/>
        </w:rPr>
        <w:t xml:space="preserve">: </w:t>
      </w:r>
      <w:r w:rsidRPr="008F4E56">
        <w:rPr>
          <w:rFonts w:cs="Times New Roman"/>
          <w:bCs/>
          <w:sz w:val="24"/>
          <w:szCs w:val="24"/>
        </w:rPr>
        <w:t>jurij.toplak@um.si, jtoplak@law.fordham.edu</w:t>
      </w:r>
    </w:p>
    <w:p w:rsidR="000354CE" w:rsidRPr="008F4E56" w:rsidRDefault="000354CE">
      <w:pPr>
        <w:pStyle w:val="Body"/>
        <w:jc w:val="both"/>
        <w:rPr>
          <w:rFonts w:cs="Times New Roman"/>
          <w:sz w:val="24"/>
          <w:szCs w:val="24"/>
        </w:rPr>
      </w:pP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sz w:val="24"/>
          <w:szCs w:val="24"/>
          <w:lang w:val="fr-FR"/>
        </w:rPr>
        <w:t>Situation/fonction actuelle :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>Avocat et défenseur des droits des personnes en situation de handicap, de renommée internationale, et ce, depuis 2007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 xml:space="preserve">Professeur invité à </w:t>
      </w:r>
      <w:r w:rsidRPr="008F4E56">
        <w:rPr>
          <w:rFonts w:cs="Times New Roman"/>
          <w:bCs/>
          <w:sz w:val="24"/>
          <w:szCs w:val="24"/>
        </w:rPr>
        <w:t>l</w:t>
      </w:r>
      <w:r w:rsidRPr="008F4E56">
        <w:rPr>
          <w:rFonts w:cs="Times New Roman"/>
          <w:bCs/>
          <w:sz w:val="24"/>
          <w:szCs w:val="24"/>
          <w:lang w:val="fr-FR"/>
        </w:rPr>
        <w:t xml:space="preserve">’école de droit de l'Université 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Fordham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</w:t>
      </w:r>
      <w:r w:rsidRPr="008F4E56">
        <w:rPr>
          <w:rFonts w:cs="Times New Roman"/>
          <w:bCs/>
          <w:sz w:val="24"/>
          <w:szCs w:val="24"/>
        </w:rPr>
        <w:t xml:space="preserve">à </w:t>
      </w:r>
      <w:r w:rsidRPr="008F4E56">
        <w:rPr>
          <w:rFonts w:cs="Times New Roman"/>
          <w:bCs/>
          <w:sz w:val="24"/>
          <w:szCs w:val="24"/>
          <w:lang w:val="fr-FR"/>
        </w:rPr>
        <w:t>New York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 xml:space="preserve">Directeur du département de droit public et professeur </w:t>
      </w:r>
      <w:r w:rsidRPr="008F4E56">
        <w:rPr>
          <w:rFonts w:cs="Times New Roman"/>
          <w:bCs/>
          <w:sz w:val="24"/>
          <w:szCs w:val="24"/>
        </w:rPr>
        <w:t xml:space="preserve">à </w:t>
      </w:r>
      <w:r w:rsidRPr="008F4E56">
        <w:rPr>
          <w:rFonts w:cs="Times New Roman"/>
          <w:bCs/>
          <w:sz w:val="24"/>
          <w:szCs w:val="24"/>
          <w:lang w:val="it-IT"/>
        </w:rPr>
        <w:t>l'</w:t>
      </w:r>
      <w:proofErr w:type="spellStart"/>
      <w:r w:rsidRPr="008F4E56">
        <w:rPr>
          <w:rFonts w:cs="Times New Roman"/>
          <w:bCs/>
          <w:sz w:val="24"/>
          <w:szCs w:val="24"/>
          <w:lang w:val="it-IT"/>
        </w:rPr>
        <w:t>Universit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é </w:t>
      </w:r>
      <w:r w:rsidRPr="008F4E56">
        <w:rPr>
          <w:rFonts w:cs="Times New Roman"/>
          <w:bCs/>
          <w:sz w:val="24"/>
          <w:szCs w:val="24"/>
          <w:lang w:val="pt-PT"/>
        </w:rPr>
        <w:t xml:space="preserve">de </w:t>
      </w:r>
      <w:proofErr w:type="spellStart"/>
      <w:r w:rsidRPr="008F4E56">
        <w:rPr>
          <w:rFonts w:cs="Times New Roman"/>
          <w:bCs/>
          <w:sz w:val="24"/>
          <w:szCs w:val="24"/>
          <w:lang w:val="pt-PT"/>
        </w:rPr>
        <w:t>Maribor</w:t>
      </w:r>
      <w:proofErr w:type="spellEnd"/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>Expert-Consultant en mati</w:t>
      </w:r>
      <w:r w:rsidRPr="008F4E56">
        <w:rPr>
          <w:rFonts w:cs="Times New Roman"/>
          <w:bCs/>
          <w:sz w:val="24"/>
          <w:szCs w:val="24"/>
          <w:lang w:val="it-IT"/>
        </w:rPr>
        <w:t>è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re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de droit des personnes en situation de handicap, de droits de l'Homme, de droit électoral et de droit constitutionnel 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aupr</w:t>
      </w:r>
      <w:proofErr w:type="spellEnd"/>
      <w:r w:rsidRPr="008F4E56">
        <w:rPr>
          <w:rFonts w:cs="Times New Roman"/>
          <w:bCs/>
          <w:sz w:val="24"/>
          <w:szCs w:val="24"/>
          <w:lang w:val="it-IT"/>
        </w:rPr>
        <w:t>è</w:t>
      </w:r>
      <w:r w:rsidRPr="008F4E56">
        <w:rPr>
          <w:rFonts w:cs="Times New Roman"/>
          <w:bCs/>
          <w:sz w:val="24"/>
          <w:szCs w:val="24"/>
          <w:lang w:val="fr-FR"/>
        </w:rPr>
        <w:t>s d</w:t>
      </w:r>
      <w:r w:rsidRPr="008F4E56">
        <w:rPr>
          <w:rFonts w:cs="Times New Roman"/>
          <w:bCs/>
          <w:sz w:val="24"/>
          <w:szCs w:val="24"/>
          <w:rtl/>
        </w:rPr>
        <w:t>’</w:t>
      </w:r>
      <w:r w:rsidRPr="008F4E56">
        <w:rPr>
          <w:rFonts w:cs="Times New Roman"/>
          <w:bCs/>
          <w:sz w:val="24"/>
          <w:szCs w:val="24"/>
          <w:lang w:val="fr-FR"/>
        </w:rPr>
        <w:t>organisations internationales telles que l'OSCE/BIDDH, le Conseil de l'Europe/Greco, PNUD, UE</w:t>
      </w:r>
    </w:p>
    <w:p w:rsidR="000354CE" w:rsidRPr="008F4E56" w:rsidRDefault="000354CE">
      <w:pPr>
        <w:pStyle w:val="Body"/>
        <w:jc w:val="both"/>
        <w:rPr>
          <w:rFonts w:cs="Times New Roman"/>
          <w:bCs/>
          <w:sz w:val="24"/>
          <w:szCs w:val="24"/>
        </w:rPr>
      </w:pP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sz w:val="24"/>
          <w:szCs w:val="24"/>
          <w:lang w:val="fr-FR"/>
        </w:rPr>
        <w:t>Principales activités professionnelles :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 xml:space="preserve">- </w:t>
      </w:r>
      <w:r w:rsidRPr="008F4E56">
        <w:rPr>
          <w:rFonts w:cs="Times New Roman"/>
          <w:bCs/>
          <w:sz w:val="24"/>
          <w:szCs w:val="24"/>
          <w:lang w:val="fr-FR"/>
        </w:rPr>
        <w:t>Plus de 30 procédures judiciaires en lien avec la CDPH (Entre 2007 et 2020)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>- A men</w:t>
      </w:r>
      <w:r w:rsidRPr="008F4E56">
        <w:rPr>
          <w:rFonts w:cs="Times New Roman"/>
          <w:bCs/>
          <w:sz w:val="24"/>
          <w:szCs w:val="24"/>
          <w:lang w:val="fr-FR"/>
        </w:rPr>
        <w:t>é à bien des procédures judiciaires de grande envergure et a ré</w:t>
      </w:r>
      <w:proofErr w:type="spellStart"/>
      <w:r w:rsidRPr="008F4E56">
        <w:rPr>
          <w:rFonts w:cs="Times New Roman"/>
          <w:bCs/>
          <w:sz w:val="24"/>
          <w:szCs w:val="24"/>
        </w:rPr>
        <w:t>dig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>é des recours pré</w:t>
      </w:r>
      <w:proofErr w:type="spellStart"/>
      <w:r w:rsidRPr="008F4E56">
        <w:rPr>
          <w:rFonts w:cs="Times New Roman"/>
          <w:bCs/>
          <w:sz w:val="24"/>
          <w:szCs w:val="24"/>
        </w:rPr>
        <w:t>sent</w:t>
      </w:r>
      <w:r w:rsidRPr="008F4E56">
        <w:rPr>
          <w:rFonts w:cs="Times New Roman"/>
          <w:bCs/>
          <w:sz w:val="24"/>
          <w:szCs w:val="24"/>
          <w:lang w:val="fr-FR"/>
        </w:rPr>
        <w:t>és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devant la Cour constitutionnelle, en s</w:t>
      </w:r>
      <w:r w:rsidRPr="008F4E56">
        <w:rPr>
          <w:rFonts w:cs="Times New Roman"/>
          <w:bCs/>
          <w:sz w:val="24"/>
          <w:szCs w:val="24"/>
          <w:rtl/>
        </w:rPr>
        <w:t>’</w:t>
      </w:r>
      <w:r w:rsidRPr="008F4E56">
        <w:rPr>
          <w:rFonts w:cs="Times New Roman"/>
          <w:bCs/>
          <w:sz w:val="24"/>
          <w:szCs w:val="24"/>
          <w:lang w:val="fr-FR"/>
        </w:rPr>
        <w:t xml:space="preserve">appuyant sur la CDPH, qui ont permis l'abrogation de lois discriminatoires et 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sé</w:t>
      </w:r>
      <w:r w:rsidRPr="008F4E56">
        <w:rPr>
          <w:rFonts w:cs="Times New Roman"/>
          <w:bCs/>
          <w:sz w:val="24"/>
          <w:szCs w:val="24"/>
        </w:rPr>
        <w:t>gr</w:t>
      </w:r>
      <w:r w:rsidRPr="008F4E56">
        <w:rPr>
          <w:rFonts w:cs="Times New Roman"/>
          <w:bCs/>
          <w:sz w:val="24"/>
          <w:szCs w:val="24"/>
          <w:lang w:val="fr-FR"/>
        </w:rPr>
        <w:t>égatives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. Des milliers de vies ont ainsi pu </w:t>
      </w:r>
      <w:r w:rsidRPr="008F4E56">
        <w:rPr>
          <w:rFonts w:cs="Times New Roman"/>
          <w:bCs/>
          <w:sz w:val="24"/>
          <w:szCs w:val="24"/>
        </w:rPr>
        <w:t>ê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tre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amé</w:t>
      </w:r>
      <w:proofErr w:type="spellStart"/>
      <w:r w:rsidRPr="008F4E56">
        <w:rPr>
          <w:rFonts w:cs="Times New Roman"/>
          <w:bCs/>
          <w:sz w:val="24"/>
          <w:szCs w:val="24"/>
          <w:lang w:val="it-IT"/>
        </w:rPr>
        <w:t>lior</w:t>
      </w:r>
      <w:r w:rsidRPr="008F4E56">
        <w:rPr>
          <w:rFonts w:cs="Times New Roman"/>
          <w:bCs/>
          <w:sz w:val="24"/>
          <w:szCs w:val="24"/>
          <w:lang w:val="fr-FR"/>
        </w:rPr>
        <w:t>ées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en rendant accessibles des milliers de b</w:t>
      </w:r>
      <w:r w:rsidRPr="008F4E56">
        <w:rPr>
          <w:rFonts w:cs="Times New Roman"/>
          <w:bCs/>
          <w:sz w:val="24"/>
          <w:szCs w:val="24"/>
        </w:rPr>
        <w:t>â</w:t>
      </w:r>
      <w:proofErr w:type="spellStart"/>
      <w:r w:rsidRPr="008F4E56">
        <w:rPr>
          <w:rFonts w:cs="Times New Roman"/>
          <w:bCs/>
          <w:sz w:val="24"/>
          <w:szCs w:val="24"/>
          <w:lang w:val="pt-PT"/>
        </w:rPr>
        <w:t>timents</w:t>
      </w:r>
      <w:proofErr w:type="spellEnd"/>
      <w:r w:rsidRPr="008F4E56">
        <w:rPr>
          <w:rFonts w:cs="Times New Roman"/>
          <w:bCs/>
          <w:sz w:val="24"/>
          <w:szCs w:val="24"/>
          <w:lang w:val="pt-PT"/>
        </w:rPr>
        <w:t>.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>- R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édaction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de recours pré</w:t>
      </w:r>
      <w:proofErr w:type="spellStart"/>
      <w:r w:rsidRPr="008F4E56">
        <w:rPr>
          <w:rFonts w:cs="Times New Roman"/>
          <w:bCs/>
          <w:sz w:val="24"/>
          <w:szCs w:val="24"/>
        </w:rPr>
        <w:t>sent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>é</w:t>
      </w:r>
      <w:r w:rsidRPr="008F4E56">
        <w:rPr>
          <w:rFonts w:cs="Times New Roman"/>
          <w:bCs/>
          <w:sz w:val="24"/>
          <w:szCs w:val="24"/>
        </w:rPr>
        <w:t xml:space="preserve">s à </w:t>
      </w:r>
      <w:r w:rsidRPr="008F4E56">
        <w:rPr>
          <w:rFonts w:cs="Times New Roman"/>
          <w:bCs/>
          <w:sz w:val="24"/>
          <w:szCs w:val="24"/>
          <w:lang w:val="fr-FR"/>
        </w:rPr>
        <w:t>la Cour européenne des droits de l'homme (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Toplak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and 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Mrak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v. 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Slovenia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) et </w:t>
      </w:r>
      <w:r w:rsidRPr="008F4E56">
        <w:rPr>
          <w:rFonts w:cs="Times New Roman"/>
          <w:bCs/>
          <w:sz w:val="24"/>
          <w:szCs w:val="24"/>
        </w:rPr>
        <w:t xml:space="preserve">à </w:t>
      </w:r>
      <w:r w:rsidRPr="008F4E56">
        <w:rPr>
          <w:rFonts w:cs="Times New Roman"/>
          <w:bCs/>
          <w:sz w:val="24"/>
          <w:szCs w:val="24"/>
          <w:lang w:val="fr-FR"/>
        </w:rPr>
        <w:t xml:space="preserve">l'Union européenne, en faveur des utilisateurs de fauteuils roulants et des personnes souffrant de handicaps mentaux. Le but était de faire 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reconna</w:t>
      </w:r>
      <w:proofErr w:type="spellEnd"/>
      <w:r w:rsidRPr="008F4E56">
        <w:rPr>
          <w:rFonts w:cs="Times New Roman"/>
          <w:bCs/>
          <w:sz w:val="24"/>
          <w:szCs w:val="24"/>
        </w:rPr>
        <w:t>î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tre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, par les juridictions européennes, les positions du Comité comme faisant partie du droit 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europé</w:t>
      </w:r>
      <w:proofErr w:type="spellEnd"/>
      <w:r w:rsidRPr="008F4E56">
        <w:rPr>
          <w:rFonts w:cs="Times New Roman"/>
          <w:bCs/>
          <w:sz w:val="24"/>
          <w:szCs w:val="24"/>
        </w:rPr>
        <w:t>en.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 xml:space="preserve">Participation </w:t>
      </w:r>
      <w:r w:rsidRPr="008F4E56">
        <w:rPr>
          <w:rFonts w:cs="Times New Roman"/>
          <w:bCs/>
          <w:sz w:val="24"/>
          <w:szCs w:val="24"/>
        </w:rPr>
        <w:t xml:space="preserve">à </w:t>
      </w:r>
      <w:r w:rsidRPr="008F4E56">
        <w:rPr>
          <w:rFonts w:cs="Times New Roman"/>
          <w:bCs/>
          <w:sz w:val="24"/>
          <w:szCs w:val="24"/>
          <w:lang w:val="fr-FR"/>
        </w:rPr>
        <w:t>des missions d</w:t>
      </w:r>
      <w:r w:rsidRPr="008F4E56">
        <w:rPr>
          <w:rFonts w:cs="Times New Roman"/>
          <w:bCs/>
          <w:sz w:val="24"/>
          <w:szCs w:val="24"/>
          <w:rtl/>
        </w:rPr>
        <w:t>’</w:t>
      </w:r>
      <w:r w:rsidRPr="008F4E56">
        <w:rPr>
          <w:rFonts w:cs="Times New Roman"/>
          <w:bCs/>
          <w:sz w:val="24"/>
          <w:szCs w:val="24"/>
          <w:lang w:val="fr-FR"/>
        </w:rPr>
        <w:t xml:space="preserve">expertise internationales dans 15 pays 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>Intervention lors de plus de 80 conférences internationales, et ce dans le monde entier, notamment dans les Universités d</w:t>
      </w:r>
      <w:r w:rsidRPr="008F4E56">
        <w:rPr>
          <w:rFonts w:cs="Times New Roman"/>
          <w:bCs/>
          <w:sz w:val="24"/>
          <w:szCs w:val="24"/>
          <w:rtl/>
        </w:rPr>
        <w:t>’</w:t>
      </w:r>
      <w:r w:rsidRPr="008F4E56">
        <w:rPr>
          <w:rFonts w:cs="Times New Roman"/>
          <w:bCs/>
          <w:sz w:val="24"/>
          <w:szCs w:val="24"/>
          <w:lang w:val="es-ES_tradnl"/>
        </w:rPr>
        <w:t>Harvard, de Columbia, de Valencia, de Vienne, de P</w:t>
      </w:r>
      <w:r w:rsidRPr="008F4E56">
        <w:rPr>
          <w:rFonts w:cs="Times New Roman"/>
          <w:bCs/>
          <w:sz w:val="24"/>
          <w:szCs w:val="24"/>
          <w:lang w:val="fr-FR"/>
        </w:rPr>
        <w:t>é</w:t>
      </w:r>
      <w:proofErr w:type="spellStart"/>
      <w:r w:rsidRPr="008F4E56">
        <w:rPr>
          <w:rFonts w:cs="Times New Roman"/>
          <w:bCs/>
          <w:sz w:val="24"/>
          <w:szCs w:val="24"/>
        </w:rPr>
        <w:t>cs</w:t>
      </w:r>
      <w:proofErr w:type="spellEnd"/>
      <w:r w:rsidRPr="008F4E56">
        <w:rPr>
          <w:rFonts w:cs="Times New Roman"/>
          <w:bCs/>
          <w:sz w:val="24"/>
          <w:szCs w:val="24"/>
        </w:rPr>
        <w:t xml:space="preserve">, de Zagreb, de </w:t>
      </w:r>
      <w:proofErr w:type="spellStart"/>
      <w:r w:rsidRPr="008F4E56">
        <w:rPr>
          <w:rFonts w:cs="Times New Roman"/>
          <w:bCs/>
          <w:sz w:val="24"/>
          <w:szCs w:val="24"/>
        </w:rPr>
        <w:t>Belgrade</w:t>
      </w:r>
      <w:proofErr w:type="spellEnd"/>
      <w:r w:rsidRPr="008F4E56">
        <w:rPr>
          <w:rFonts w:cs="Times New Roman"/>
          <w:bCs/>
          <w:sz w:val="24"/>
          <w:szCs w:val="24"/>
        </w:rPr>
        <w:t xml:space="preserve">, de </w:t>
      </w:r>
      <w:proofErr w:type="spellStart"/>
      <w:r w:rsidRPr="008F4E56">
        <w:rPr>
          <w:rFonts w:cs="Times New Roman"/>
          <w:bCs/>
          <w:sz w:val="24"/>
          <w:szCs w:val="24"/>
        </w:rPr>
        <w:t>Curitiba</w:t>
      </w:r>
      <w:proofErr w:type="spellEnd"/>
      <w:r w:rsidRPr="008F4E56">
        <w:rPr>
          <w:rFonts w:cs="Times New Roman"/>
          <w:bCs/>
          <w:sz w:val="24"/>
          <w:szCs w:val="24"/>
        </w:rPr>
        <w:t xml:space="preserve">, de </w:t>
      </w:r>
      <w:proofErr w:type="spellStart"/>
      <w:r w:rsidRPr="008F4E56">
        <w:rPr>
          <w:rFonts w:cs="Times New Roman"/>
          <w:bCs/>
          <w:sz w:val="24"/>
          <w:szCs w:val="24"/>
        </w:rPr>
        <w:t>Prague</w:t>
      </w:r>
      <w:proofErr w:type="spellEnd"/>
      <w:r w:rsidRPr="008F4E56">
        <w:rPr>
          <w:rFonts w:cs="Times New Roman"/>
          <w:bCs/>
          <w:sz w:val="24"/>
          <w:szCs w:val="24"/>
        </w:rPr>
        <w:t xml:space="preserve">, de Washington </w:t>
      </w:r>
      <w:proofErr w:type="spellStart"/>
      <w:r w:rsidRPr="008F4E56">
        <w:rPr>
          <w:rFonts w:cs="Times New Roman"/>
          <w:bCs/>
          <w:sz w:val="24"/>
          <w:szCs w:val="24"/>
        </w:rPr>
        <w:t>and</w:t>
      </w:r>
      <w:proofErr w:type="spellEnd"/>
      <w:r w:rsidRPr="008F4E56">
        <w:rPr>
          <w:rFonts w:cs="Times New Roman"/>
          <w:bCs/>
          <w:sz w:val="24"/>
          <w:szCs w:val="24"/>
        </w:rPr>
        <w:t xml:space="preserve"> Lee et de </w:t>
      </w:r>
      <w:proofErr w:type="spellStart"/>
      <w:r w:rsidRPr="008F4E56">
        <w:rPr>
          <w:rFonts w:cs="Times New Roman"/>
          <w:bCs/>
          <w:sz w:val="24"/>
          <w:szCs w:val="24"/>
        </w:rPr>
        <w:t>Fordham</w:t>
      </w:r>
      <w:proofErr w:type="spellEnd"/>
      <w:r w:rsidRPr="008F4E56">
        <w:rPr>
          <w:rFonts w:cs="Times New Roman"/>
          <w:bCs/>
          <w:sz w:val="24"/>
          <w:szCs w:val="24"/>
        </w:rPr>
        <w:t xml:space="preserve">. A </w:t>
      </w:r>
      <w:r w:rsidRPr="008F4E56">
        <w:rPr>
          <w:rFonts w:cs="Times New Roman"/>
          <w:bCs/>
          <w:sz w:val="24"/>
          <w:szCs w:val="24"/>
          <w:lang w:val="fr-FR"/>
        </w:rPr>
        <w:t>é</w:t>
      </w:r>
      <w:r w:rsidRPr="008F4E56">
        <w:rPr>
          <w:rFonts w:cs="Times New Roman"/>
          <w:bCs/>
          <w:sz w:val="24"/>
          <w:szCs w:val="24"/>
        </w:rPr>
        <w:t>t</w:t>
      </w:r>
      <w:r w:rsidRPr="008F4E56">
        <w:rPr>
          <w:rFonts w:cs="Times New Roman"/>
          <w:bCs/>
          <w:sz w:val="24"/>
          <w:szCs w:val="24"/>
          <w:lang w:val="fr-FR"/>
        </w:rPr>
        <w:t xml:space="preserve">é chercheur </w:t>
      </w:r>
      <w:r w:rsidRPr="008F4E56">
        <w:rPr>
          <w:rFonts w:cs="Times New Roman"/>
          <w:bCs/>
          <w:sz w:val="24"/>
          <w:szCs w:val="24"/>
        </w:rPr>
        <w:t xml:space="preserve">à </w:t>
      </w:r>
      <w:r w:rsidRPr="008F4E56">
        <w:rPr>
          <w:rFonts w:cs="Times New Roman"/>
          <w:bCs/>
          <w:sz w:val="24"/>
          <w:szCs w:val="24"/>
          <w:lang w:val="en-US"/>
        </w:rPr>
        <w:t>Oxford, Georgetown</w:t>
      </w:r>
      <w:r w:rsidRPr="008F4E56">
        <w:rPr>
          <w:rFonts w:cs="Times New Roman"/>
          <w:bCs/>
          <w:sz w:val="24"/>
          <w:szCs w:val="24"/>
        </w:rPr>
        <w:t>.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>Plus de 800 communiqués de presse rapporté</w:t>
      </w:r>
      <w:r w:rsidRPr="008F4E56">
        <w:rPr>
          <w:rFonts w:cs="Times New Roman"/>
          <w:bCs/>
          <w:sz w:val="24"/>
          <w:szCs w:val="24"/>
          <w:lang w:val="pt-PT"/>
        </w:rPr>
        <w:t>s.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>Davantage d'activités sont pré</w:t>
      </w:r>
      <w:proofErr w:type="spellStart"/>
      <w:r w:rsidRPr="008F4E56">
        <w:rPr>
          <w:rFonts w:cs="Times New Roman"/>
          <w:bCs/>
          <w:sz w:val="24"/>
          <w:szCs w:val="24"/>
        </w:rPr>
        <w:t>sent</w:t>
      </w:r>
      <w:r w:rsidRPr="008F4E56">
        <w:rPr>
          <w:rFonts w:cs="Times New Roman"/>
          <w:bCs/>
          <w:sz w:val="24"/>
          <w:szCs w:val="24"/>
          <w:lang w:val="fr-FR"/>
        </w:rPr>
        <w:t>ées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sur Wikipédia et sur le site web de l'université</w:t>
      </w:r>
      <w:r w:rsidRPr="008F4E56">
        <w:rPr>
          <w:rFonts w:cs="Times New Roman"/>
          <w:bCs/>
          <w:sz w:val="24"/>
          <w:szCs w:val="24"/>
        </w:rPr>
        <w:t>.</w:t>
      </w:r>
    </w:p>
    <w:p w:rsidR="000354CE" w:rsidRPr="008F4E56" w:rsidRDefault="000354CE">
      <w:pPr>
        <w:pStyle w:val="Body"/>
        <w:jc w:val="both"/>
        <w:rPr>
          <w:rFonts w:cs="Times New Roman"/>
          <w:sz w:val="24"/>
          <w:szCs w:val="24"/>
        </w:rPr>
      </w:pP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sz w:val="24"/>
          <w:szCs w:val="24"/>
          <w:lang w:val="fr-FR"/>
        </w:rPr>
        <w:t>Etudes :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 xml:space="preserve">- </w:t>
      </w:r>
      <w:r w:rsidRPr="008F4E56">
        <w:rPr>
          <w:rFonts w:cs="Times New Roman"/>
          <w:bCs/>
          <w:sz w:val="24"/>
          <w:szCs w:val="24"/>
          <w:lang w:val="fr-FR"/>
        </w:rPr>
        <w:t xml:space="preserve">Doctorat en droit, université </w:t>
      </w:r>
      <w:r w:rsidRPr="008F4E56">
        <w:rPr>
          <w:rFonts w:cs="Times New Roman"/>
          <w:bCs/>
          <w:sz w:val="24"/>
          <w:szCs w:val="24"/>
        </w:rPr>
        <w:t>de Maribor (2007)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 xml:space="preserve">- </w:t>
      </w:r>
      <w:proofErr w:type="spellStart"/>
      <w:r w:rsidRPr="008F4E56">
        <w:rPr>
          <w:rFonts w:cs="Times New Roman"/>
          <w:bCs/>
          <w:sz w:val="24"/>
          <w:szCs w:val="24"/>
          <w:lang w:val="nl-NL"/>
        </w:rPr>
        <w:t>Chercheur</w:t>
      </w:r>
      <w:proofErr w:type="spellEnd"/>
      <w:r w:rsidRPr="008F4E56">
        <w:rPr>
          <w:rFonts w:cs="Times New Roman"/>
          <w:bCs/>
          <w:sz w:val="24"/>
          <w:szCs w:val="24"/>
          <w:lang w:val="nl-NL"/>
        </w:rPr>
        <w:t xml:space="preserve"> </w:t>
      </w:r>
      <w:proofErr w:type="spellStart"/>
      <w:r w:rsidRPr="008F4E56">
        <w:rPr>
          <w:rFonts w:cs="Times New Roman"/>
          <w:bCs/>
          <w:sz w:val="24"/>
          <w:szCs w:val="24"/>
          <w:lang w:val="nl-NL"/>
        </w:rPr>
        <w:t>Fulbright</w:t>
      </w:r>
      <w:proofErr w:type="spellEnd"/>
      <w:r w:rsidRPr="008F4E56">
        <w:rPr>
          <w:rFonts w:cs="Times New Roman"/>
          <w:bCs/>
          <w:sz w:val="24"/>
          <w:szCs w:val="24"/>
          <w:lang w:val="nl-NL"/>
        </w:rPr>
        <w:t xml:space="preserve">, </w:t>
      </w:r>
      <w:proofErr w:type="spellStart"/>
      <w:r w:rsidRPr="008F4E56">
        <w:rPr>
          <w:rFonts w:cs="Times New Roman"/>
          <w:bCs/>
          <w:sz w:val="24"/>
          <w:szCs w:val="24"/>
          <w:lang w:val="nl-NL"/>
        </w:rPr>
        <w:t>facult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>é de droit de l'UCLA, (2003-2004)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 xml:space="preserve">- </w:t>
      </w:r>
      <w:r w:rsidRPr="008F4E56">
        <w:rPr>
          <w:rFonts w:cs="Times New Roman"/>
          <w:bCs/>
          <w:sz w:val="24"/>
          <w:szCs w:val="24"/>
          <w:lang w:val="fr-FR"/>
        </w:rPr>
        <w:t>LL.M, droit constitutionnel comparé</w:t>
      </w:r>
      <w:r w:rsidRPr="008F4E56">
        <w:rPr>
          <w:rFonts w:cs="Times New Roman"/>
          <w:bCs/>
          <w:sz w:val="24"/>
          <w:szCs w:val="24"/>
          <w:lang w:val="it-IT"/>
        </w:rPr>
        <w:t xml:space="preserve">, </w:t>
      </w:r>
      <w:proofErr w:type="spellStart"/>
      <w:r w:rsidRPr="008F4E56">
        <w:rPr>
          <w:rFonts w:cs="Times New Roman"/>
          <w:bCs/>
          <w:sz w:val="24"/>
          <w:szCs w:val="24"/>
          <w:lang w:val="it-IT"/>
        </w:rPr>
        <w:t>universit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é </w:t>
      </w:r>
      <w:r w:rsidRPr="008F4E56">
        <w:rPr>
          <w:rFonts w:cs="Times New Roman"/>
          <w:bCs/>
          <w:sz w:val="24"/>
          <w:szCs w:val="24"/>
          <w:lang w:val="it-IT"/>
        </w:rPr>
        <w:t>d'Europe centrale, Budapest (2001)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 xml:space="preserve">- </w:t>
      </w:r>
      <w:proofErr w:type="spellStart"/>
      <w:r w:rsidRPr="008F4E56">
        <w:rPr>
          <w:rFonts w:cs="Times New Roman"/>
          <w:bCs/>
          <w:sz w:val="24"/>
          <w:szCs w:val="24"/>
          <w:lang w:val="de-DE"/>
        </w:rPr>
        <w:t>Dipl</w:t>
      </w:r>
      <w:proofErr w:type="spellEnd"/>
      <w:r w:rsidRPr="008F4E56">
        <w:rPr>
          <w:rFonts w:cs="Times New Roman"/>
          <w:bCs/>
          <w:sz w:val="24"/>
          <w:szCs w:val="24"/>
        </w:rPr>
        <w:t>ô</w:t>
      </w:r>
      <w:r w:rsidRPr="008F4E56">
        <w:rPr>
          <w:rFonts w:cs="Times New Roman"/>
          <w:bCs/>
          <w:sz w:val="24"/>
          <w:szCs w:val="24"/>
          <w:lang w:val="fr-FR"/>
        </w:rPr>
        <w:t xml:space="preserve">me de droit, université </w:t>
      </w:r>
      <w:r w:rsidRPr="008F4E56">
        <w:rPr>
          <w:rFonts w:cs="Times New Roman"/>
          <w:bCs/>
          <w:sz w:val="24"/>
          <w:szCs w:val="24"/>
        </w:rPr>
        <w:t>de Maribor, Maribor (1999)</w:t>
      </w:r>
    </w:p>
    <w:p w:rsidR="000354CE" w:rsidRPr="008F4E56" w:rsidRDefault="000354CE">
      <w:pPr>
        <w:pStyle w:val="Body"/>
        <w:jc w:val="both"/>
        <w:rPr>
          <w:rFonts w:cs="Times New Roman"/>
          <w:bCs/>
          <w:sz w:val="24"/>
          <w:szCs w:val="24"/>
        </w:rPr>
      </w:pPr>
    </w:p>
    <w:p w:rsidR="000354CE" w:rsidRPr="008F4E56" w:rsidRDefault="008F4E56">
      <w:pPr>
        <w:pStyle w:val="Body"/>
        <w:jc w:val="both"/>
        <w:rPr>
          <w:rFonts w:cs="Times New Roman"/>
          <w:sz w:val="24"/>
          <w:szCs w:val="24"/>
          <w:lang w:val="fr-FR"/>
        </w:rPr>
      </w:pPr>
      <w:r w:rsidRPr="008F4E56">
        <w:rPr>
          <w:rFonts w:cs="Times New Roman"/>
          <w:sz w:val="24"/>
          <w:szCs w:val="24"/>
          <w:lang w:val="fr-FR"/>
        </w:rPr>
        <w:t>Expertise pertinente sur les droits des personnes avec handicaps: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  <w:lang w:val="fr-FR"/>
        </w:rPr>
        <w:t>- Une expertise reconnue en ce qui concerne les contentieux de grande envergure et l</w:t>
      </w:r>
      <w:r w:rsidRPr="008F4E56">
        <w:rPr>
          <w:rFonts w:cs="Times New Roman"/>
          <w:bCs/>
          <w:sz w:val="24"/>
          <w:szCs w:val="24"/>
          <w:rtl/>
        </w:rPr>
        <w:t>’</w:t>
      </w:r>
      <w:proofErr w:type="spellStart"/>
      <w:r w:rsidRPr="008F4E56">
        <w:rPr>
          <w:rFonts w:cs="Times New Roman"/>
          <w:bCs/>
          <w:sz w:val="24"/>
          <w:szCs w:val="24"/>
          <w:lang w:val="it-IT"/>
        </w:rPr>
        <w:t>accè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>s aux tribunaux pour les personnes en situation de handicap. Expert des articles 5 (sur la non-discrimination), 9 (sur l</w:t>
      </w:r>
      <w:r w:rsidRPr="008F4E56">
        <w:rPr>
          <w:rFonts w:cs="Times New Roman"/>
          <w:bCs/>
          <w:sz w:val="24"/>
          <w:szCs w:val="24"/>
          <w:rtl/>
        </w:rPr>
        <w:t>’</w:t>
      </w:r>
      <w:proofErr w:type="spellStart"/>
      <w:r w:rsidRPr="008F4E56">
        <w:rPr>
          <w:rFonts w:cs="Times New Roman"/>
          <w:bCs/>
          <w:sz w:val="24"/>
          <w:szCs w:val="24"/>
          <w:lang w:val="it-IT"/>
        </w:rPr>
        <w:t>accessibilit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>é), 13 (sur l</w:t>
      </w:r>
      <w:r w:rsidRPr="008F4E56">
        <w:rPr>
          <w:rFonts w:cs="Times New Roman"/>
          <w:bCs/>
          <w:sz w:val="24"/>
          <w:szCs w:val="24"/>
          <w:rtl/>
        </w:rPr>
        <w:t>’</w:t>
      </w:r>
      <w:proofErr w:type="spellStart"/>
      <w:r w:rsidRPr="008F4E56">
        <w:rPr>
          <w:rFonts w:cs="Times New Roman"/>
          <w:bCs/>
          <w:sz w:val="24"/>
          <w:szCs w:val="24"/>
          <w:lang w:val="it-IT"/>
        </w:rPr>
        <w:t>accè</w:t>
      </w:r>
      <w:proofErr w:type="spellEnd"/>
      <w:r w:rsidRPr="008F4E56">
        <w:rPr>
          <w:rFonts w:cs="Times New Roman"/>
          <w:bCs/>
          <w:sz w:val="24"/>
          <w:szCs w:val="24"/>
        </w:rPr>
        <w:t xml:space="preserve">s à </w:t>
      </w:r>
      <w:r w:rsidRPr="008F4E56">
        <w:rPr>
          <w:rFonts w:cs="Times New Roman"/>
          <w:bCs/>
          <w:sz w:val="24"/>
          <w:szCs w:val="24"/>
          <w:lang w:val="fr-FR"/>
        </w:rPr>
        <w:t>la justice), 17 (sur l</w:t>
      </w:r>
      <w:r w:rsidRPr="008F4E56">
        <w:rPr>
          <w:rFonts w:cs="Times New Roman"/>
          <w:bCs/>
          <w:sz w:val="24"/>
          <w:szCs w:val="24"/>
          <w:rtl/>
        </w:rPr>
        <w:t>’</w:t>
      </w:r>
      <w:proofErr w:type="spellStart"/>
      <w:r w:rsidRPr="008F4E56">
        <w:rPr>
          <w:rFonts w:cs="Times New Roman"/>
          <w:bCs/>
          <w:sz w:val="24"/>
          <w:szCs w:val="24"/>
        </w:rPr>
        <w:t>int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>é</w:t>
      </w:r>
      <w:proofErr w:type="spellStart"/>
      <w:r w:rsidRPr="008F4E56">
        <w:rPr>
          <w:rFonts w:cs="Times New Roman"/>
          <w:bCs/>
          <w:sz w:val="24"/>
          <w:szCs w:val="24"/>
        </w:rPr>
        <w:t>grit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>é), 21 (sur la liberté d'expression et d'opinion ainsi que l</w:t>
      </w:r>
      <w:r w:rsidRPr="008F4E56">
        <w:rPr>
          <w:rFonts w:cs="Times New Roman"/>
          <w:bCs/>
          <w:sz w:val="24"/>
          <w:szCs w:val="24"/>
          <w:rtl/>
        </w:rPr>
        <w:t>’</w:t>
      </w:r>
      <w:proofErr w:type="spellStart"/>
      <w:r w:rsidRPr="008F4E56">
        <w:rPr>
          <w:rFonts w:cs="Times New Roman"/>
          <w:bCs/>
          <w:sz w:val="24"/>
          <w:szCs w:val="24"/>
          <w:lang w:val="it-IT"/>
        </w:rPr>
        <w:t>accè</w:t>
      </w:r>
      <w:proofErr w:type="spellEnd"/>
      <w:r w:rsidRPr="008F4E56">
        <w:rPr>
          <w:rFonts w:cs="Times New Roman"/>
          <w:bCs/>
          <w:sz w:val="24"/>
          <w:szCs w:val="24"/>
        </w:rPr>
        <w:t xml:space="preserve">s à </w:t>
      </w:r>
      <w:r w:rsidRPr="008F4E56">
        <w:rPr>
          <w:rFonts w:cs="Times New Roman"/>
          <w:bCs/>
          <w:sz w:val="24"/>
          <w:szCs w:val="24"/>
          <w:lang w:val="fr-FR"/>
        </w:rPr>
        <w:t xml:space="preserve">l'information), 22 (sur la vie privée), 24 </w:t>
      </w:r>
      <w:r w:rsidRPr="008F4E56">
        <w:rPr>
          <w:rFonts w:cs="Times New Roman"/>
          <w:bCs/>
          <w:sz w:val="24"/>
          <w:szCs w:val="24"/>
          <w:lang w:val="fr-FR"/>
        </w:rPr>
        <w:lastRenderedPageBreak/>
        <w:t xml:space="preserve">(sur l’éducation), 29 (sur la participation </w:t>
      </w:r>
      <w:proofErr w:type="gramStart"/>
      <w:r w:rsidRPr="008F4E56">
        <w:rPr>
          <w:rFonts w:cs="Times New Roman"/>
          <w:bCs/>
          <w:sz w:val="24"/>
          <w:szCs w:val="24"/>
          <w:lang w:val="fr-FR"/>
        </w:rPr>
        <w:t>politique)...</w:t>
      </w:r>
      <w:proofErr w:type="gramEnd"/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 xml:space="preserve">- </w:t>
      </w:r>
      <w:r w:rsidRPr="008F4E56">
        <w:rPr>
          <w:rFonts w:cs="Times New Roman"/>
          <w:bCs/>
          <w:sz w:val="24"/>
          <w:szCs w:val="24"/>
          <w:lang w:val="fr-FR"/>
        </w:rPr>
        <w:t>Une vaste expérience en mati</w:t>
      </w:r>
      <w:r w:rsidRPr="008F4E56">
        <w:rPr>
          <w:rFonts w:cs="Times New Roman"/>
          <w:bCs/>
          <w:sz w:val="24"/>
          <w:szCs w:val="24"/>
          <w:lang w:val="it-IT"/>
        </w:rPr>
        <w:t>è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re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de procédures judiciaires impliquant la CDPH (plus de 30 affaires)</w:t>
      </w:r>
    </w:p>
    <w:p w:rsidR="000354CE" w:rsidRPr="008F4E56" w:rsidRDefault="000354CE">
      <w:pPr>
        <w:pStyle w:val="Body"/>
        <w:jc w:val="both"/>
        <w:rPr>
          <w:rFonts w:cs="Times New Roman"/>
          <w:sz w:val="24"/>
          <w:szCs w:val="24"/>
        </w:rPr>
      </w:pPr>
    </w:p>
    <w:p w:rsidR="000354CE" w:rsidRPr="008F4E56" w:rsidRDefault="008F4E56">
      <w:pPr>
        <w:pStyle w:val="Bod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  <w:szCs w:val="24"/>
          <w:lang w:val="fr-FR"/>
        </w:rPr>
      </w:pPr>
      <w:r w:rsidRPr="008F4E56">
        <w:rPr>
          <w:rFonts w:cs="Times New Roman"/>
          <w:sz w:val="24"/>
          <w:szCs w:val="24"/>
          <w:lang w:val="fr-FR"/>
        </w:rPr>
        <w:t>Développez votre expérience vécue en rapport avec les personnes handicapées.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>Cinq membres de ma famille sont atteints de dystrophie musculaire.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 xml:space="preserve">Militant pour les droits des personnes handicapées et conseiller 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aupr</w:t>
      </w:r>
      <w:proofErr w:type="spellEnd"/>
      <w:r w:rsidRPr="008F4E56">
        <w:rPr>
          <w:rFonts w:cs="Times New Roman"/>
          <w:bCs/>
          <w:sz w:val="24"/>
          <w:szCs w:val="24"/>
          <w:lang w:val="it-IT"/>
        </w:rPr>
        <w:t>è</w:t>
      </w:r>
      <w:r w:rsidRPr="008F4E56">
        <w:rPr>
          <w:rFonts w:cs="Times New Roman"/>
          <w:bCs/>
          <w:sz w:val="24"/>
          <w:szCs w:val="24"/>
          <w:lang w:val="fr-FR"/>
        </w:rPr>
        <w:t>s d'associations de personnes en situation de handicap depuis 2007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fr-FR"/>
        </w:rPr>
      </w:pPr>
      <w:r w:rsidRPr="008F4E56">
        <w:rPr>
          <w:rFonts w:cs="Times New Roman"/>
          <w:bCs/>
          <w:sz w:val="24"/>
          <w:szCs w:val="24"/>
          <w:lang w:val="fr-FR"/>
        </w:rPr>
        <w:t>A travaillé en collaboration avec des personnes en situation de handicap, leurs amis et les membres de leur famille</w:t>
      </w:r>
    </w:p>
    <w:p w:rsidR="000354CE" w:rsidRPr="008F4E56" w:rsidRDefault="008F4E56">
      <w:pPr>
        <w:pStyle w:val="Body"/>
        <w:numPr>
          <w:ilvl w:val="0"/>
          <w:numId w:val="2"/>
        </w:numPr>
        <w:jc w:val="both"/>
        <w:rPr>
          <w:rFonts w:cs="Times New Roman"/>
          <w:bCs/>
          <w:sz w:val="24"/>
          <w:szCs w:val="24"/>
          <w:lang w:val="de-DE"/>
        </w:rPr>
      </w:pPr>
      <w:proofErr w:type="spellStart"/>
      <w:r w:rsidRPr="008F4E56">
        <w:rPr>
          <w:rFonts w:cs="Times New Roman"/>
          <w:bCs/>
          <w:sz w:val="24"/>
          <w:szCs w:val="24"/>
          <w:lang w:val="de-DE"/>
        </w:rPr>
        <w:t>Enti</w:t>
      </w:r>
      <w:proofErr w:type="spellEnd"/>
      <w:r w:rsidRPr="008F4E56">
        <w:rPr>
          <w:rFonts w:cs="Times New Roman"/>
          <w:bCs/>
          <w:sz w:val="24"/>
          <w:szCs w:val="24"/>
          <w:lang w:val="it-IT"/>
        </w:rPr>
        <w:t>è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rement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dévoué à la protection et </w:t>
      </w:r>
      <w:r w:rsidRPr="008F4E56">
        <w:rPr>
          <w:rFonts w:cs="Times New Roman"/>
          <w:bCs/>
          <w:sz w:val="24"/>
          <w:szCs w:val="24"/>
        </w:rPr>
        <w:t xml:space="preserve">à </w:t>
      </w:r>
      <w:r w:rsidRPr="008F4E56">
        <w:rPr>
          <w:rFonts w:cs="Times New Roman"/>
          <w:bCs/>
          <w:sz w:val="24"/>
          <w:szCs w:val="24"/>
          <w:lang w:val="it-IT"/>
        </w:rPr>
        <w:t>la d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éfense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de leurs droits</w:t>
      </w:r>
    </w:p>
    <w:p w:rsidR="000354CE" w:rsidRPr="008F4E56" w:rsidRDefault="000354CE">
      <w:pPr>
        <w:pStyle w:val="Body"/>
        <w:jc w:val="both"/>
        <w:rPr>
          <w:rFonts w:cs="Times New Roman"/>
          <w:sz w:val="24"/>
          <w:szCs w:val="24"/>
        </w:rPr>
      </w:pP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sz w:val="24"/>
          <w:szCs w:val="24"/>
          <w:lang w:val="fr-FR"/>
        </w:rPr>
        <w:t>Liste des publications les plus récentes du candidat dans ce domaine</w:t>
      </w:r>
      <w:r w:rsidRPr="008F4E56">
        <w:rPr>
          <w:rFonts w:cs="Times New Roman"/>
          <w:sz w:val="24"/>
          <w:szCs w:val="24"/>
        </w:rPr>
        <w:t>: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>Toplak, J. (2020) “</w:t>
      </w:r>
      <w:r w:rsidRPr="008F4E56">
        <w:rPr>
          <w:rFonts w:cs="Times New Roman"/>
          <w:bCs/>
          <w:sz w:val="24"/>
          <w:szCs w:val="24"/>
          <w:lang w:val="fr-FR"/>
        </w:rPr>
        <w:t>Voter est le droit de tout citoyen européen, et ce quel que soit son handicap</w:t>
      </w:r>
      <w:r w:rsidRPr="008F4E56">
        <w:rPr>
          <w:rFonts w:cs="Times New Roman"/>
          <w:bCs/>
          <w:sz w:val="24"/>
          <w:szCs w:val="24"/>
        </w:rPr>
        <w:t xml:space="preserve">”, </w:t>
      </w:r>
      <w:proofErr w:type="spellStart"/>
      <w:r w:rsidRPr="008F4E56">
        <w:rPr>
          <w:rFonts w:cs="Times New Roman"/>
          <w:bCs/>
          <w:sz w:val="24"/>
          <w:szCs w:val="24"/>
        </w:rPr>
        <w:t>Euractiv</w:t>
      </w:r>
      <w:proofErr w:type="spellEnd"/>
      <w:r w:rsidRPr="008F4E56">
        <w:rPr>
          <w:rFonts w:cs="Times New Roman"/>
          <w:bCs/>
          <w:sz w:val="24"/>
          <w:szCs w:val="24"/>
        </w:rPr>
        <w:t>.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>Toplak, J. (2018) “</w:t>
      </w:r>
      <w:r w:rsidRPr="008F4E56">
        <w:rPr>
          <w:rFonts w:cs="Times New Roman"/>
          <w:bCs/>
          <w:sz w:val="24"/>
          <w:szCs w:val="24"/>
          <w:lang w:val="fr-FR"/>
        </w:rPr>
        <w:t>Avis d'experts sur les handicaps mentaux et la CDPH</w:t>
      </w:r>
      <w:r w:rsidRPr="008F4E56">
        <w:rPr>
          <w:rFonts w:cs="Times New Roman"/>
          <w:bCs/>
          <w:sz w:val="24"/>
          <w:szCs w:val="24"/>
        </w:rPr>
        <w:t>”.</w:t>
      </w:r>
    </w:p>
    <w:p w:rsidR="000354CE" w:rsidRPr="008F4E56" w:rsidRDefault="008F4E56">
      <w:pPr>
        <w:pStyle w:val="Body"/>
        <w:jc w:val="both"/>
        <w:rPr>
          <w:rFonts w:cs="Times New Roman"/>
          <w:bCs/>
          <w:sz w:val="24"/>
          <w:szCs w:val="24"/>
        </w:rPr>
      </w:pPr>
      <w:r w:rsidRPr="008F4E56">
        <w:rPr>
          <w:rFonts w:cs="Times New Roman"/>
          <w:bCs/>
          <w:sz w:val="24"/>
          <w:szCs w:val="24"/>
        </w:rPr>
        <w:t>Toplak, J. (2018) “</w:t>
      </w:r>
      <w:r w:rsidRPr="008F4E56">
        <w:rPr>
          <w:rFonts w:cs="Times New Roman"/>
          <w:bCs/>
          <w:sz w:val="24"/>
          <w:szCs w:val="24"/>
          <w:lang w:val="fr-FR"/>
        </w:rPr>
        <w:t>Vote des personnes en situation de handicap lors des élections et discrimination</w:t>
      </w:r>
      <w:r w:rsidRPr="008F4E56">
        <w:rPr>
          <w:rFonts w:cs="Times New Roman"/>
          <w:bCs/>
          <w:sz w:val="24"/>
          <w:szCs w:val="24"/>
        </w:rPr>
        <w:t xml:space="preserve">”, </w:t>
      </w:r>
      <w:proofErr w:type="spellStart"/>
      <w:r w:rsidRPr="008F4E56">
        <w:rPr>
          <w:rFonts w:cs="Times New Roman"/>
          <w:bCs/>
          <w:sz w:val="24"/>
          <w:szCs w:val="24"/>
        </w:rPr>
        <w:t>PiD</w:t>
      </w:r>
      <w:proofErr w:type="spellEnd"/>
      <w:r w:rsidRPr="008F4E56">
        <w:rPr>
          <w:rFonts w:cs="Times New Roman"/>
          <w:bCs/>
          <w:sz w:val="24"/>
          <w:szCs w:val="24"/>
        </w:rPr>
        <w:t>, 44 (2), 317–335.</w:t>
      </w:r>
    </w:p>
    <w:p w:rsidR="000354CE" w:rsidRPr="008F4E56" w:rsidRDefault="008F4E56">
      <w:pPr>
        <w:pStyle w:val="Body"/>
        <w:jc w:val="both"/>
        <w:rPr>
          <w:rFonts w:cs="Times New Roman"/>
        </w:rPr>
      </w:pPr>
      <w:r w:rsidRPr="008F4E56">
        <w:rPr>
          <w:rFonts w:cs="Times New Roman"/>
          <w:bCs/>
          <w:sz w:val="24"/>
          <w:szCs w:val="24"/>
        </w:rPr>
        <w:t>Toplak, J. (2012) “</w:t>
      </w:r>
      <w:r w:rsidRPr="008F4E56">
        <w:rPr>
          <w:rFonts w:cs="Times New Roman"/>
          <w:bCs/>
          <w:sz w:val="24"/>
          <w:szCs w:val="24"/>
          <w:lang w:val="fr-FR"/>
        </w:rPr>
        <w:t>Mon bureau de vote est ici, mais le v</w:t>
      </w:r>
      <w:r w:rsidRPr="008F4E56">
        <w:rPr>
          <w:rFonts w:cs="Times New Roman"/>
          <w:bCs/>
          <w:sz w:val="24"/>
          <w:szCs w:val="24"/>
        </w:rPr>
        <w:t>ô</w:t>
      </w:r>
      <w:proofErr w:type="spellStart"/>
      <w:r w:rsidRPr="008F4E56">
        <w:rPr>
          <w:rFonts w:cs="Times New Roman"/>
          <w:bCs/>
          <w:sz w:val="24"/>
          <w:szCs w:val="24"/>
          <w:lang w:val="fr-FR"/>
        </w:rPr>
        <w:t>tre</w:t>
      </w:r>
      <w:proofErr w:type="spellEnd"/>
      <w:r w:rsidRPr="008F4E56">
        <w:rPr>
          <w:rFonts w:cs="Times New Roman"/>
          <w:bCs/>
          <w:sz w:val="24"/>
          <w:szCs w:val="24"/>
          <w:lang w:val="fr-FR"/>
        </w:rPr>
        <w:t xml:space="preserve"> est </w:t>
      </w:r>
      <w:r w:rsidRPr="008F4E56">
        <w:rPr>
          <w:rFonts w:cs="Times New Roman"/>
          <w:bCs/>
          <w:sz w:val="24"/>
          <w:szCs w:val="24"/>
        </w:rPr>
        <w:t xml:space="preserve">à </w:t>
      </w:r>
      <w:r w:rsidRPr="008F4E56">
        <w:rPr>
          <w:rFonts w:cs="Times New Roman"/>
          <w:bCs/>
          <w:sz w:val="24"/>
          <w:szCs w:val="24"/>
          <w:lang w:val="fr-FR"/>
        </w:rPr>
        <w:t>20 miles parce que vous avez un handicap</w:t>
      </w:r>
      <w:r w:rsidRPr="008F4E56">
        <w:rPr>
          <w:rFonts w:cs="Times New Roman"/>
          <w:bCs/>
          <w:sz w:val="24"/>
          <w:szCs w:val="24"/>
        </w:rPr>
        <w:t>”</w:t>
      </w:r>
      <w:r w:rsidRPr="008F4E56">
        <w:rPr>
          <w:rFonts w:cs="Times New Roman"/>
          <w:bCs/>
          <w:sz w:val="24"/>
          <w:szCs w:val="24"/>
          <w:lang w:val="es-ES_tradnl"/>
        </w:rPr>
        <w:t>, PP 31 (39/40), 19.</w:t>
      </w:r>
    </w:p>
    <w:sectPr w:rsidR="000354CE" w:rsidRPr="008F4E56">
      <w:headerReference w:type="default" r:id="rId7"/>
      <w:footerReference w:type="default" r:id="rId8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85" w:rsidRDefault="008F4E56">
      <w:r>
        <w:separator/>
      </w:r>
    </w:p>
  </w:endnote>
  <w:endnote w:type="continuationSeparator" w:id="0">
    <w:p w:rsidR="00187785" w:rsidRDefault="008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CE" w:rsidRDefault="000354CE">
    <w:pPr>
      <w:pStyle w:val="Footer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85" w:rsidRDefault="008F4E56">
      <w:r>
        <w:separator/>
      </w:r>
    </w:p>
  </w:footnote>
  <w:footnote w:type="continuationSeparator" w:id="0">
    <w:p w:rsidR="00187785" w:rsidRDefault="008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CE" w:rsidRDefault="008F4E56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9792335</wp:posOffset>
              </wp:positionV>
              <wp:extent cx="368301" cy="27432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301" cy="274321"/>
                        <a:chOff x="0" y="0"/>
                        <a:chExt cx="368300" cy="274320"/>
                      </a:xfrm>
                    </wpg:grpSpPr>
                    <wpg:grpSp>
                      <wpg:cNvPr id="1073741828" name="Group 1073741828"/>
                      <wpg:cNvGrpSpPr/>
                      <wpg:grpSpPr>
                        <a:xfrm>
                          <a:off x="-1" y="0"/>
                          <a:ext cx="368302" cy="274321"/>
                          <a:chOff x="0" y="0"/>
                          <a:chExt cx="368300" cy="2743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368302" cy="274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4135" y="21600"/>
                                </a:lnTo>
                                <a:lnTo>
                                  <a:pt x="21600" y="141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41014" y="179514"/>
                            <a:ext cx="127287" cy="948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5590" y="735"/>
                                </a:lnTo>
                                <a:cubicBezTo>
                                  <a:pt x="7755" y="4051"/>
                                  <a:pt x="13501" y="4051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41014" y="179514"/>
                            <a:ext cx="127287" cy="948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5590" y="735"/>
                                </a:lnTo>
                                <a:cubicBezTo>
                                  <a:pt x="7755" y="4051"/>
                                  <a:pt x="13501" y="4051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Shape 1073741829"/>
                      <wps:cNvSpPr txBox="1"/>
                      <wps:spPr>
                        <a:xfrm>
                          <a:off x="47307" y="1587"/>
                          <a:ext cx="273686" cy="1941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54CE" w:rsidRDefault="008F4E56">
                            <w:pPr>
                              <w:pStyle w:val="Body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A5B02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524.45pt;margin-top:771.05pt;width:29pt;height:21.6pt;z-index:-251658240;mso-wrap-distance-left:12pt;mso-wrap-distance-top:12pt;mso-wrap-distance-right:12pt;mso-wrap-distance-bottom:12pt;mso-position-horizontal-relative:page;mso-position-vertical-relative:page" coordsize="3683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ZAMgQAAOARAAAOAAAAZHJzL2Uyb0RvYy54bWzsWG1v2zYQ/j6g/4HQ90YvlixbiFO0yRIU&#10;GNYC7X4ATVGWVknUSNpy+ut3R4qy7Mxrk63BOtQfZFJ8u3vu7rmjLl/tm5rsuFSVaFdeeBF4hLdM&#10;5FW7WXm/fbx9ufCI0rTNaS1avvLuufJeXb346bLvMh6JUtQ5lwQ2aVXWdyuv1LrLfF+xkjdUXYiO&#10;tzBYCNlQDV258XNJe9i9qf0oCOZ+L2TeScG4UvD2xg56V2b/ouBMvysKxTWpVx7Ips1Tmucan/7V&#10;Jc02knZlxQYx6BOkaGjVwqHjVjdUU7KV1YOtmopJoUShL5hofFEUFeNGB9AmDE60uZNi2xldNlm/&#10;6UaYANoTnJ68Lft1916SKgfbBeksjcPFDGBqaQO2stK9lpqI9e+AJILVd5sM1tzJ7kP3Xg4vNraH&#10;+u8L2eA/rCV7A/P9CDPfa8Lg5WwOh4QeYTAUpfEsCq0ZWAm2erCKlT9P14F04zpjPt8d6qNsoyhj&#10;Z5T5RM8IPNPqaWAmTn94/3g9X4I6ZxSNJgJ/G0UhctTBOdQ/c44PJe248TmFhj4FLXGgmXkH0BIL&#10;mlkzeobKFDjJX7jFY+Aa7UsztlX6jgvjYHT3i9I2enPXoqVrsX0LTTwZWoQiGQUmPjuh0MP6HMwC&#10;BivhHzaBM2De0fQkDvD3uEVhsHjKqjkw2dedZQUdVJMQk6e8Jj0CvLa2AdVRjYigXtgkPcRbOAel&#10;SDm2ICjlFtn73SeHUSN2/KMwq/RJOML5h9G6fTjL7m8hdePuvzO7hXE4Ay/C2Dey/N3cQVqYa1d9&#10;3VxHC+5cVgvF7VKEwZh7hAYRnbiVEnWV31Z1jeoruVlf15LsKGSPW/MbvOVoWt0isrMwBbUYhSRW&#10;1FQbxzmadrTbAjxl4QQ9mtZJpW+oKu2pZshaE5JBmzsEUDxu8pt1eSA/F23YWov83tCzeQ/0gCz4&#10;nDwxP8MTc9QFRQFu+TJPRHEYhLFxljBdJtCE1aD4kBDCKI0WqeXXZbwI0sE6LglNDfuDL7Ln5Ytp&#10;dJ/jjCRZAhlBeKdACc61Lamw7bpib/jnKcWkaWKZIw6SIZUOnDJLsKCAjU5HDgzigu1443+HG67N&#10;b9DgKJotN4CjIusek0MrkGeMQzeVhiq4rhpUwKQCB8Z/Pc4h+mwRdVIPmFD8EedD7fF/rgu+hziH&#10;JP/FzD8Jx+8joR/uO8+d3Jdngn6JDDgJeqL3bwRU24ar8f2Z60CcziB3I32HCeRzQ4kux0cpXBeh&#10;msBLX7iMQ3tZBIO6JI/1El4KCDZWHiY5U3u5hI+2H6YgmT4w8zfjZr1f7wc8bDlGevjOsPLUH1sq&#10;uUfqty3c1eIkDQFPPe3IaWc97bTb5lpAMQrJjrasFPAlw2rbitdbLYoKr0Sm5rNHDh1TABp/gc8I&#10;pv4dPnngd4pp38w/fJi5+hMAAP//AwBQSwMEFAAGAAgAAAAhAMNjKlLjAAAADwEAAA8AAABkcnMv&#10;ZG93bnJldi54bWxMj8FqwzAQRO+F/oPYQm+NpCQOjms5hND2FApNCiU3xd7YJpZkLMV2/r7rU3vb&#10;mR1m36ab0TSsx87XziqQMwEMbe6K2pYKvo/vLzEwH7QtdOMsKrijh032+JDqpHCD/cL+EEpGJdYn&#10;WkEVQptw7vMKjfYz16Kl3cV1RgeSXcmLTg9Ubho+F2LFja4tXah0i7sK8+vhZhR8DHrYLuRbv79e&#10;dvfTMfr82UtU6vlp3L4CCziGvzBM+IQOGTGd3c0WnjWkxTJeU5amaDmXwKaMFCvyzpMXRwvgWcr/&#10;/5H9AgAA//8DAFBLAQItABQABgAIAAAAIQC2gziS/gAAAOEBAAATAAAAAAAAAAAAAAAAAAAAAABb&#10;Q29udGVudF9UeXBlc10ueG1sUEsBAi0AFAAGAAgAAAAhADj9If/WAAAAlAEAAAsAAAAAAAAAAAAA&#10;AAAALwEAAF9yZWxzLy5yZWxzUEsBAi0AFAAGAAgAAAAhACB+pkAyBAAA4BEAAA4AAAAAAAAAAAAA&#10;AAAALgIAAGRycy9lMm9Eb2MueG1sUEsBAi0AFAAGAAgAAAAhAMNjKlLjAAAADwEAAA8AAAAAAAAA&#10;AAAAAAAAjAYAAGRycy9kb3ducmV2LnhtbFBLBQYAAAAABAAEAPMAAACcBwAAAAA=&#10;">
              <v:group id="Group 1073741828" o:spid="_x0000_s1027" style="position:absolute;left:-1;width:368302;height:274321" coordsize="3683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<v:shape id="Shape 1073741825" o:spid="_x0000_s1028" style="position:absolute;left:-1;width:368302;height:2743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bIxwAAAOMAAAAPAAAAZHJzL2Rvd25yZXYueG1sRE/NagIx&#10;EL4X+g5hCr1porVVtkYpBakolFbb+7CZblY3kyVJdfXpTUHocb7/mc4714gDhVh71jDoKxDEpTc1&#10;Vxq+toveBERMyAYbz6ThRBHms9ubKRbGH/mTDptUiRzCsUANNqW2kDKWlhzGvm+JM/fjg8OUz1BJ&#10;E/CYw10jh0o9SYc15waLLb1aKvebX6dhp7ZpvT/vvn0d5Gph3fvH24m0vr/rXp5BJOrSv/jqXpo8&#10;X40fxqPBZPgIfz9lAOTsAgAA//8DAFBLAQItABQABgAIAAAAIQDb4fbL7gAAAIUBAAATAAAAAAAA&#10;AAAAAAAAAAAAAABbQ29udGVudF9UeXBlc10ueG1sUEsBAi0AFAAGAAgAAAAhAFr0LFu/AAAAFQEA&#10;AAsAAAAAAAAAAAAAAAAAHwEAAF9yZWxzLy5yZWxzUEsBAi0AFAAGAAgAAAAhAMQyZsjHAAAA4wAA&#10;AA8AAAAAAAAAAAAAAAAABwIAAGRycy9kb3ducmV2LnhtbFBLBQYAAAAAAwADALcAAAD7AgAAAAA=&#10;" path="m,l,21600r14135,l21600,14135,21600,,,xe" strokecolor="gray" strokeweight=".25pt">
                  <v:path arrowok="t" o:extrusionok="f" o:connecttype="custom" o:connectlocs="184151,137161;184151,137161;184151,137161;184151,137161" o:connectangles="0,90,180,270"/>
                </v:shape>
                <v:shape id="Shape 1073741826" o:spid="_x0000_s1029" style="position:absolute;left:241014;top:179514;width:127287;height:9480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UeyAAAAOMAAAAPAAAAZHJzL2Rvd25yZXYueG1sRE9La8JA&#10;EL4X+h+WEXqrGxMxEl1FBKGHFlof9yE7JsHsbLq7atJf3y0UPM73nuW6N624kfONZQWTcQKCuLS6&#10;4UrB8bB7nYPwAVlja5kUDORhvXp+WmKh7Z2/6LYPlYgh7AtUUIfQFVL6siaDfmw74sidrTMY4ukq&#10;qR3eY7hpZZokM2mw4dhQY0fbmsrL/moU5IfN8Pntpj8fQ7ZL03dzylx+Uupl1G8WIAL14SH+d7/p&#10;OD/Js3w6macz+PspAiBXvwAAAP//AwBQSwECLQAUAAYACAAAACEA2+H2y+4AAACFAQAAEwAAAAAA&#10;AAAAAAAAAAAAAAAAW0NvbnRlbnRfVHlwZXNdLnhtbFBLAQItABQABgAIAAAAIQBa9CxbvwAAABUB&#10;AAALAAAAAAAAAAAAAAAAAB8BAABfcmVscy8ucmVsc1BLAQItABQABgAIAAAAIQBkEfUeyAAAAOMA&#10;AAAPAAAAAAAAAAAAAAAAAAcCAABkcnMvZG93bnJldi54bWxQSwUGAAAAAAMAAwC3AAAA/AIAAAAA&#10;" path="m,21600l5590,735c7755,4051,13501,4051,21600,l,21600xe" fillcolor="#ccc" stroked="f" strokeweight="1pt">
                  <v:stroke miterlimit="4" joinstyle="miter"/>
                  <v:path arrowok="t" o:extrusionok="f" o:connecttype="custom" o:connectlocs="63644,47404;63644,47404;63644,47404;63644,47404" o:connectangles="0,90,180,270"/>
                </v:shape>
                <v:shape id="Shape 1073741827" o:spid="_x0000_s1030" style="position:absolute;left:241014;top:179514;width:127287;height:9480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Q7yAAAAOMAAAAPAAAAZHJzL2Rvd25yZXYueG1sRE/NSsNA&#10;EL4LvsMyghexm1YxNXZbSkHMwSKNfYBpdpoEM7Nxd23j27uC4HG+/1msRu7ViXzonBiYTjJQJLWz&#10;nTQG9u/Pt3NQIaJY7J2QgW8KsFpeXiywsO4sOzpVsVEpREKBBtoYh0LrULfEGCZuIEnc0XnGmE7f&#10;aOvxnMK517Mse9CMnaSGFgfatFR/VF9soHpZP24r3twcy92rL9+ED5+ajbm+GtdPoCKN8V/85y5t&#10;mp/ld/n9dD7L4fenBIBe/gAAAP//AwBQSwECLQAUAAYACAAAACEA2+H2y+4AAACFAQAAEwAAAAAA&#10;AAAAAAAAAAAAAAAAW0NvbnRlbnRfVHlwZXNdLnhtbFBLAQItABQABgAIAAAAIQBa9CxbvwAAABUB&#10;AAALAAAAAAAAAAAAAAAAAB8BAABfcmVscy8ucmVsc1BLAQItABQABgAIAAAAIQA2bGQ7yAAAAOMA&#10;AAAPAAAAAAAAAAAAAAAAAAcCAABkcnMvZG93bnJldi54bWxQSwUGAAAAAAMAAwC3AAAA/AIAAAAA&#10;" path="m,21600l5590,735c7755,4051,13501,4051,21600,e" filled="f" strokecolor="gray" strokeweight=".25pt">
                  <v:path arrowok="t" o:extrusionok="f" o:connecttype="custom" o:connectlocs="63644,47404;63644,47404;63644,47404;63644,47404" o:connectangles="0,90,180,27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9" o:spid="_x0000_s1031" type="#_x0000_t202" style="position:absolute;left:47307;top:1587;width:273686;height:19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/LyAAAAOMAAAAPAAAAZHJzL2Rvd25yZXYueG1sRE9LawIx&#10;EL4X+h/CFHqr2d2Kj9UopUXw0B60FT0OmzFZupksm9Td/vumIHic7z3L9eAacaEu1J4V5KMMBHHl&#10;dc1Gwdfn5mkGIkRkjY1nUvBLAdar+7slltr3vKPLPhqRQjiUqMDG2JZShsqSwzDyLXHizr5zGNPZ&#10;Gak77FO4a2SRZRPpsObUYLGlV0vV9/7HKXgzuTsxjvt+K+3RFIfo3jcfSj0+DC8LEJGGeBNf3Vud&#10;5mfT5+k4nxVz+P8pASBXfwAAAP//AwBQSwECLQAUAAYACAAAACEA2+H2y+4AAACFAQAAEwAAAAAA&#10;AAAAAAAAAAAAAAAAW0NvbnRlbnRfVHlwZXNdLnhtbFBLAQItABQABgAIAAAAIQBa9CxbvwAAABUB&#10;AAALAAAAAAAAAAAAAAAAAB8BAABfcmVscy8ucmVsc1BLAQItABQABgAIAAAAIQDb4n/LyAAAAOMA&#10;AAAPAAAAAAAAAAAAAAAAAAcCAABkcnMvZG93bnJldi54bWxQSwUGAAAAAAMAAwC3AAAA/AIAAAAA&#10;" filled="f" stroked="f" strokeweight="1pt">
                <v:stroke miterlimit="4"/>
                <v:textbox inset="1.27mm,1.27mm,1.27mm,1.27mm">
                  <w:txbxContent>
                    <w:p w:rsidR="000354CE" w:rsidRDefault="008F4E56">
                      <w:pPr>
                        <w:pStyle w:val="Body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A5B02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5B2"/>
    <w:multiLevelType w:val="hybridMultilevel"/>
    <w:tmpl w:val="70B692B8"/>
    <w:styleLink w:val="Bullets"/>
    <w:lvl w:ilvl="0" w:tplc="47448CE8">
      <w:start w:val="1"/>
      <w:numFmt w:val="bullet"/>
      <w:lvlText w:val="-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2066A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8E7F6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E9F30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63560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89922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253BC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27F0A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2B94E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157161"/>
    <w:multiLevelType w:val="hybridMultilevel"/>
    <w:tmpl w:val="70B692B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CE"/>
    <w:rsid w:val="000354CE"/>
    <w:rsid w:val="00187785"/>
    <w:rsid w:val="008F4E56"/>
    <w:rsid w:val="00E2158A"/>
    <w:rsid w:val="00E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6C41"/>
  <w15:docId w15:val="{5DE6A0FD-2114-4FB7-B7F4-3A55AAB2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  <w:lang w:val="fr-FR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8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80B959-A08B-4990-A57E-6E824219A965}"/>
</file>

<file path=customXml/itemProps2.xml><?xml version="1.0" encoding="utf-8"?>
<ds:datastoreItem xmlns:ds="http://schemas.openxmlformats.org/officeDocument/2006/customXml" ds:itemID="{F38AAC8E-DBBA-42AA-A0D7-954EA44559D8}"/>
</file>

<file path=customXml/itemProps3.xml><?xml version="1.0" encoding="utf-8"?>
<ds:datastoreItem xmlns:ds="http://schemas.openxmlformats.org/officeDocument/2006/customXml" ds:itemID="{0769A76E-A388-4DF6-AA65-638F90B55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Carli</cp:lastModifiedBy>
  <cp:revision>4</cp:revision>
  <cp:lastPrinted>2020-09-28T17:25:00Z</cp:lastPrinted>
  <dcterms:created xsi:type="dcterms:W3CDTF">2020-09-28T07:33:00Z</dcterms:created>
  <dcterms:modified xsi:type="dcterms:W3CDTF">2020-09-29T07:00:00Z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